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6年10月末のB7の認定者数合計253人に対し、事業状況報告による同年度末の認定者数は200人です。差は年によらずおおむね3割で一定しており、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本計画の単価は本村の給付費の実績から算出しているため、現行の地域区分が織り込まれています。地域区分は国家公務員の地域手当に準拠して定めることを原則としており、見直しが行われれば、上記の趨勢や改定率とは別に単価が動きます。本村の級地と見直しの有無を確かめたうえで反映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20事業のうち19事業の令和9〜11年度の量が空欄である。令和7年度の実績が村から未受領であり、実績がないまま目標の量を置くことができない。確保の方策（該当施策）は記載済み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養護老人ホーム措置・軽費老人ホーム・生活支援ハウス・村単独17事業の令和5〜7年度の実績（管理番号25〜39）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介護報酬の地域区分（級地）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本村の給付費の実績から単価を算出しているため、現行の地域区分が織り込まれている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本村の級地の確認と、令和9年度の改定における地域区分の見直しの有無</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2026-10-19T07:52:51.034Z</dcterms:created>
  <dcterms:modified xsi:type="dcterms:W3CDTF">2026-10-19T07:52:51.038Z</dcterms:modified>
</cp:coreProperties>
</file>

<file path=docProps/custom.xml><?xml version="1.0" encoding="utf-8"?>
<Properties xmlns="http://schemas.openxmlformats.org/officeDocument/2006/custom-properties" xmlns:vt="http://schemas.openxmlformats.org/officeDocument/2006/docPropsVTypes"/>
</file>