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第10期介護保険事業計画（案）</w:t>
      </w:r>
    </w:p>
    <w:p>
      <w:pPr>
        <w:spacing w:after="280" w:line="269" w:lineRule="auto"/>
        <w:jc w:val="center"/>
      </w:pPr>
      <w:r>
        <w:rPr>
          <w:rFonts w:ascii="游ゴシック" w:hAnsi="游ゴシック" w:eastAsia="游ゴシック"/>
          <w:b w:val="0"/>
          <w:sz w:val="24"/>
        </w:rPr>
        <w:t>公表版（体裁確認用）</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411" w:val="right" w:leader="dot"/>
        </w:tabs>
        <w:spacing w:before="0" w:after="40" w:line="240" w:lineRule="auto"/>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2">
        <w:r>
          <w:rPr>
            <w:rFonts w:ascii="游ゴシック" w:hAnsi="游ゴシック" w:eastAsia="游ゴシック"/>
            <w:sz w:val="20"/>
          </w:rPr>
          <w:t xml:space="preserve">　　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3">
        <w:r>
          <w:rPr>
            <w:rFonts w:ascii="游ゴシック" w:hAnsi="游ゴシック" w:eastAsia="游ゴシック"/>
            <w:sz w:val="20"/>
          </w:rPr>
          <w:t xml:space="preserve">　　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4">
        <w:r>
          <w:rPr>
            <w:rFonts w:ascii="游ゴシック" w:hAnsi="游ゴシック" w:eastAsia="游ゴシック"/>
            <w:sz w:val="20"/>
          </w:rPr>
          <w:t xml:space="preserve">　　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5">
        <w:r>
          <w:rPr>
            <w:rFonts w:ascii="游ゴシック" w:hAnsi="游ゴシック" w:eastAsia="游ゴシック"/>
            <w:sz w:val="20"/>
          </w:rPr>
          <w:t xml:space="preserve">　　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6">
        <w:r>
          <w:rPr>
            <w:rFonts w:ascii="游ゴシック" w:hAnsi="游ゴシック" w:eastAsia="游ゴシック"/>
            <w:sz w:val="20"/>
          </w:rPr>
          <w:t xml:space="preserve">　　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7">
        <w:r>
          <w:rPr>
            <w:rFonts w:ascii="游ゴシック" w:hAnsi="游ゴシック" w:eastAsia="游ゴシック"/>
            <w:sz w:val="20"/>
          </w:rPr>
          <w:t xml:space="preserve">　　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8">
        <w:r>
          <w:rPr>
            <w:rFonts w:ascii="游ゴシック" w:hAnsi="游ゴシック" w:eastAsia="游ゴシック"/>
            <w:sz w:val="20"/>
          </w:rPr>
          <w:t xml:space="preserve">　　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9">
        <w:r>
          <w:rPr>
            <w:rFonts w:ascii="游ゴシック" w:hAnsi="游ゴシック" w:eastAsia="游ゴシック"/>
            <w:sz w:val="20"/>
          </w:rPr>
          <w:t xml:space="preserve">　　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0">
        <w:r>
          <w:rPr>
            <w:rFonts w:ascii="游ゴシック" w:hAnsi="游ゴシック" w:eastAsia="游ゴシック"/>
            <w:sz w:val="20"/>
          </w:rPr>
          <w:t xml:space="preserve">　　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2">
        <w:r>
          <w:rPr>
            <w:rFonts w:ascii="游ゴシック" w:hAnsi="游ゴシック" w:eastAsia="游ゴシック"/>
            <w:sz w:val="20"/>
          </w:rPr>
          <w:t xml:space="preserve">　　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3">
        <w:r>
          <w:rPr>
            <w:rFonts w:ascii="游ゴシック" w:hAnsi="游ゴシック" w:eastAsia="游ゴシック"/>
            <w:sz w:val="20"/>
          </w:rPr>
          <w:t xml:space="preserve">　　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20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4">
        <w:r>
          <w:rPr>
            <w:rFonts w:ascii="游ゴシック" w:hAnsi="游ゴシック" w:eastAsia="游ゴシック"/>
            <w:sz w:val="20"/>
          </w:rPr>
          <w:t xml:space="preserve">　　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5">
        <w:r>
          <w:rPr>
            <w:rFonts w:ascii="游ゴシック" w:hAnsi="游ゴシック" w:eastAsia="游ゴシック"/>
            <w:sz w:val="20"/>
          </w:rPr>
          <w:t xml:space="preserve">　　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6">
        <w:r>
          <w:rPr>
            <w:rFonts w:ascii="游ゴシック" w:hAnsi="游ゴシック" w:eastAsia="游ゴシック"/>
            <w:sz w:val="20"/>
          </w:rPr>
          <w:t xml:space="preserve">　　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7">
        <w:r>
          <w:rPr>
            <w:rFonts w:ascii="游ゴシック" w:hAnsi="游ゴシック" w:eastAsia="游ゴシック"/>
            <w:sz w:val="20"/>
          </w:rPr>
          <w:t xml:space="preserve">　　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8">
        <w:r>
          <w:rPr>
            <w:rFonts w:ascii="游ゴシック" w:hAnsi="游ゴシック" w:eastAsia="游ゴシック"/>
            <w:sz w:val="20"/>
          </w:rPr>
          <w:t xml:space="preserve">　　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9">
        <w:r>
          <w:rPr>
            <w:rFonts w:ascii="游ゴシック" w:hAnsi="游ゴシック" w:eastAsia="游ゴシック"/>
            <w:sz w:val="20"/>
          </w:rPr>
          <w:t xml:space="preserve">　　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42</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1">
        <w:r>
          <w:rPr>
            <w:rFonts w:ascii="游ゴシック" w:hAnsi="游ゴシック" w:eastAsia="游ゴシック"/>
            <w:sz w:val="20"/>
          </w:rPr>
          <w:t xml:space="preserve">　　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2">
        <w:r>
          <w:rPr>
            <w:rFonts w:ascii="游ゴシック" w:hAnsi="游ゴシック" w:eastAsia="游ゴシック"/>
            <w:sz w:val="20"/>
          </w:rPr>
          <w:t xml:space="preserve">　　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3">
        <w:r>
          <w:rPr>
            <w:rFonts w:ascii="游ゴシック" w:hAnsi="游ゴシック" w:eastAsia="游ゴシック"/>
            <w:sz w:val="20"/>
          </w:rPr>
          <w:t xml:space="preserve">　　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50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4">
        <w:r>
          <w:rPr>
            <w:rFonts w:ascii="游ゴシック" w:hAnsi="游ゴシック" w:eastAsia="游ゴシック"/>
            <w:sz w:val="20"/>
          </w:rPr>
          <w:t xml:space="preserve">　　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53</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6">
        <w:r>
          <w:rPr>
            <w:rFonts w:ascii="游ゴシック" w:hAnsi="游ゴシック" w:eastAsia="游ゴシック"/>
            <w:sz w:val="20"/>
          </w:rPr>
          <w:t xml:space="preserve">　　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7">
        <w:r>
          <w:rPr>
            <w:rFonts w:ascii="游ゴシック" w:hAnsi="游ゴシック" w:eastAsia="游ゴシック"/>
            <w:sz w:val="20"/>
          </w:rPr>
          <w:t xml:space="preserve">　　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8">
        <w:r>
          <w:rPr>
            <w:rFonts w:ascii="游ゴシック" w:hAnsi="游ゴシック" w:eastAsia="游ゴシック"/>
            <w:sz w:val="20"/>
          </w:rPr>
          <w:t xml:space="preserve">　　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0">
        <w:r>
          <w:rPr>
            <w:rFonts w:ascii="游ゴシック" w:hAnsi="游ゴシック" w:eastAsia="游ゴシック"/>
            <w:sz w:val="20"/>
          </w:rPr>
          <w:t xml:space="preserve">　　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1">
        <w:r>
          <w:rPr>
            <w:rFonts w:ascii="游ゴシック" w:hAnsi="游ゴシック" w:eastAsia="游ゴシック"/>
            <w:sz w:val="20"/>
          </w:rPr>
          <w:t xml:space="preserve">　　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2">
        <w:r>
          <w:rPr>
            <w:rFonts w:ascii="游ゴシック" w:hAnsi="游ゴシック" w:eastAsia="游ゴシック"/>
            <w:sz w:val="20"/>
          </w:rPr>
          <w:t xml:space="preserve">　　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3">
        <w:r>
          <w:rPr>
            <w:rFonts w:ascii="游ゴシック" w:hAnsi="游ゴシック" w:eastAsia="游ゴシック"/>
            <w:sz w:val="20"/>
          </w:rPr>
          <w:t xml:space="preserve">　　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70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4">
        <w:r>
          <w:rPr>
            <w:rFonts w:ascii="游ゴシック" w:hAnsi="游ゴシック" w:eastAsia="游ゴシック"/>
            <w:sz w:val="20"/>
          </w:rPr>
          <w:t xml:space="preserve">　　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6">
        <w:r>
          <w:rPr>
            <w:rFonts w:ascii="游ゴシック" w:hAnsi="游ゴシック" w:eastAsia="游ゴシック"/>
            <w:sz w:val="20"/>
          </w:rPr>
          <w:t xml:space="preserve">　　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7">
        <w:r>
          <w:rPr>
            <w:rFonts w:ascii="游ゴシック" w:hAnsi="游ゴシック" w:eastAsia="游ゴシック"/>
            <w:sz w:val="20"/>
          </w:rPr>
          <w:t xml:space="preserve">　　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8">
        <w:r>
          <w:rPr>
            <w:rFonts w:ascii="游ゴシック" w:hAnsi="游ゴシック" w:eastAsia="游ゴシック"/>
            <w:sz w:val="20"/>
          </w:rPr>
          <w:t xml:space="preserve">　　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83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9">
        <w:r>
          <w:rPr>
            <w:rFonts w:ascii="游ゴシック" w:hAnsi="游ゴシック" w:eastAsia="游ゴシック"/>
            <w:sz w:val="20"/>
          </w:rPr>
          <w:t xml:space="preserve">　　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0">
        <w:r>
          <w:rPr>
            <w:rFonts w:ascii="游ゴシック" w:hAnsi="游ゴシック" w:eastAsia="游ゴシック"/>
            <w:sz w:val="20"/>
          </w:rPr>
          <w:t xml:space="preserve">　　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1">
        <w:r>
          <w:rPr>
            <w:rFonts w:ascii="游ゴシック" w:hAnsi="游ゴシック" w:eastAsia="游ゴシック"/>
            <w:sz w:val="20"/>
          </w:rPr>
          <w:t xml:space="preserve">　　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90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2">
        <w:r>
          <w:rPr>
            <w:rFonts w:ascii="游ゴシック" w:hAnsi="游ゴシック" w:eastAsia="游ゴシック"/>
            <w:sz w:val="20"/>
          </w:rPr>
          <w:t xml:space="preserve">　　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100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4">
        <w:r>
          <w:rPr>
            <w:rFonts w:ascii="游ゴシック" w:hAnsi="游ゴシック" w:eastAsia="游ゴシック"/>
            <w:sz w:val="20"/>
          </w:rPr>
          <w:t xml:space="preserve">　　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100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5">
        <w:r>
          <w:rPr>
            <w:rFonts w:ascii="游ゴシック" w:hAnsi="游ゴシック" w:eastAsia="游ゴシック"/>
            <w:sz w:val="20"/>
          </w:rPr>
          <w:t xml:space="preserve">　　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101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6">
        <w:r>
          <w:rPr>
            <w:rFonts w:ascii="游ゴシック" w:hAnsi="游ゴシック" w:eastAsia="游ゴシック"/>
            <w:sz w:val="20"/>
          </w:rPr>
          <w:t xml:space="preserve">　　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103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7">
        <w:r>
          <w:rPr>
            <w:rFonts w:ascii="游ゴシック" w:hAnsi="游ゴシック" w:eastAsia="游ゴシック"/>
            <w:sz w:val="20"/>
          </w:rPr>
          <w:t xml:space="preserve">　　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103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8">
        <w:r>
          <w:rPr>
            <w:rFonts w:ascii="游ゴシック" w:hAnsi="游ゴシック" w:eastAsia="游ゴシック"/>
            <w:sz w:val="20"/>
          </w:rPr>
          <w:t xml:space="preserve">　　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103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9">
        <w:r>
          <w:rPr>
            <w:rFonts w:ascii="游ゴシック" w:hAnsi="游ゴシック" w:eastAsia="游ゴシック"/>
            <w:sz w:val="20"/>
          </w:rPr>
          <w:t xml:space="preserve">　　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50">
        <w:r>
          <w:rPr>
            <w:rFonts w:ascii="游ゴシック" w:hAnsi="游ゴシック" w:eastAsia="游ゴシック"/>
            <w:sz w:val="20"/>
          </w:rPr>
          <w:t xml:space="preserve">　　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105</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1">
        <w:r>
          <w:rPr>
            <w:rFonts w:ascii="游ゴシック" w:hAnsi="游ゴシック" w:eastAsia="游ゴシック"/>
            <w:b/>
            <w:sz w:val="21"/>
          </w:rPr>
          <w:t xml:space="preserve">参考　介護サービスの内容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_Pub_051 \h </w:instrText>
        </w:r>
        <w:r>
          <w:rPr>
            <w:rFonts w:ascii="游ゴシック" w:hAnsi="游ゴシック" w:eastAsia="游ゴシック"/>
            <w:sz w:val="20"/>
          </w:rPr>
          <w:fldChar w:fldCharType="separate"/>
        </w:r>
        <w:r>
          <w:rPr>
            <w:rFonts w:ascii="游ゴシック" w:hAnsi="游ゴシック" w:eastAsia="游ゴシック"/>
            <w:b/>
            <w:sz w:val="20"/>
          </w:rPr>
          <w:t xml:space="preserve">108</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2">
        <w:r>
          <w:rPr>
            <w:rFonts w:ascii="游ゴシック" w:hAnsi="游ゴシック" w:eastAsia="游ゴシック"/>
            <w:sz w:val="20"/>
          </w:rPr>
          <w:t xml:space="preserve">　　施設サービス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_Pub_052 \h </w:instrText>
        </w:r>
        <w:r>
          <w:rPr>
            <w:rFonts w:ascii="游ゴシック" w:hAnsi="游ゴシック" w:eastAsia="游ゴシック"/>
            <w:sz w:val="20"/>
          </w:rPr>
          <w:fldChar w:fldCharType="separate"/>
        </w:r>
        <w:r>
          <w:rPr>
            <w:rFonts w:ascii="游ゴシック" w:hAnsi="游ゴシック" w:eastAsia="游ゴシック"/>
            <w:sz w:val="20"/>
          </w:rPr>
          <w:t xml:space="preserve">108</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3">
        <w:r>
          <w:rPr>
            <w:rFonts w:ascii="游ゴシック" w:hAnsi="游ゴシック" w:eastAsia="游ゴシック"/>
            <w:sz w:val="20"/>
          </w:rPr>
          <w:t xml:space="preserve">　　居住系サービス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_Pub_053 \h </w:instrText>
        </w:r>
        <w:r>
          <w:rPr>
            <w:rFonts w:ascii="游ゴシック" w:hAnsi="游ゴシック" w:eastAsia="游ゴシック"/>
            <w:sz w:val="20"/>
          </w:rPr>
          <w:fldChar w:fldCharType="separate"/>
        </w:r>
        <w:r>
          <w:rPr>
            <w:rFonts w:ascii="游ゴシック" w:hAnsi="游ゴシック" w:eastAsia="游ゴシック"/>
            <w:sz w:val="20"/>
          </w:rPr>
          <w:t xml:space="preserve">108</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4">
        <w:r>
          <w:rPr>
            <w:rFonts w:ascii="游ゴシック" w:hAnsi="游ゴシック" w:eastAsia="游ゴシック"/>
            <w:sz w:val="20"/>
          </w:rPr>
          <w:t xml:space="preserve">　　居宅サービス・地域密着型サービス等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_Pub_054 \h </w:instrText>
        </w:r>
        <w:r>
          <w:rPr>
            <w:rFonts w:ascii="游ゴシック" w:hAnsi="游ゴシック" w:eastAsia="游ゴシック"/>
            <w:sz w:val="20"/>
          </w:rPr>
          <w:fldChar w:fldCharType="separate"/>
        </w:r>
        <w:r>
          <w:rPr>
            <w:rFonts w:ascii="游ゴシック" w:hAnsi="游ゴシック" w:eastAsia="游ゴシック"/>
            <w:sz w:val="20"/>
          </w:rPr>
          <w:t xml:space="preserve">108</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5">
        <w:r>
          <w:rPr>
            <w:rFonts w:ascii="游ゴシック" w:hAnsi="游ゴシック" w:eastAsia="游ゴシック"/>
            <w:b/>
            <w:sz w:val="21"/>
          </w:rPr>
          <w:t xml:space="preserve">用語の解説</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_Pub_055 \h </w:instrText>
        </w:r>
        <w:r>
          <w:rPr>
            <w:rFonts w:ascii="游ゴシック" w:hAnsi="游ゴシック" w:eastAsia="游ゴシック"/>
            <w:sz w:val="20"/>
          </w:rPr>
          <w:fldChar w:fldCharType="separate"/>
        </w:r>
        <w:r>
          <w:rPr>
            <w:rFonts w:ascii="游ゴシック" w:hAnsi="游ゴシック" w:eastAsia="游ゴシック"/>
            <w:b/>
            <w:sz w:val="20"/>
          </w:rPr>
          <w:t xml:space="preserve">110</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pBdr>
          <w:top w:val="single" w:sz="18" w:space="4" w:color="1F3864"/>
          <w:bottom w:val="single" w:sz="18" w:space="4" w:color="1F3864"/>
        </w:pBdr>
        <w:shd w:val="clear" w:color="auto" w:fill="F2F5FA"/>
        <w:spacing w:before="280" w:after="200"/>
        <w:jc w:val="center"/>
      </w:pPr>
      <w:bookmarkStart w:id="101" w:name="_Toc10_001"/>
      <w:r>
        <w:rPr>
          <w:rFonts w:ascii="游ゴシック" w:hAnsi="游ゴシック" w:eastAsia="游ゴシック"/>
          <w:sz w:val="30"/>
        </w:rPr>
        <w:t>第1章　計画策定の意義</w:t>
      </w:r>
      <w:bookmarkEnd w:id="101"/>
    </w:p>
    <w:p>
      <w:pPr>
        <w:pStyle w:val="Heading2"/>
        <w:spacing w:before="240" w:after="12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240" w:after="12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基本目標2にこれを掲げます。両者の調和は、資料2の役割分担及び共通KPIにより保ちます。また、同法第3条は認知症施策の基本理念を定めており、本計画の認知症施策もこの基本理念に沿って定めます。</w:t>
      </w:r>
    </w:p>
    <w:p>
      <w:pPr>
        <w:spacing w:after="80" w:line="269" w:lineRule="auto"/>
      </w:pPr>
      <w:r>
        <w:rPr>
          <w:rFonts w:ascii="游ゴシック" w:hAnsi="游ゴシック" w:eastAsia="游ゴシック"/>
          <w:b w:val="0"/>
          <w:sz w:val="21"/>
        </w:rPr>
        <w:t>介護保険法以外の法律が市町村を名宛人として定める計画等についても、市町村認知症施策推進計画と同じ整理により、構成3町がそれぞれ定めます。老人福祉法第20条の8は市町村老人福祉計画を定めるものとし、同計画は市町村介護保険事業計画と一体のものとして作成することとされています。構成3町の高齢者福祉計画がこれに当たります。成年後見制度の利用の促進に関する法律第14条は、国の基本計画を勘案して、市町村が成年後見制度の利用の促進に関する施策についての基本的な計画を定めるよう努めるものとしています。高齢者虐待の防止、高齢者の養護者に対する支援等に関する法律は、通報の受理、高齢者の安全の確認、措置及び養護者の支援を市町村の事務としています。いずれも本計画では、第5章 基本目標1の施策及び資料2の役割分担により接続します。</w:t>
      </w:r>
    </w:p>
    <w:p>
      <w:pPr>
        <w:spacing w:after="160" w:line="269" w:lineRule="auto"/>
      </w:pPr>
      <w:r>
        <w:rPr>
          <w:rFonts w:ascii="游ゴシック" w:hAnsi="游ゴシック" w:eastAsia="游ゴシック"/>
          <w:b w:val="0"/>
          <w:sz w:val="17"/>
        </w:rPr>
        <w:t>注）各法律の条文の受領前であるため、条番号のみを記載し項番号は記載していません［要確認］。構成3町の高齢者福祉計画が老人福祉法第20条の8による市町村老人福祉計画に当たることの確認、成年後見制度の利用の促進に関する施策についての基本的な計画の構成3町における策定の状況、及び一体のものとして作成する方法は構成3町と協議して定めます［要協議］。</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240" w:after="12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240" w:after="12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240" w:after="12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併せて、計画を定め、又は変更したときは、遅滞なくこれを都道府県知事に提出し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北海道知事への提出</w:t>
            </w:r>
          </w:p>
        </w:tc>
        <w:tc>
          <w:tcPr>
            <w:tcW w:type="dxa" w:w="4664"/>
          </w:tcPr>
          <w:p>
            <w:r/>
            <w:r>
              <w:rPr>
                <w:rFonts w:ascii="游ゴシック" w:hAnsi="游ゴシック" w:eastAsia="游ゴシック"/>
                <w:sz w:val="17"/>
              </w:rPr>
              <w:t>策定した計画を遅滞なく北海道知事に提出します。変更したときも同様とします。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240" w:after="12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spacing w:after="160" w:line="269" w:lineRule="auto"/>
      </w:pPr>
      <w:r>
        <w:rPr>
          <w:rFonts w:ascii="游ゴシック" w:hAnsi="游ゴシック" w:eastAsia="游ゴシック"/>
          <w:b w:val="0"/>
          <w:sz w:val="17"/>
        </w:rPr>
        <w:t>注）北海道の高齢者保健福祉計画が定める評価指標のうち「取り組んでいる市町村数」を単位とするものは、1保険者である当広域連合にそのまま適用することができません。読替えの方法は第8節に掲げます。北海道から広域連合に対する読替えの考え方は示されていないため、本計画は当広域連合の整理によっており、考え方が示された場合はこれに合わせて改めます［要確認］。</w:t>
      </w:r>
    </w:p>
    <w:p>
      <w:pPr>
        <w:pStyle w:val="Heading2"/>
        <w:spacing w:before="240" w:after="12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br/>
        <w:t>注）圏域別の面積、人口、高齢者人口、認定者数等は第9期計画による令和5年10月1日現在の値です。これより新しい時点の圏域別の値は提供を受けておらず、更新していません。また、健康とくらしの調査の地区（小学校区）と6圏域の対応は、美馬牛小学校区が美馬牛地区に対応すると考えられる以外は確定していません［要確認］。対応が確定するまで、圏域別の分析は上表の6圏域の区分によります。</w:t>
      </w:r>
    </w:p>
    <w:p>
      <w:pPr>
        <w:pStyle w:val="Heading2"/>
        <w:spacing w:before="240" w:after="12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介護保険法第117条は、市町村介護保険事業計画は医療計画との整合性の確保が図られたものでなければならないことを定めています。医療計画及び地域医療構想との整合は、在宅医療・介護連携（第5章 基本目標1）、協力医療機関の確保（第1章第9節1）並びに施設・居住系サービスの整備（第6章第5節）において図ります。北海道の第10期高齢者保健福祉計画・介護保険事業支援計画は未策定であり、策定され次第、整合を確かめます［要確認］。</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構成3町の高齢者福祉計画は老人福祉法第20条の8による市町村老人福祉計画に当たり、同計画は市町村介護保険事業計画と一体のものとして作成することとされています（第2節）。</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240" w:after="12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200" w:after="8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0"/>
        </w:rPr>
        <w:t>あわせて、生産性向上の取組に係る委員会の設置についても、経過措置の終了により令和9年4月1日から義務となります。当広域連合において対象となるのは、小規模多機能型居宅介護5事業所、認知症対応型共同生活介護7事業所、地域密着型介護老人福祉施設入所者生活介護3事業所の計15事業所です。いずれも指定地域密着型サービスであり、広域連合の条例において対応する規定を整えておく必要があります。当該条例を確認していないため、令和6年の省令改正後の規定が置かれているかは確かめられていません［要確認］。本計画は、省令の定めと対象となる事業所数を示すにとど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事業の具体の内容、費用の負担及び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制度の内容が確定するまでは、必要となる事業費及び人員は算定できません。</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基準①の根拠となる特別地域加算の対象地域の告示を確認できていないため、構成3町が①に該当するかどうかの判定は本計画では行っていません［要確認］。指定に係る構成町の意向の表明についても、基準及び手続が確定していないため本計画では行わないものとし、省令等が確定した時点で3町と協議して定めます［要協議］。</w:t>
        <w:br/>
        <w:t>出典：厚生労働省『基本指針の構成について』（第135回社会保障審議会介護保険部会 資料2-1、令和8年6月29日）　https://www.mhlw.go.jp/content/12300000/001715734.pdf</w:t>
      </w:r>
    </w:p>
    <w:p>
      <w:pPr>
        <w:pStyle w:val="Heading3"/>
        <w:spacing w:before="200" w:after="8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200" w:after="8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200" w:after="8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200" w:after="8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r>
        <w:br w:type="page"/>
      </w:r>
    </w:p>
    <w:p>
      <w:pPr>
        <w:pStyle w:val="Heading1"/>
        <w:pBdr>
          <w:top w:val="single" w:sz="18" w:space="4" w:color="1F3864"/>
          <w:bottom w:val="single" w:sz="18" w:space="4" w:color="1F3864"/>
        </w:pBdr>
        <w:shd w:val="clear" w:color="auto" w:fill="F2F5FA"/>
        <w:spacing w:before="280" w:after="200"/>
        <w:jc w:val="center"/>
      </w:pPr>
      <w:bookmarkStart w:id="111" w:name="_Toc10_011"/>
      <w:r>
        <w:rPr>
          <w:rFonts w:ascii="游ゴシック" w:hAnsi="游ゴシック" w:eastAsia="游ゴシック"/>
          <w:sz w:val="30"/>
        </w:rPr>
        <w:t>第2章　高齢者及び介護保険の状況</w:t>
      </w:r>
      <w:bookmarkEnd w:id="111"/>
    </w:p>
    <w:p>
      <w:pPr>
        <w:pStyle w:val="Heading2"/>
        <w:spacing w:before="240" w:after="120"/>
      </w:pPr>
      <w:bookmarkStart w:id="112" w:name="_Toc10_012"/>
      <w:r>
        <w:rPr>
          <w:rFonts w:ascii="游ゴシック" w:hAnsi="游ゴシック" w:eastAsia="游ゴシック"/>
          <w:sz w:val="25"/>
        </w:rPr>
        <w:t>第1節 高齢者の状況</w:t>
      </w:r>
      <w:bookmarkEnd w:id="112"/>
    </w:p>
    <w:p>
      <w:pPr>
        <w:pStyle w:val="Heading3"/>
        <w:spacing w:before="200" w:after="8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200" w:after="8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200" w:after="8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240" w:after="12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200" w:after="8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200" w:after="8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200" w:after="8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200" w:after="8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200" w:after="8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240" w:after="12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200" w:after="8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200" w:after="8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200" w:after="8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200" w:after="8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200" w:after="8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spacing w:after="160" w:line="269" w:lineRule="auto"/>
      </w:pPr>
      <w:r>
        <w:rPr>
          <w:rFonts w:ascii="游ゴシック" w:hAnsi="游ゴシック" w:eastAsia="游ゴシック"/>
          <w:b w:val="0"/>
          <w:sz w:val="17"/>
        </w:rPr>
        <w:t>注）上表は定員（戸数）によるものです。家賃、共益費、食費等の費用の水準は、北海道において情報の収集が行われていることを確認できていないため把握していません。このため、費用の面から住まいを選ぶことができるかどうかは本計画では扱っていません［要確認］。国の第10期基本指針（案）の別表が求める高齢者向け住まいの状況は、施設数・定員・入居者数の範囲で整理しています（資料6）。</w:t>
      </w:r>
    </w:p>
    <w:p>
      <w:pPr>
        <w:pStyle w:val="Heading3"/>
        <w:spacing w:before="200" w:after="8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200" w:after="8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240" w:after="12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br/>
        <w:t>注）令和4年度調査の指標別の有効回答数を確認できないため、統計的な差の検定は有効回答数を約4,700として行っています。有効回答数が4,000から5,000の範囲にある限り判定は変わりませんが、確定値による検証を要します［要確認］。前回との比較は、第9期計画の本文に掲げられた指標に限っています。</w:t>
      </w:r>
    </w:p>
    <w:p>
      <w:pPr>
        <w:pStyle w:val="Heading2"/>
        <w:spacing w:before="240" w:after="12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240" w:after="12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重複の判別は、職員個票（氏名等を含むもの）の突合によらず、当該事業所への照会により行います。個人情報は保管しない方針によるもの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240" w:after="12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240" w:after="12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pBdr>
          <w:top w:val="single" w:sz="18" w:space="4" w:color="1F3864"/>
          <w:bottom w:val="single" w:sz="18" w:space="4" w:color="1F3864"/>
        </w:pBdr>
        <w:shd w:val="clear" w:color="auto" w:fill="F2F5FA"/>
        <w:spacing w:before="280" w:after="200"/>
        <w:jc w:val="center"/>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240" w:after="12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200" w:after="8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spacing w:after="160" w:line="269" w:lineRule="auto"/>
      </w:pPr>
      <w:r>
        <w:rPr>
          <w:rFonts w:ascii="游ゴシック" w:hAnsi="游ゴシック" w:eastAsia="游ゴシック"/>
          <w:b w:val="0"/>
          <w:sz w:val="17"/>
        </w:rPr>
        <w:t>注）②重度要介護認定率の実績6.3％は、地域包括ケア「見える化」システムの系列（B4-a）による値です。年報（令和7年度）から算定すると6.38％となり、0.08ポイントの差があります。本計画は全国・北海道との比較に用いる系列とそろえるため見える化システムの値を用いています。いずれによっても第9期目標6.4％を下回り、判定は変わりません［要確認］。</w:t>
      </w:r>
    </w:p>
    <w:p>
      <w:pPr>
        <w:pStyle w:val="Heading3"/>
        <w:spacing w:before="200" w:after="8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br/>
        <w:t>注）分母は地域包括ケア「見える化」システムのA系列（国勢調査及び国立社会保障・人口問題研究所の推計を基礎とする各年10月1日現在）の値であり、住民基本台帳による65歳以上人口とは異なります。全国・北海道との比較に用いる系列と分母をそろえるためA系列によっています。分母を住民基本台帳に置き換える場合は参加率が変わ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200" w:after="8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240" w:after="12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区分の名称及び科目は、令和6年度大雪地区広域連合介護保険特別会計歳入歳出決算書の表記によっています。決算書及び年報の様式4には「一般介護予防事業費」の項がなく、介護予防把握事業、介護予防普及啓発事業等の経費がいずれの科目で執行されているかは確認できていません［要確認］。いずれの場合も地域支援事業費の総額は変わりません。</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住民個人が運営する通いの場の立ち上げ支援を加える。ポイント事業は美瑛町の取組として記述する［要協議］</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派遣回数と派遣先の通いの場の継続率を対応づける。美瑛町の取組として記述する［要協議］</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240" w:after="12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200" w:after="8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240" w:after="12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200" w:after="8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200" w:after="8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200" w:after="8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br/>
        <w:t>注）本章で用いている得点は、令和6年度分から令和8年度分までの評価指標による評価結果です。各年度の評価は、その前々年度頃までの実施状況を対象とする該当状況調査によっているため、令和6年度分の評価は第8期の取組を反映したものです。第9期の取組は令和7年度分及び令和8年度分の評価に表れます。評価の年度と取組の年度は一致しません。</w:t>
        <w:br/>
        <w:t>注）令和7年度に成果指向型配分枠が新設され、令和8年度の評価指標では該当状況調査において同枠の分も併せて実施する予定とされています。構成3町の回答の状況を確認できていないため、本計画では同枠を施策に位置づけていません。確認できた時点で、第5章の取組に加えるかどうかを判断します［要確認］。</w:t>
      </w:r>
    </w:p>
    <w:p>
      <w:r>
        <w:br w:type="page"/>
      </w:r>
    </w:p>
    <w:p>
      <w:pPr>
        <w:pStyle w:val="Heading1"/>
        <w:pBdr>
          <w:top w:val="single" w:sz="18" w:space="4" w:color="1F3864"/>
          <w:bottom w:val="single" w:sz="18" w:space="4" w:color="1F3864"/>
        </w:pBdr>
        <w:shd w:val="clear" w:color="auto" w:fill="F2F5FA"/>
        <w:spacing w:before="280" w:after="200"/>
        <w:jc w:val="center"/>
      </w:pPr>
      <w:bookmarkStart w:id="125" w:name="_Toc10_025"/>
      <w:r>
        <w:rPr>
          <w:rFonts w:ascii="游ゴシック" w:hAnsi="游ゴシック" w:eastAsia="游ゴシック"/>
          <w:sz w:val="30"/>
        </w:rPr>
        <w:t>第4章　計画の基本理念及び基本目標</w:t>
      </w:r>
      <w:bookmarkEnd w:id="125"/>
    </w:p>
    <w:p>
      <w:pPr>
        <w:pStyle w:val="Heading2"/>
        <w:spacing w:before="240" w:after="12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240" w:after="12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200" w:after="8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240" w:after="12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pBdr>
          <w:top w:val="single" w:sz="18" w:space="4" w:color="1F3864"/>
          <w:bottom w:val="single" w:sz="18" w:space="4" w:color="1F3864"/>
        </w:pBdr>
        <w:shd w:val="clear" w:color="auto" w:fill="F2F5FA"/>
        <w:spacing w:before="280" w:after="200"/>
        <w:jc w:val="center"/>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240" w:after="120"/>
      </w:pPr>
      <w:bookmarkStart w:id="130" w:name="_Toc10_030"/>
      <w:r>
        <w:rPr>
          <w:rFonts w:ascii="游ゴシック" w:hAnsi="游ゴシック" w:eastAsia="游ゴシック"/>
          <w:sz w:val="25"/>
        </w:rPr>
        <w:t>基本目標1　地域包括ケア・相談・医療介護連携</w:t>
      </w:r>
      <w:bookmarkEnd w:id="130"/>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地域ケア会議の運営：個別事例の検討、地域課題の抽出、資源開発、施策化。記録様式の整備（R9年度）と1町でのモデル実施</w:t>
            </w:r>
          </w:p>
        </w:tc>
        <w:tc>
          <w:tcPr>
            <w:tcW w:type="dxa" w:w="2958"/>
          </w:tcPr>
          <w:p>
            <w:r/>
            <w:r>
              <w:rPr>
                <w:rFonts w:ascii="游ゴシック" w:hAnsi="游ゴシック" w:eastAsia="游ゴシック"/>
                <w:sz w:val="17"/>
              </w:rPr>
              <w:t>個別事例の検討 3町合計 年［要協議］件／地域課題として整理した件数／施策に反映した件数／提起された地域課題のうち翌年度の事業又は予算に反映されたものの割合（施策化への転換率。R9年度に基準値を把握し、R10年度から目標を置く）</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地域ケア会議の施策化への転換率</w:t>
            </w:r>
          </w:p>
        </w:tc>
        <w:tc>
          <w:tcPr>
            <w:tcW w:type="dxa" w:w="1863"/>
          </w:tcPr>
          <w:p>
            <w:r/>
            <w:r>
              <w:rPr>
                <w:rFonts w:ascii="游ゴシック" w:hAnsi="游ゴシック" w:eastAsia="游ゴシック"/>
                <w:sz w:val="17"/>
              </w:rPr>
              <w:t>未算定（R9に基準値を把握）</w:t>
            </w:r>
          </w:p>
        </w:tc>
        <w:tc>
          <w:tcPr>
            <w:tcW w:type="dxa" w:w="1972"/>
          </w:tcPr>
          <w:p>
            <w:r/>
            <w:r>
              <w:rPr>
                <w:rFonts w:ascii="游ゴシック" w:hAnsi="游ゴシック" w:eastAsia="游ゴシック"/>
                <w:sz w:val="17"/>
              </w:rPr>
              <w:t>［要協議］（R10から目標を置く）</w:t>
            </w:r>
          </w:p>
        </w:tc>
        <w:tc>
          <w:tcPr>
            <w:tcW w:type="dxa" w:w="2191"/>
          </w:tcPr>
          <w:p>
            <w:r/>
            <w:r>
              <w:rPr>
                <w:rFonts w:ascii="游ゴシック" w:hAnsi="游ゴシック" w:eastAsia="游ゴシック"/>
                <w:sz w:val="17"/>
              </w:rPr>
              <w:t>率とともに実数（提起件数・反映件数）を併記する</w:t>
            </w:r>
          </w:p>
        </w:tc>
      </w:tr>
    </w:tbl>
    <w:p>
      <w:pPr>
        <w:spacing w:after="160" w:line="269" w:lineRule="auto"/>
      </w:pPr>
      <w:r>
        <w:rPr>
          <w:rFonts w:ascii="游ゴシック" w:hAnsi="游ゴシック" w:eastAsia="游ゴシック"/>
          <w:b w:val="0"/>
          <w:sz w:val="17"/>
        </w:rPr>
        <w:t>注）第9期の施策2-5「地域ケア会議の推進」は、指標が会議の開催回数のみであり、成果を測る指標がありませんでした（第3章第4節）。第10期は、提起された地域課題のうち翌年度の事業又は予算に反映されたものの割合（施策化への転換率）を施策の指標とします。基準値がないため、令和9年度は記録様式を整えて基準値を把握する年度とし、令和10年度及び令和11年度に目標値を置きます。率は分母が小さいと大きく振れるため、実数を併記します。記録は構成3町が作成し、広域連合へは集計した値を提出します（個人情報を集約しません）［要協議］。</w:t>
        <w:br/>
        <w:t>注）件数は、地域ケア個別会議と地域ケア推進会議を分けずに計数します。3町の実績は、令和7年度の地域包括支援センター事業実施報告書により把握できる範囲で記述しています。報告書の計数の単位が町により異なり（開催回数・参加人数・対象者数）、3町を合計することができないためです。3町共通の記録様式は、令和9年度に整えます［要協議］。</w:t>
      </w:r>
    </w:p>
    <w:p>
      <w:pPr>
        <w:pStyle w:val="Heading2"/>
        <w:spacing w:before="240" w:after="12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注）上表の事業のうち、現に実施されているのが1町のみであるものがあります。チームオレンジは東川町が令和7年3月に結成会を開催し令和8年度の事業として立てているもの、地域リハビリテーション活動支援事業及び介護予防のポイント事業は美瑛町が実施しているものです。本計画はこれらを当該の町の取組として掲げるものであり、他の町への展開は、担い手及び派遣元の確保の見通しを踏まえて3町と協議して定めます［要協議］。</w:t>
        <w:br/>
        <w:t>注）認知症初期集中支援推進事業について、美瑛町は令和7年度に医師を確保できず休止しています。再開の時期は、専門医の確保の見通しを踏まえて定めます［要協議］。</w:t>
        <w:br/>
        <w:t>注）認知症サポーターの養成及びステップアップ講座については、交付金の評価が3か年とも0点であり、取組がないのか要件を満たさないのかを公表資料から判別できません（第3章第4節）。このため、現に確認できる取組の範囲で掲げており、養成人数の目標値は置いていません［要協議］。</w:t>
        <w:br/>
        <w:t>注）通いの場の箇所数及び参加者数は町により大きく異なり、週1回以上の通いの場があるのは東神楽町のみです（第3章第1節）。本計画の目標値は現在の実施の状況を前提として置いており、整備が進む町がある場合は中間年の見直しにおいて改めます［要協議］。</w:t>
        <w:br/>
        <w:t>注）難聴高齢者の早期発見・早期介入は、令和8年度の保険者機能強化推進交付金等の評価指標に新たに加えられた項目（配点20点）です。令和8年度の構成3町の得点は東川町10点・美瑛町0点・東神楽町10点であり、町により差があります。取組の内容を確認できていないため、現に確認できる範囲で掲げるにとどめています［要確認］。</w:t>
      </w:r>
    </w:p>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240" w:after="120"/>
      </w:pPr>
      <w:bookmarkStart w:id="132" w:name="_Toc10_032"/>
      <w:r>
        <w:rPr>
          <w:rFonts w:ascii="游ゴシック" w:hAnsi="游ゴシック" w:eastAsia="游ゴシック"/>
          <w:sz w:val="25"/>
        </w:rPr>
        <w:t>基本目標3　持続可能なサービス提供・住まい</w:t>
      </w:r>
      <w:bookmarkEnd w:id="132"/>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240" w:after="120"/>
      </w:pPr>
      <w:bookmarkStart w:id="133" w:name="_Toc10_033"/>
      <w:r>
        <w:rPr>
          <w:rFonts w:ascii="游ゴシック" w:hAnsi="游ゴシック" w:eastAsia="游ゴシック"/>
          <w:sz w:val="25"/>
        </w:rPr>
        <w:t>基本目標4　介護人材・生産性・質・経営支援</w:t>
      </w:r>
      <w:bookmarkEnd w:id="133"/>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240" w:after="120"/>
      </w:pPr>
      <w:bookmarkStart w:id="134" w:name="_Toc10_034"/>
      <w:r>
        <w:rPr>
          <w:rFonts w:ascii="游ゴシック" w:hAnsi="游ゴシック" w:eastAsia="游ゴシック"/>
          <w:sz w:val="25"/>
        </w:rPr>
        <w:t>基本目標5　保険運営・レジリエンス・PDCA</w:t>
      </w:r>
      <w:bookmarkEnd w:id="134"/>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200" w:after="8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200" w:after="8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要配慮者利用施設の避難確保計画について、作成及び避難訓練の実施の状況を把握します。水防法及び土砂災害警戒区域等における土砂災害防止対策の推進に関する法律は、市町村地域防災計画に定められた要配慮者利用施設の所有者又は管理者に対し、避難確保計画の作成及び避難訓練の実施を求めています。北海道の評価指標⑦は避難確保計画を作成した施設数を指標としており、本計画はこれを施設数の実数により用います（第1章第8節）。対象となる施設は構成3町の地域防災計画によるため、3町と確認のうえ対象及び基準値を定めます［要確認］。避難確保計画はBCPとは別の計画であり、作成の根拠となる法律も異なるため、BCPの策定率をもって作成の状況としません。</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及び避難確保計画の実効性確保：策定状況の確認、訓練の実施、必須業務の特定、代替手順、相互応援協定、要配慮者利用施設の避難確保計画の作成及び避難訓練の確認（水防法・土砂災害防止法。対象施設は3町の地域防災計画による）</w:t>
            </w:r>
          </w:p>
        </w:tc>
        <w:tc>
          <w:tcPr>
            <w:tcW w:type="dxa" w:w="2958"/>
          </w:tcPr>
          <w:p>
            <w:r/>
            <w:r>
              <w:rPr>
                <w:rFonts w:ascii="游ゴシック" w:hAnsi="游ゴシック" w:eastAsia="游ゴシック"/>
                <w:sz w:val="17"/>
              </w:rPr>
              <w:t>BCP策定率 100％／訓練実施率／相互応援協定の締結数／改善完了率／避難確保計画を作成した施設数［要確認］</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35" w:name="_Toc10_035"/>
      <w:r>
        <w:rPr>
          <w:rFonts w:ascii="游ゴシック" w:hAnsi="游ゴシック" w:eastAsia="游ゴシック"/>
          <w:sz w:val="30"/>
        </w:rPr>
        <w:t>第6章　介護保険事業等の見込み</w:t>
      </w:r>
      <w:bookmarkEnd w:id="135"/>
    </w:p>
    <w:p>
      <w:pPr>
        <w:pStyle w:val="Heading2"/>
        <w:spacing w:before="240" w:after="12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認定率は、年報（各年度末現在）の第1号被保険者の認定者数を第1号被保険者数で除したものです。地域包括ケア「見える化」システムの総括表の要介護認定率は各年9月末現在の値であり、将来推計の参考シートが表示する認定率はさらにこれと異なります。いずれも分母・分子の定義によるものではなく時点等の違いによるものであり、本計画は年度末現在の値で統一しています［要確認］。</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pStyle w:val="Heading2"/>
        <w:spacing w:before="240" w:after="12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200" w:after="80"/>
      </w:pPr>
      <w:r>
        <w:rPr>
          <w:rFonts w:ascii="游ゴシック" w:hAnsi="游ゴシック" w:eastAsia="游ゴシック"/>
          <w:sz w:val="22"/>
        </w:rPr>
        <w:t>1　介護給付サービス（1月当たり利用者数）</w:t>
      </w:r>
    </w:p>
    <w:p>
      <w:pPr>
        <w:pStyle w:val="Heading3"/>
        <w:spacing w:before="200" w:after="8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200" w:after="8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w:t>
      </w:r>
    </w:p>
    <w:p>
      <w:pPr>
        <w:pStyle w:val="Heading3"/>
        <w:spacing w:before="200" w:after="8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200" w:after="8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200" w:after="8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過疎地域における小規模多機能型居宅介護の登録定員の超過の特例も用いていません。介護老人保健施設の令和8年度の利用者数が令和7年度を下回っていること（第4節2）も、4か月分の月報によるものであるため将来へ延長していません［要確認］。また、実績は年報（保険者単位）によっており、地域包括ケア「見える化」システムの画面が表示する令和7年度の値とは一部の区分で食い違います。年報の値は総括表及び給付費と内的整合が取れているため年報によっています（画面の値の作り方は確認できていません）［要確認］。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登録施設介護支援等に係る利用者負担の在り方は引き続き検討することとされており（第1章第9節5）、利用者負担が設けられる場合は給付費の算定が変わります［要確認］。</w:t>
      </w:r>
    </w:p>
    <w:p>
      <w:pPr>
        <w:pStyle w:val="Heading2"/>
        <w:spacing w:before="240" w:after="12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200" w:after="8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br/>
        <w:t>注）給付費の実績は、年報及び地域包括ケア「見える化」システムの総括表詳細（いずれも保険者単位）によっています。介護保険事業計画作成支援ツールの実績値は構成3町ごとに作成されるもので、数える対象が異なるため3町を合計しても保険者単位の値になりません。同ツールの値は比較のためにのみ用いています。</w:t>
      </w:r>
    </w:p>
    <w:p>
      <w:pPr>
        <w:pStyle w:val="Heading3"/>
        <w:spacing w:before="200" w:after="8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200" w:after="8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240" w:after="12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200" w:after="8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pStyle w:val="Heading3"/>
        <w:spacing w:before="200" w:after="8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200" w:after="8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【混合型特定施設入居者生活介護に係る必要利用定員総数】</w:t>
      </w:r>
    </w:p>
    <w:p>
      <w:pPr>
        <w:spacing w:after="80" w:line="269" w:lineRule="auto"/>
      </w:pPr>
      <w:r>
        <w:rPr>
          <w:rFonts w:ascii="游ゴシック" w:hAnsi="游ゴシック" w:eastAsia="游ゴシック"/>
          <w:b w:val="0"/>
          <w:sz w:val="21"/>
        </w:rPr>
        <w:t>介護保険法第117条第3項は、サービスの種類ごとの量を定めるに当たって勘案すべき事項として、混合型特定施設入居者生活介護に係る必要利用定員総数を挙げています。本計画では、混合型特定施設入居者生活介護に係る必要利用定員総数は定めないことと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928"/>
            <w:shd w:val="clear" w:color="auto" w:fill="DCE6F1"/>
          </w:tcPr>
          <w:p>
            <w:pPr>
              <w:jc w:val="center"/>
            </w:pPr>
            <w:r/>
            <w:r>
              <w:rPr>
                <w:rFonts w:ascii="游ゴシック" w:hAnsi="游ゴシック" w:eastAsia="游ゴシック"/>
                <w:b/>
                <w:sz w:val="17"/>
              </w:rPr>
              <w:t>区域内の定員</w:t>
            </w:r>
          </w:p>
        </w:tc>
        <w:tc>
          <w:tcPr>
            <w:tcW w:type="dxa" w:w="2835"/>
            <w:shd w:val="clear" w:color="auto" w:fill="DCE6F1"/>
          </w:tcPr>
          <w:p>
            <w:pPr>
              <w:jc w:val="center"/>
            </w:pPr>
            <w:r/>
            <w:r>
              <w:rPr>
                <w:rFonts w:ascii="游ゴシック" w:hAnsi="游ゴシック" w:eastAsia="游ゴシック"/>
                <w:b/>
                <w:sz w:val="17"/>
              </w:rPr>
              <w:t>令和7年度の受給者数（人／月）</w:t>
            </w:r>
          </w:p>
        </w:tc>
        <w:tc>
          <w:tcPr>
            <w:tcW w:type="dxa" w:w="2041"/>
            <w:shd w:val="clear" w:color="auto" w:fill="DCE6F1"/>
          </w:tcPr>
          <w:p>
            <w:pPr>
              <w:jc w:val="center"/>
            </w:pPr>
            <w:r/>
            <w:r>
              <w:rPr>
                <w:rFonts w:ascii="游ゴシック" w:hAnsi="游ゴシック" w:eastAsia="游ゴシック"/>
                <w:b/>
                <w:sz w:val="17"/>
              </w:rPr>
              <w:t>必要利用定員総数</w:t>
            </w:r>
          </w:p>
        </w:tc>
      </w:tr>
      <w:tr>
        <w:trPr>
          <w:cantSplit/>
        </w:trPr>
        <w:tc>
          <w:tcPr>
            <w:tcW w:type="dxa" w:w="2494"/>
          </w:tcPr>
          <w:p>
            <w:r/>
            <w:r>
              <w:rPr>
                <w:rFonts w:ascii="游ゴシック" w:hAnsi="游ゴシック" w:eastAsia="游ゴシック"/>
                <w:sz w:val="17"/>
              </w:rPr>
              <w:t>特定施設入居者生活介護</w:t>
            </w:r>
          </w:p>
        </w:tc>
        <w:tc>
          <w:tcPr>
            <w:tcW w:type="dxa" w:w="1928"/>
          </w:tcPr>
          <w:p>
            <w:r/>
            <w:r>
              <w:rPr>
                <w:rFonts w:ascii="游ゴシック" w:hAnsi="游ゴシック" w:eastAsia="游ゴシック"/>
                <w:sz w:val="17"/>
              </w:rPr>
              <w:t>156</w:t>
            </w:r>
          </w:p>
        </w:tc>
        <w:tc>
          <w:tcPr>
            <w:tcW w:type="dxa" w:w="2835"/>
          </w:tcPr>
          <w:p>
            <w:r/>
            <w:r>
              <w:rPr>
                <w:rFonts w:ascii="游ゴシック" w:hAnsi="游ゴシック" w:eastAsia="游ゴシック"/>
                <w:sz w:val="17"/>
              </w:rPr>
              <w:t>61.5</w:t>
            </w:r>
          </w:p>
        </w:tc>
        <w:tc>
          <w:tcPr>
            <w:tcW w:type="dxa" w:w="2041"/>
          </w:tcPr>
          <w:p>
            <w:r/>
            <w:r>
              <w:rPr>
                <w:rFonts w:ascii="游ゴシック" w:hAnsi="游ゴシック" w:eastAsia="游ゴシック"/>
                <w:sz w:val="17"/>
              </w:rPr>
              <w:t>定めない</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r>
    </w:p>
    <w:p>
      <w:pPr>
        <w:pStyle w:val="Heading2"/>
        <w:spacing w:before="240" w:after="12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とともに、その見通しを踏まえた介護給付等対象サービスの提供体制の確保及び地域支援事業の実施のための施策に関する事項を定めることとされています。見通しそのものは第1節から第3節に掲げており、本節及び第4節1がこれを踏まえた確保の方策に当たります。令和22年度の水準（第3節3）を踏まえた整備の考え方は、日常生活圏域ごとの必要利用定員総数の決定と併せて定めます［要協議］。条文の受領前であるため、定めるべき事項の範囲は［要確認］です。</w:t>
      </w:r>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240" w:after="12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200" w:after="8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本計画の算定は、基金を取り崩さないものとしています（不足する側に誤らない置き方です）。取り崩す場合は、1億円当たり月額▲308円に相当します。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spacing w:after="80" w:line="269" w:lineRule="auto"/>
      </w:pPr>
      <w:r>
        <w:rPr>
          <w:rFonts w:ascii="游ゴシック" w:hAnsi="游ゴシック" w:eastAsia="游ゴシック"/>
          <w:b w:val="0"/>
          <w:sz w:val="20"/>
        </w:rPr>
        <w:t>本計画の暫定算定は、単価を令和7年度で固定し、施策による効果を見込まず、給付の適正化による抑制を織り込まず、財政調整基金を取り崩さない置き方によっています。いずれも保険料が不足する側に誤らないための置き方であり、上表の前提を動かすと月額は上がる側に動くものが多くなります。このため、算定上の月額基準額は、現在置いている前提の下では低い側の水準にあります。条例で定める基準額は、政令の公布及び介護報酬改定率の告示を待って再算定したうえで決定します［要協議］。</w:t>
      </w:r>
    </w:p>
    <w:p>
      <w:pPr>
        <w:pStyle w:val="Heading3"/>
        <w:spacing w:before="200" w:after="8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200" w:after="8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あり、②に包括的支援事業費及び任意事業費は含みません。この扱いにより第9期計画の算定を再現し、公表されている月額基準額と一致することを確かめています［要確認］。本表の①②は本項の記号であり、第2項の給付費の置き方及び第5項の所得段階の置き方の①②③とは別のもの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200" w:after="8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240" w:after="12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43" w:name="_Toc10_043"/>
      <w:r>
        <w:rPr>
          <w:rFonts w:ascii="游ゴシック" w:hAnsi="游ゴシック" w:eastAsia="游ゴシック"/>
          <w:sz w:val="30"/>
        </w:rPr>
        <w:t>資料編</w:t>
      </w:r>
      <w:bookmarkEnd w:id="143"/>
    </w:p>
    <w:p>
      <w:pPr>
        <w:pStyle w:val="Heading2"/>
        <w:spacing w:before="240" w:after="12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200" w:after="8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200" w:after="8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240" w:after="12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200" w:after="8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200" w:after="8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200" w:after="8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240" w:after="12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240" w:after="12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240" w:after="12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240" w:after="12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240" w:after="12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【未確定箇所の表示】</w:t>
      </w:r>
    </w:p>
    <w:p>
      <w:pPr>
        <w:spacing w:after="80" w:line="269" w:lineRule="auto"/>
      </w:pPr>
      <w:r>
        <w:rPr>
          <w:rFonts w:ascii="游ゴシック" w:hAnsi="游ゴシック" w:eastAsia="游ゴシック"/>
          <w:b w:val="0"/>
          <w:sz w:val="20"/>
        </w:rPr>
        <w:t>本文中に次の3つの記号を用いています。いずれも計画の確定前に解消するものであり、公表する計画には残しません。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74"/>
            <w:shd w:val="clear" w:color="auto" w:fill="DCE6F1"/>
          </w:tcPr>
          <w:p>
            <w:pPr>
              <w:spacing w:before="0"/>
              <w:jc w:val="center"/>
            </w:pPr>
            <w:r/>
            <w:r>
              <w:rPr>
                <w:rFonts w:ascii="游ゴシック" w:hAnsi="游ゴシック" w:eastAsia="游ゴシック"/>
                <w:b/>
                <w:sz w:val="17"/>
              </w:rPr>
              <w:t>記号</w:t>
            </w:r>
          </w:p>
        </w:tc>
        <w:tc>
          <w:tcPr>
            <w:tcW w:type="dxa" w:w="4535"/>
            <w:shd w:val="clear" w:color="auto" w:fill="DCE6F1"/>
          </w:tcPr>
          <w:p>
            <w:pPr>
              <w:jc w:val="center"/>
            </w:pPr>
            <w:r/>
            <w:r>
              <w:rPr>
                <w:rFonts w:ascii="游ゴシック" w:hAnsi="游ゴシック" w:eastAsia="游ゴシック"/>
                <w:b/>
                <w:sz w:val="17"/>
              </w:rPr>
              <w:t>意味</w:t>
            </w:r>
          </w:p>
        </w:tc>
        <w:tc>
          <w:tcPr>
            <w:tcW w:type="dxa" w:w="3402"/>
            <w:shd w:val="clear" w:color="auto" w:fill="DCE6F1"/>
          </w:tcPr>
          <w:p>
            <w:pPr>
              <w:jc w:val="center"/>
            </w:pPr>
            <w:r/>
            <w:r>
              <w:rPr>
                <w:rFonts w:ascii="游ゴシック" w:hAnsi="游ゴシック" w:eastAsia="游ゴシック"/>
                <w:b/>
                <w:sz w:val="17"/>
              </w:rPr>
              <w:t>解消の方法</w:t>
            </w:r>
          </w:p>
        </w:tc>
      </w:tr>
      <w:tr>
        <w:trPr>
          <w:cantSplit/>
        </w:trPr>
        <w:tc>
          <w:tcPr>
            <w:tcW w:type="dxa" w:w="1474"/>
          </w:tcPr>
          <w:p>
            <w:r/>
            <w:r>
              <w:rPr>
                <w:rFonts w:ascii="游ゴシック" w:hAnsi="游ゴシック" w:eastAsia="游ゴシック"/>
                <w:sz w:val="17"/>
              </w:rPr>
              <w:t>［要協議］</w:t>
            </w:r>
          </w:p>
        </w:tc>
        <w:tc>
          <w:tcPr>
            <w:tcW w:type="dxa" w:w="4535"/>
          </w:tcPr>
          <w:p>
            <w:r/>
            <w:r>
              <w:rPr>
                <w:rFonts w:ascii="游ゴシック" w:hAnsi="游ゴシック" w:eastAsia="游ゴシック"/>
                <w:sz w:val="17"/>
              </w:rPr>
              <w:t>方針又は数値について、広域連合及び構成3町で協議して決めることを要するもの</w:t>
            </w:r>
          </w:p>
        </w:tc>
        <w:tc>
          <w:tcPr>
            <w:tcW w:type="dxa" w:w="3402"/>
          </w:tcPr>
          <w:p>
            <w:r/>
            <w:r>
              <w:rPr>
                <w:rFonts w:ascii="游ゴシック" w:hAnsi="游ゴシック" w:eastAsia="游ゴシック"/>
                <w:sz w:val="17"/>
              </w:rPr>
              <w:t>策定委員会（運営協議会）及び3町との協議により決定する</w:t>
            </w:r>
          </w:p>
        </w:tc>
      </w:tr>
      <w:tr>
        <w:trPr>
          <w:cantSplit/>
        </w:trPr>
        <w:tc>
          <w:tcPr>
            <w:tcW w:type="dxa" w:w="1474"/>
          </w:tcPr>
          <w:p>
            <w:r/>
            <w:r>
              <w:rPr>
                <w:rFonts w:ascii="游ゴシック" w:hAnsi="游ゴシック" w:eastAsia="游ゴシック"/>
                <w:sz w:val="17"/>
              </w:rPr>
              <w:t>［要確認］</w:t>
            </w:r>
          </w:p>
        </w:tc>
        <w:tc>
          <w:tcPr>
            <w:tcW w:type="dxa" w:w="4535"/>
          </w:tcPr>
          <w:p>
            <w:r/>
            <w:r>
              <w:rPr>
                <w:rFonts w:ascii="游ゴシック" w:hAnsi="游ゴシック" w:eastAsia="游ゴシック"/>
                <w:sz w:val="17"/>
              </w:rPr>
              <w:t>事実、制度の内容又は資料の所在を確認することを要するもの</w:t>
            </w:r>
          </w:p>
        </w:tc>
        <w:tc>
          <w:tcPr>
            <w:tcW w:type="dxa" w:w="3402"/>
          </w:tcPr>
          <w:p>
            <w:r/>
            <w:r>
              <w:rPr>
                <w:rFonts w:ascii="游ゴシック" w:hAnsi="游ゴシック" w:eastAsia="游ゴシック"/>
                <w:sz w:val="17"/>
              </w:rPr>
              <w:t>資料の受領、国の政令・省令・告示の公布又は関係機関への照会により確認する</w:t>
            </w:r>
          </w:p>
        </w:tc>
      </w:tr>
      <w:tr>
        <w:trPr>
          <w:cantSplit/>
        </w:trPr>
        <w:tc>
          <w:tcPr>
            <w:tcW w:type="dxa" w:w="1474"/>
          </w:tcPr>
          <w:p>
            <w:r/>
            <w:r>
              <w:rPr>
                <w:rFonts w:ascii="游ゴシック" w:hAnsi="游ゴシック" w:eastAsia="游ゴシック"/>
                <w:sz w:val="17"/>
              </w:rPr>
              <w:t>［要内訳］</w:t>
            </w:r>
          </w:p>
        </w:tc>
        <w:tc>
          <w:tcPr>
            <w:tcW w:type="dxa" w:w="4535"/>
          </w:tcPr>
          <w:p>
            <w:r/>
            <w:r>
              <w:rPr>
                <w:rFonts w:ascii="游ゴシック" w:hAnsi="游ゴシック" w:eastAsia="游ゴシック"/>
                <w:sz w:val="17"/>
              </w:rPr>
              <w:t>合計の額は確定しているが、その内訳を把握できていないもの</w:t>
            </w:r>
          </w:p>
        </w:tc>
        <w:tc>
          <w:tcPr>
            <w:tcW w:type="dxa" w:w="3402"/>
          </w:tcPr>
          <w:p>
            <w:r/>
            <w:r>
              <w:rPr>
                <w:rFonts w:ascii="游ゴシック" w:hAnsi="游ゴシック" w:eastAsia="游ゴシック"/>
                <w:sz w:val="17"/>
              </w:rPr>
              <w:t>事業別の実績の提供を受けて内訳を記載する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1" w:name="_Pub_051"/>
      <w:r>
        <w:rPr>
          <w:rFonts w:ascii="游ゴシック" w:hAnsi="游ゴシック" w:eastAsia="游ゴシック"/>
          <w:b w:val="0"/>
          <w:sz w:val="30"/>
        </w:rPr>
        <w:t>参考　介護サービスの内容</w:t>
      </w:r>
      <w:bookmarkEnd w:id="1001"/>
    </w:p>
    <w:p>
      <w:pPr>
        <w:spacing w:after="80" w:before="0" w:line="259" w:lineRule="auto"/>
      </w:pPr>
      <w:r>
        <w:rPr>
          <w:rFonts w:ascii="游ゴシック" w:hAnsi="游ゴシック" w:eastAsia="游ゴシック"/>
          <w:b w:val="0"/>
          <w:sz w:val="21"/>
        </w:rPr>
        <w:t>本計画に掲げる介護サービスの内容は次のとおりです。介護保険法及び国が定める基準によるものであり、実際に利用できるサービスは要介護度により異なります。</w:t>
      </w:r>
    </w:p>
    <w:p>
      <w:pPr>
        <w:spacing w:after="80" w:before="0" w:line="259" w:lineRule="auto"/>
      </w:pPr>
      <w:r>
        <w:rPr>
          <w:rFonts w:ascii="游ゴシック" w:hAnsi="游ゴシック" w:eastAsia="游ゴシック"/>
          <w:b w:val="0"/>
          <w:sz w:val="21"/>
        </w:rPr>
        <w:t>区域内に事業所がないサービスもあります（第2章第3節）。その場合も、区域外の事業所のサービスを利用することができます。ただし、事業所が運営規程に定める「通常の事業の実施地域」の外にお住まいの場合は、交通費等の実費をご負担いただくことがあります。ご利用の可否と費用は、担当のケアマネジャー又はお住まいの町の地域包括支援センターにご相談ください。</w:t>
      </w:r>
    </w:p>
    <w:p>
      <w:pPr>
        <w:pStyle w:val="Heading2"/>
        <w:spacing w:before="240" w:after="120"/>
      </w:pPr>
      <w:bookmarkStart w:id="1002" w:name="_Pub_052"/>
      <w:r>
        <w:rPr>
          <w:rFonts w:ascii="游ゴシック" w:hAnsi="游ゴシック" w:eastAsia="游ゴシック"/>
          <w:b w:val="0"/>
          <w:sz w:val="25"/>
        </w:rPr>
        <w:t>施設サービス</w:t>
      </w:r>
      <w:bookmarkEnd w:id="1002"/>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介護老人福祉施設</w:t>
            </w:r>
          </w:p>
        </w:tc>
        <w:tc>
          <w:tcPr>
            <w:tcW w:type="dxa" w:w="6576"/>
          </w:tcPr>
          <w:p>
            <w:r/>
            <w:r>
              <w:rPr>
                <w:rFonts w:ascii="游ゴシック" w:hAnsi="游ゴシック" w:eastAsia="游ゴシック"/>
                <w:b w:val="0"/>
                <w:sz w:val="18"/>
              </w:rPr>
              <w:t>常時介護が必要で居宅において介護を受けることが困難な方が入所し、入浴、排せつ、食事等の介護、機能訓練、健康管理及び療養上の世話を受ける施設です。特別養護老人ホームともいいます。新たに入所できるのは原則として要介護3以上の方です。</w:t>
            </w:r>
          </w:p>
        </w:tc>
      </w:tr>
      <w:tr>
        <w:trPr>
          <w:cantSplit/>
        </w:trPr>
        <w:tc>
          <w:tcPr>
            <w:tcW w:type="dxa" w:w="2835"/>
          </w:tcPr>
          <w:p>
            <w:r/>
            <w:r>
              <w:rPr>
                <w:rFonts w:ascii="游ゴシック" w:hAnsi="游ゴシック" w:eastAsia="游ゴシック"/>
                <w:b w:val="0"/>
                <w:sz w:val="18"/>
              </w:rPr>
              <w:t>地域密着型介護老人福祉施設入所者生活介護</w:t>
            </w:r>
          </w:p>
        </w:tc>
        <w:tc>
          <w:tcPr>
            <w:tcW w:type="dxa" w:w="6576"/>
          </w:tcPr>
          <w:p>
            <w:r/>
            <w:r>
              <w:rPr>
                <w:rFonts w:ascii="游ゴシック" w:hAnsi="游ゴシック" w:eastAsia="游ゴシック"/>
                <w:b w:val="0"/>
                <w:sz w:val="18"/>
              </w:rPr>
              <w:t>入所定員が29人以下の介護老人福祉施設です。住み慣れた地域での生活を続けられるよう、原則として当該市町村の被保険者が利用します。</w:t>
            </w:r>
          </w:p>
        </w:tc>
      </w:tr>
      <w:tr>
        <w:trPr>
          <w:cantSplit/>
        </w:trPr>
        <w:tc>
          <w:tcPr>
            <w:tcW w:type="dxa" w:w="2835"/>
          </w:tcPr>
          <w:p>
            <w:r/>
            <w:r>
              <w:rPr>
                <w:rFonts w:ascii="游ゴシック" w:hAnsi="游ゴシック" w:eastAsia="游ゴシック"/>
                <w:b w:val="0"/>
                <w:sz w:val="18"/>
              </w:rPr>
              <w:t>介護老人保健施設</w:t>
            </w:r>
          </w:p>
        </w:tc>
        <w:tc>
          <w:tcPr>
            <w:tcW w:type="dxa" w:w="6576"/>
          </w:tcPr>
          <w:p>
            <w:r/>
            <w:r>
              <w:rPr>
                <w:rFonts w:ascii="游ゴシック" w:hAnsi="游ゴシック" w:eastAsia="游ゴシック"/>
                <w:b w:val="0"/>
                <w:sz w:val="18"/>
              </w:rPr>
              <w:t>病状が安定し、在宅復帰に向けたリハビリテーションや看護・介護を必要とする方が入所する施設です。</w:t>
            </w:r>
          </w:p>
        </w:tc>
      </w:tr>
      <w:tr>
        <w:trPr>
          <w:cantSplit/>
        </w:trPr>
        <w:tc>
          <w:tcPr>
            <w:tcW w:type="dxa" w:w="2835"/>
          </w:tcPr>
          <w:p>
            <w:r/>
            <w:r>
              <w:rPr>
                <w:rFonts w:ascii="游ゴシック" w:hAnsi="游ゴシック" w:eastAsia="游ゴシック"/>
                <w:b w:val="0"/>
                <w:sz w:val="18"/>
              </w:rPr>
              <w:t>介護医療院</w:t>
            </w:r>
          </w:p>
        </w:tc>
        <w:tc>
          <w:tcPr>
            <w:tcW w:type="dxa" w:w="6576"/>
          </w:tcPr>
          <w:p>
            <w:r/>
            <w:r>
              <w:rPr>
                <w:rFonts w:ascii="游ゴシック" w:hAnsi="游ゴシック" w:eastAsia="游ゴシック"/>
                <w:b w:val="0"/>
                <w:sz w:val="18"/>
              </w:rPr>
              <w:t>長期にわたる療養が必要な方が入所し、療養上の管理、看護、医学的管理のもとでの介護及び機能訓練その他必要な医療と日常生活上の世話を受ける施設です。</w:t>
            </w:r>
          </w:p>
        </w:tc>
      </w:tr>
      <w:tr>
        <w:trPr>
          <w:cantSplit/>
        </w:trPr>
        <w:tc>
          <w:tcPr>
            <w:tcW w:type="dxa" w:w="2835"/>
          </w:tcPr>
          <w:p>
            <w:r/>
            <w:r>
              <w:rPr>
                <w:rFonts w:ascii="游ゴシック" w:hAnsi="游ゴシック" w:eastAsia="游ゴシック"/>
                <w:b w:val="0"/>
                <w:sz w:val="18"/>
              </w:rPr>
              <w:t>介護療養型医療施設</w:t>
            </w:r>
          </w:p>
        </w:tc>
        <w:tc>
          <w:tcPr>
            <w:tcW w:type="dxa" w:w="6576"/>
          </w:tcPr>
          <w:p>
            <w:r/>
            <w:r>
              <w:rPr>
                <w:rFonts w:ascii="游ゴシック" w:hAnsi="游ゴシック" w:eastAsia="游ゴシック"/>
                <w:b w:val="0"/>
                <w:sz w:val="18"/>
              </w:rPr>
              <w:t>令和5年度末で廃止された施設類型です。介護医療院等へ転換されています。</w:t>
            </w:r>
          </w:p>
        </w:tc>
      </w:tr>
    </w:tbl>
    <w:p>
      <w:pPr>
        <w:pStyle w:val="Heading2"/>
        <w:spacing w:before="240" w:after="120"/>
      </w:pPr>
      <w:bookmarkStart w:id="1003" w:name="_Pub_053"/>
      <w:r>
        <w:rPr>
          <w:rFonts w:ascii="游ゴシック" w:hAnsi="游ゴシック" w:eastAsia="游ゴシック"/>
          <w:b w:val="0"/>
          <w:sz w:val="25"/>
        </w:rPr>
        <w:t>居住系サービス</w:t>
      </w:r>
      <w:bookmarkEnd w:id="1003"/>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特定施設入居者生活介護</w:t>
            </w:r>
          </w:p>
        </w:tc>
        <w:tc>
          <w:tcPr>
            <w:tcW w:type="dxa" w:w="6576"/>
          </w:tcPr>
          <w:p>
            <w:r/>
            <w:r>
              <w:rPr>
                <w:rFonts w:ascii="游ゴシック" w:hAnsi="游ゴシック" w:eastAsia="游ゴシック"/>
                <w:b w:val="0"/>
                <w:sz w:val="18"/>
              </w:rPr>
              <w:t>有料老人ホーム、軽費老人ホーム等に入居している方が、入浴、排せつ、食事等の介護、機能訓練及び療養上の世話を受けるサービスです。</w:t>
            </w:r>
          </w:p>
        </w:tc>
      </w:tr>
      <w:tr>
        <w:trPr>
          <w:cantSplit/>
        </w:trPr>
        <w:tc>
          <w:tcPr>
            <w:tcW w:type="dxa" w:w="2835"/>
          </w:tcPr>
          <w:p>
            <w:r/>
            <w:r>
              <w:rPr>
                <w:rFonts w:ascii="游ゴシック" w:hAnsi="游ゴシック" w:eastAsia="游ゴシック"/>
                <w:b w:val="0"/>
                <w:sz w:val="18"/>
              </w:rPr>
              <w:t>地域密着型特定施設入居者生活介護</w:t>
            </w:r>
          </w:p>
        </w:tc>
        <w:tc>
          <w:tcPr>
            <w:tcW w:type="dxa" w:w="6576"/>
          </w:tcPr>
          <w:p>
            <w:r/>
            <w:r>
              <w:rPr>
                <w:rFonts w:ascii="游ゴシック" w:hAnsi="游ゴシック" w:eastAsia="游ゴシック"/>
                <w:b w:val="0"/>
                <w:sz w:val="18"/>
              </w:rPr>
              <w:t>入居定員が29人以下の特定施設が行う特定施設入居者生活介護です。</w:t>
            </w:r>
          </w:p>
        </w:tc>
      </w:tr>
      <w:tr>
        <w:trPr>
          <w:cantSplit/>
        </w:trPr>
        <w:tc>
          <w:tcPr>
            <w:tcW w:type="dxa" w:w="2835"/>
          </w:tcPr>
          <w:p>
            <w:r/>
            <w:r>
              <w:rPr>
                <w:rFonts w:ascii="游ゴシック" w:hAnsi="游ゴシック" w:eastAsia="游ゴシック"/>
                <w:b w:val="0"/>
                <w:sz w:val="18"/>
              </w:rPr>
              <w:t>認知症対応型共同生活介護</w:t>
            </w:r>
          </w:p>
        </w:tc>
        <w:tc>
          <w:tcPr>
            <w:tcW w:type="dxa" w:w="6576"/>
          </w:tcPr>
          <w:p>
            <w:r/>
            <w:r>
              <w:rPr>
                <w:rFonts w:ascii="游ゴシック" w:hAnsi="游ゴシック" w:eastAsia="游ゴシック"/>
                <w:b w:val="0"/>
                <w:sz w:val="18"/>
              </w:rPr>
              <w:t>認知症の方が5人から9人の少人数で共同生活を営む住居で、入浴、排せつ、食事等の介護その他の日常生活上の世話及び機能訓練を受けるサービスです。グループホームともいいます。</w:t>
            </w:r>
          </w:p>
        </w:tc>
      </w:tr>
    </w:tbl>
    <w:p>
      <w:pPr>
        <w:pStyle w:val="Heading2"/>
        <w:spacing w:before="240" w:after="120"/>
      </w:pPr>
      <w:bookmarkStart w:id="1004" w:name="_Pub_054"/>
      <w:r>
        <w:rPr>
          <w:rFonts w:ascii="游ゴシック" w:hAnsi="游ゴシック" w:eastAsia="游ゴシック"/>
          <w:b w:val="0"/>
          <w:sz w:val="25"/>
        </w:rPr>
        <w:t>居宅サービス・地域密着型サービス等</w:t>
      </w:r>
      <w:bookmarkEnd w:id="1004"/>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訪問介護</w:t>
            </w:r>
          </w:p>
        </w:tc>
        <w:tc>
          <w:tcPr>
            <w:tcW w:type="dxa" w:w="6576"/>
          </w:tcPr>
          <w:p>
            <w:r/>
            <w:r>
              <w:rPr>
                <w:rFonts w:ascii="游ゴシック" w:hAnsi="游ゴシック" w:eastAsia="游ゴシック"/>
                <w:b w:val="0"/>
                <w:sz w:val="18"/>
              </w:rPr>
              <w:t>訪問介護員（ホームヘルパー）が居宅を訪問し、入浴、排せつ、食事等の身体介護や、調理、洗濯、掃除等の生活援助を行うサービスです。</w:t>
            </w:r>
          </w:p>
        </w:tc>
      </w:tr>
      <w:tr>
        <w:trPr>
          <w:cantSplit/>
        </w:trPr>
        <w:tc>
          <w:tcPr>
            <w:tcW w:type="dxa" w:w="2835"/>
          </w:tcPr>
          <w:p>
            <w:r/>
            <w:r>
              <w:rPr>
                <w:rFonts w:ascii="游ゴシック" w:hAnsi="游ゴシック" w:eastAsia="游ゴシック"/>
                <w:b w:val="0"/>
                <w:sz w:val="18"/>
              </w:rPr>
              <w:t>訪問入浴介護</w:t>
            </w:r>
          </w:p>
        </w:tc>
        <w:tc>
          <w:tcPr>
            <w:tcW w:type="dxa" w:w="6576"/>
          </w:tcPr>
          <w:p>
            <w:r/>
            <w:r>
              <w:rPr>
                <w:rFonts w:ascii="游ゴシック" w:hAnsi="游ゴシック" w:eastAsia="游ゴシック"/>
                <w:b w:val="0"/>
                <w:sz w:val="18"/>
              </w:rPr>
              <w:t>簡易浴槽を積んだ入浴車等により居宅を訪問し、入浴の介護を行うサービスです。</w:t>
            </w:r>
          </w:p>
        </w:tc>
      </w:tr>
      <w:tr>
        <w:trPr>
          <w:cantSplit/>
        </w:trPr>
        <w:tc>
          <w:tcPr>
            <w:tcW w:type="dxa" w:w="2835"/>
          </w:tcPr>
          <w:p>
            <w:r/>
            <w:r>
              <w:rPr>
                <w:rFonts w:ascii="游ゴシック" w:hAnsi="游ゴシック" w:eastAsia="游ゴシック"/>
                <w:b w:val="0"/>
                <w:sz w:val="18"/>
              </w:rPr>
              <w:t>訪問看護</w:t>
            </w:r>
          </w:p>
        </w:tc>
        <w:tc>
          <w:tcPr>
            <w:tcW w:type="dxa" w:w="6576"/>
          </w:tcPr>
          <w:p>
            <w:r/>
            <w:r>
              <w:rPr>
                <w:rFonts w:ascii="游ゴシック" w:hAnsi="游ゴシック" w:eastAsia="游ゴシック"/>
                <w:b w:val="0"/>
                <w:sz w:val="18"/>
              </w:rPr>
              <w:t>看護師等が居宅を訪問し、主治医の指示に基づいて療養上の世話又は必要な診療の補助を行うサービスです。</w:t>
            </w:r>
          </w:p>
        </w:tc>
      </w:tr>
      <w:tr>
        <w:trPr>
          <w:cantSplit/>
        </w:trPr>
        <w:tc>
          <w:tcPr>
            <w:tcW w:type="dxa" w:w="2835"/>
          </w:tcPr>
          <w:p>
            <w:r/>
            <w:r>
              <w:rPr>
                <w:rFonts w:ascii="游ゴシック" w:hAnsi="游ゴシック" w:eastAsia="游ゴシック"/>
                <w:b w:val="0"/>
                <w:sz w:val="18"/>
              </w:rPr>
              <w:t>訪問リハビリテーション</w:t>
            </w:r>
          </w:p>
        </w:tc>
        <w:tc>
          <w:tcPr>
            <w:tcW w:type="dxa" w:w="6576"/>
          </w:tcPr>
          <w:p>
            <w:r/>
            <w:r>
              <w:rPr>
                <w:rFonts w:ascii="游ゴシック" w:hAnsi="游ゴシック" w:eastAsia="游ゴシック"/>
                <w:b w:val="0"/>
                <w:sz w:val="18"/>
              </w:rPr>
              <w:t>理学療法士、作業療法士又は言語聴覚士が居宅を訪問し、心身の機能の維持回復を図るための機能訓練を行うサービスです。</w:t>
            </w:r>
          </w:p>
        </w:tc>
      </w:tr>
      <w:tr>
        <w:trPr>
          <w:cantSplit/>
        </w:trPr>
        <w:tc>
          <w:tcPr>
            <w:tcW w:type="dxa" w:w="2835"/>
          </w:tcPr>
          <w:p>
            <w:r/>
            <w:r>
              <w:rPr>
                <w:rFonts w:ascii="游ゴシック" w:hAnsi="游ゴシック" w:eastAsia="游ゴシック"/>
                <w:b w:val="0"/>
                <w:sz w:val="18"/>
              </w:rPr>
              <w:t>居宅療養管理指導</w:t>
            </w:r>
          </w:p>
        </w:tc>
        <w:tc>
          <w:tcPr>
            <w:tcW w:type="dxa" w:w="6576"/>
          </w:tcPr>
          <w:p>
            <w:r/>
            <w:r>
              <w:rPr>
                <w:rFonts w:ascii="游ゴシック" w:hAnsi="游ゴシック" w:eastAsia="游ゴシック"/>
                <w:b w:val="0"/>
                <w:sz w:val="18"/>
              </w:rPr>
              <w:t>医師、歯科医師、薬剤師、管理栄養士等が居宅を訪問し、療養上の管理及び指導を行うサービスです。</w:t>
            </w:r>
          </w:p>
        </w:tc>
      </w:tr>
      <w:tr>
        <w:trPr>
          <w:cantSplit/>
        </w:trPr>
        <w:tc>
          <w:tcPr>
            <w:tcW w:type="dxa" w:w="2835"/>
          </w:tcPr>
          <w:p>
            <w:r/>
            <w:r>
              <w:rPr>
                <w:rFonts w:ascii="游ゴシック" w:hAnsi="游ゴシック" w:eastAsia="游ゴシック"/>
                <w:b w:val="0"/>
                <w:sz w:val="18"/>
              </w:rPr>
              <w:t>通所介護</w:t>
            </w:r>
          </w:p>
        </w:tc>
        <w:tc>
          <w:tcPr>
            <w:tcW w:type="dxa" w:w="6576"/>
          </w:tcPr>
          <w:p>
            <w:r/>
            <w:r>
              <w:rPr>
                <w:rFonts w:ascii="游ゴシック" w:hAnsi="游ゴシック" w:eastAsia="游ゴシック"/>
                <w:b w:val="0"/>
                <w:sz w:val="18"/>
              </w:rPr>
              <w:t>デイサービスセンター等に通い、入浴、排せつ、食事等の介護、生活等についての相談・助言、健康状態の確認その他の日常生活上の世話及び機能訓練を受けるサービスです。利用定員が19人以上のものをいいます。</w:t>
            </w:r>
          </w:p>
        </w:tc>
      </w:tr>
      <w:tr>
        <w:trPr>
          <w:cantSplit/>
        </w:trPr>
        <w:tc>
          <w:tcPr>
            <w:tcW w:type="dxa" w:w="2835"/>
          </w:tcPr>
          <w:p>
            <w:r/>
            <w:r>
              <w:rPr>
                <w:rFonts w:ascii="游ゴシック" w:hAnsi="游ゴシック" w:eastAsia="游ゴシック"/>
                <w:b w:val="0"/>
                <w:sz w:val="18"/>
              </w:rPr>
              <w:t>地域密着型通所介護</w:t>
            </w:r>
          </w:p>
        </w:tc>
        <w:tc>
          <w:tcPr>
            <w:tcW w:type="dxa" w:w="6576"/>
          </w:tcPr>
          <w:p>
            <w:r/>
            <w:r>
              <w:rPr>
                <w:rFonts w:ascii="游ゴシック" w:hAnsi="游ゴシック" w:eastAsia="游ゴシック"/>
                <w:b w:val="0"/>
                <w:sz w:val="18"/>
              </w:rPr>
              <w:t>利用定員が18人以下の通所介護です。</w:t>
            </w:r>
          </w:p>
        </w:tc>
      </w:tr>
      <w:tr>
        <w:trPr>
          <w:cantSplit/>
        </w:trPr>
        <w:tc>
          <w:tcPr>
            <w:tcW w:type="dxa" w:w="2835"/>
          </w:tcPr>
          <w:p>
            <w:r/>
            <w:r>
              <w:rPr>
                <w:rFonts w:ascii="游ゴシック" w:hAnsi="游ゴシック" w:eastAsia="游ゴシック"/>
                <w:b w:val="0"/>
                <w:sz w:val="18"/>
              </w:rPr>
              <w:t>通所リハビリテーション</w:t>
            </w:r>
          </w:p>
        </w:tc>
        <w:tc>
          <w:tcPr>
            <w:tcW w:type="dxa" w:w="6576"/>
          </w:tcPr>
          <w:p>
            <w:r/>
            <w:r>
              <w:rPr>
                <w:rFonts w:ascii="游ゴシック" w:hAnsi="游ゴシック" w:eastAsia="游ゴシック"/>
                <w:b w:val="0"/>
                <w:sz w:val="18"/>
              </w:rPr>
              <w:t>介護老人保健施設、病院、診療所等に通い、心身の機能の維持回復を図るための理学療法、作業療法その他必要なリハビリテーションを受けるサービスです。デイケアともいいます。</w:t>
            </w:r>
          </w:p>
        </w:tc>
      </w:tr>
      <w:tr>
        <w:trPr>
          <w:cantSplit/>
        </w:trPr>
        <w:tc>
          <w:tcPr>
            <w:tcW w:type="dxa" w:w="2835"/>
          </w:tcPr>
          <w:p>
            <w:r/>
            <w:r>
              <w:rPr>
                <w:rFonts w:ascii="游ゴシック" w:hAnsi="游ゴシック" w:eastAsia="游ゴシック"/>
                <w:b w:val="0"/>
                <w:sz w:val="18"/>
              </w:rPr>
              <w:t>短期入所生活介護</w:t>
            </w:r>
          </w:p>
        </w:tc>
        <w:tc>
          <w:tcPr>
            <w:tcW w:type="dxa" w:w="6576"/>
          </w:tcPr>
          <w:p>
            <w:r/>
            <w:r>
              <w:rPr>
                <w:rFonts w:ascii="游ゴシック" w:hAnsi="游ゴシック" w:eastAsia="游ゴシック"/>
                <w:b w:val="0"/>
                <w:sz w:val="18"/>
              </w:rPr>
              <w:t>介護老人福祉施設等に短期間入所し、入浴、排せつ、食事等の介護その他の日常生活上の世話及び機能訓練を受けるサービスです。ショートステイともいいます。</w:t>
            </w:r>
          </w:p>
        </w:tc>
      </w:tr>
      <w:tr>
        <w:trPr>
          <w:cantSplit/>
        </w:trPr>
        <w:tc>
          <w:tcPr>
            <w:tcW w:type="dxa" w:w="2835"/>
          </w:tcPr>
          <w:p>
            <w:r/>
            <w:r>
              <w:rPr>
                <w:rFonts w:ascii="游ゴシック" w:hAnsi="游ゴシック" w:eastAsia="游ゴシック"/>
                <w:b w:val="0"/>
                <w:sz w:val="18"/>
              </w:rPr>
              <w:t>短期入所療養介護（老健）</w:t>
            </w:r>
          </w:p>
        </w:tc>
        <w:tc>
          <w:tcPr>
            <w:tcW w:type="dxa" w:w="6576"/>
          </w:tcPr>
          <w:p>
            <w:r/>
            <w:r>
              <w:rPr>
                <w:rFonts w:ascii="游ゴシック" w:hAnsi="游ゴシック" w:eastAsia="游ゴシック"/>
                <w:b w:val="0"/>
                <w:sz w:val="18"/>
              </w:rPr>
              <w:t>介護老人保健施設に短期間入所し、看護、医学的管理のもとでの介護、機能訓練その他必要な医療と日常生活上の世話を受けるサービスです。</w:t>
            </w:r>
          </w:p>
        </w:tc>
      </w:tr>
      <w:tr>
        <w:trPr>
          <w:cantSplit/>
        </w:trPr>
        <w:tc>
          <w:tcPr>
            <w:tcW w:type="dxa" w:w="2835"/>
          </w:tcPr>
          <w:p>
            <w:r/>
            <w:r>
              <w:rPr>
                <w:rFonts w:ascii="游ゴシック" w:hAnsi="游ゴシック" w:eastAsia="游ゴシック"/>
                <w:b w:val="0"/>
                <w:sz w:val="18"/>
              </w:rPr>
              <w:t>短期入所療養介護（病院等）</w:t>
            </w:r>
          </w:p>
        </w:tc>
        <w:tc>
          <w:tcPr>
            <w:tcW w:type="dxa" w:w="6576"/>
          </w:tcPr>
          <w:p>
            <w:r/>
            <w:r>
              <w:rPr>
                <w:rFonts w:ascii="游ゴシック" w:hAnsi="游ゴシック" w:eastAsia="游ゴシック"/>
                <w:b w:val="0"/>
                <w:sz w:val="18"/>
              </w:rPr>
              <w:t>療養病床を有する病院又は診療所に短期間入所し、看護、医学的管理のもとでの介護等を受けるサービスです。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短期入所療養介護（介護医療院）</w:t>
            </w:r>
          </w:p>
        </w:tc>
        <w:tc>
          <w:tcPr>
            <w:tcW w:type="dxa" w:w="6576"/>
          </w:tcPr>
          <w:p>
            <w:r/>
            <w:r>
              <w:rPr>
                <w:rFonts w:ascii="游ゴシック" w:hAnsi="游ゴシック" w:eastAsia="游ゴシック"/>
                <w:b w:val="0"/>
                <w:sz w:val="18"/>
              </w:rPr>
              <w:t>介護医療院に短期間入所し、看護、医学的管理のもとでの介護等を受けるサービスです。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福祉用具貸与</w:t>
            </w:r>
          </w:p>
        </w:tc>
        <w:tc>
          <w:tcPr>
            <w:tcW w:type="dxa" w:w="6576"/>
          </w:tcPr>
          <w:p>
            <w:r/>
            <w:r>
              <w:rPr>
                <w:rFonts w:ascii="游ゴシック" w:hAnsi="游ゴシック" w:eastAsia="游ゴシック"/>
                <w:b w:val="0"/>
                <w:sz w:val="18"/>
              </w:rPr>
              <w:t>車いす、特殊寝台、手すり、歩行器等の福祉用具を貸与するサービスです。要介護度により貸与できる種目が異なります。</w:t>
            </w:r>
          </w:p>
        </w:tc>
      </w:tr>
      <w:tr>
        <w:trPr>
          <w:cantSplit/>
        </w:trPr>
        <w:tc>
          <w:tcPr>
            <w:tcW w:type="dxa" w:w="2835"/>
          </w:tcPr>
          <w:p>
            <w:r/>
            <w:r>
              <w:rPr>
                <w:rFonts w:ascii="游ゴシック" w:hAnsi="游ゴシック" w:eastAsia="游ゴシック"/>
                <w:b w:val="0"/>
                <w:sz w:val="18"/>
              </w:rPr>
              <w:t>特定福祉用具販売</w:t>
            </w:r>
          </w:p>
        </w:tc>
        <w:tc>
          <w:tcPr>
            <w:tcW w:type="dxa" w:w="6576"/>
          </w:tcPr>
          <w:p>
            <w:r/>
            <w:r>
              <w:rPr>
                <w:rFonts w:ascii="游ゴシック" w:hAnsi="游ゴシック" w:eastAsia="游ゴシック"/>
                <w:b w:val="0"/>
                <w:sz w:val="18"/>
              </w:rPr>
              <w:t>入浴又は排せつの用に供する福祉用具など、貸与になじまない用具を販売するものです。年間10万円を上限に購入費が支給されます。</w:t>
            </w:r>
          </w:p>
        </w:tc>
      </w:tr>
      <w:tr>
        <w:trPr>
          <w:cantSplit/>
        </w:trPr>
        <w:tc>
          <w:tcPr>
            <w:tcW w:type="dxa" w:w="2835"/>
          </w:tcPr>
          <w:p>
            <w:r/>
            <w:r>
              <w:rPr>
                <w:rFonts w:ascii="游ゴシック" w:hAnsi="游ゴシック" w:eastAsia="游ゴシック"/>
                <w:b w:val="0"/>
                <w:sz w:val="18"/>
              </w:rPr>
              <w:t>住宅改修</w:t>
            </w:r>
          </w:p>
        </w:tc>
        <w:tc>
          <w:tcPr>
            <w:tcW w:type="dxa" w:w="6576"/>
          </w:tcPr>
          <w:p>
            <w:r/>
            <w:r>
              <w:rPr>
                <w:rFonts w:ascii="游ゴシック" w:hAnsi="游ゴシック" w:eastAsia="游ゴシック"/>
                <w:b w:val="0"/>
                <w:sz w:val="18"/>
              </w:rPr>
              <w:t>手すりの取付け、段差の解消、床材の変更、引き戸等への取替え、洋式便器等への取替え等について、20万円を上限に改修費が支給されるものです。</w:t>
            </w:r>
          </w:p>
        </w:tc>
      </w:tr>
      <w:tr>
        <w:trPr>
          <w:cantSplit/>
        </w:trPr>
        <w:tc>
          <w:tcPr>
            <w:tcW w:type="dxa" w:w="2835"/>
          </w:tcPr>
          <w:p>
            <w:r/>
            <w:r>
              <w:rPr>
                <w:rFonts w:ascii="游ゴシック" w:hAnsi="游ゴシック" w:eastAsia="游ゴシック"/>
                <w:b w:val="0"/>
                <w:sz w:val="18"/>
              </w:rPr>
              <w:t>定期巡回・随時対応型訪問介護看護</w:t>
            </w:r>
          </w:p>
        </w:tc>
        <w:tc>
          <w:tcPr>
            <w:tcW w:type="dxa" w:w="6576"/>
          </w:tcPr>
          <w:p>
            <w:r/>
            <w:r>
              <w:rPr>
                <w:rFonts w:ascii="游ゴシック" w:hAnsi="游ゴシック" w:eastAsia="游ゴシック"/>
                <w:b w:val="0"/>
                <w:sz w:val="18"/>
              </w:rPr>
              <w:t>日中・夜間を通じて、定期的な巡回訪問と随時の通報への対応により、介護と看護を一体的に又は密接に連携して提供するサービスです。</w:t>
            </w:r>
          </w:p>
        </w:tc>
      </w:tr>
      <w:tr>
        <w:trPr>
          <w:cantSplit/>
        </w:trPr>
        <w:tc>
          <w:tcPr>
            <w:tcW w:type="dxa" w:w="2835"/>
          </w:tcPr>
          <w:p>
            <w:r/>
            <w:r>
              <w:rPr>
                <w:rFonts w:ascii="游ゴシック" w:hAnsi="游ゴシック" w:eastAsia="游ゴシック"/>
                <w:b w:val="0"/>
                <w:sz w:val="18"/>
              </w:rPr>
              <w:t>夜間対応型訪問介護</w:t>
            </w:r>
          </w:p>
        </w:tc>
        <w:tc>
          <w:tcPr>
            <w:tcW w:type="dxa" w:w="6576"/>
          </w:tcPr>
          <w:p>
            <w:r/>
            <w:r>
              <w:rPr>
                <w:rFonts w:ascii="游ゴシック" w:hAnsi="游ゴシック" w:eastAsia="游ゴシック"/>
                <w:b w:val="0"/>
                <w:sz w:val="18"/>
              </w:rPr>
              <w:t>夜間において、定期的な巡回訪問又は随時の通報への対応により訪問介護を行うサービスです。令和9年4月から定期巡回・随時対応型訪問介護看護に統合されます。</w:t>
            </w:r>
          </w:p>
        </w:tc>
      </w:tr>
      <w:tr>
        <w:trPr>
          <w:cantSplit/>
        </w:trPr>
        <w:tc>
          <w:tcPr>
            <w:tcW w:type="dxa" w:w="2835"/>
          </w:tcPr>
          <w:p>
            <w:r/>
            <w:r>
              <w:rPr>
                <w:rFonts w:ascii="游ゴシック" w:hAnsi="游ゴシック" w:eastAsia="游ゴシック"/>
                <w:b w:val="0"/>
                <w:sz w:val="18"/>
              </w:rPr>
              <w:t>認知症対応型通所介護</w:t>
            </w:r>
          </w:p>
        </w:tc>
        <w:tc>
          <w:tcPr>
            <w:tcW w:type="dxa" w:w="6576"/>
          </w:tcPr>
          <w:p>
            <w:r/>
            <w:r>
              <w:rPr>
                <w:rFonts w:ascii="游ゴシック" w:hAnsi="游ゴシック" w:eastAsia="游ゴシック"/>
                <w:b w:val="0"/>
                <w:sz w:val="18"/>
              </w:rPr>
              <w:t>認知症の方がデイサービスセンター等に通い、入浴、排せつ、食事等の介護その他の日常生活上の世話及び機能訓練を受けるサービスです。</w:t>
            </w:r>
          </w:p>
        </w:tc>
      </w:tr>
      <w:tr>
        <w:trPr>
          <w:cantSplit/>
        </w:trPr>
        <w:tc>
          <w:tcPr>
            <w:tcW w:type="dxa" w:w="2835"/>
          </w:tcPr>
          <w:p>
            <w:r/>
            <w:r>
              <w:rPr>
                <w:rFonts w:ascii="游ゴシック" w:hAnsi="游ゴシック" w:eastAsia="游ゴシック"/>
                <w:b w:val="0"/>
                <w:sz w:val="18"/>
              </w:rPr>
              <w:t>小規模多機能型居宅介護</w:t>
            </w:r>
          </w:p>
        </w:tc>
        <w:tc>
          <w:tcPr>
            <w:tcW w:type="dxa" w:w="6576"/>
          </w:tcPr>
          <w:p>
            <w:r/>
            <w:r>
              <w:rPr>
                <w:rFonts w:ascii="游ゴシック" w:hAnsi="游ゴシック" w:eastAsia="游ゴシック"/>
                <w:b w:val="0"/>
                <w:sz w:val="18"/>
              </w:rPr>
              <w:t>「通い」を中心として、利用者の状態や希望に応じて随時「訪問」や「泊まり」を組み合わせ、同じ事業所の職員が一体的にサービスを提供するものです。</w:t>
            </w:r>
          </w:p>
        </w:tc>
      </w:tr>
      <w:tr>
        <w:trPr>
          <w:cantSplit/>
        </w:trPr>
        <w:tc>
          <w:tcPr>
            <w:tcW w:type="dxa" w:w="2835"/>
          </w:tcPr>
          <w:p>
            <w:r/>
            <w:r>
              <w:rPr>
                <w:rFonts w:ascii="游ゴシック" w:hAnsi="游ゴシック" w:eastAsia="游ゴシック"/>
                <w:b w:val="0"/>
                <w:sz w:val="18"/>
              </w:rPr>
              <w:t>看護小規模多機能型居宅介護</w:t>
            </w:r>
          </w:p>
        </w:tc>
        <w:tc>
          <w:tcPr>
            <w:tcW w:type="dxa" w:w="6576"/>
          </w:tcPr>
          <w:p>
            <w:r/>
            <w:r>
              <w:rPr>
                <w:rFonts w:ascii="游ゴシック" w:hAnsi="游ゴシック" w:eastAsia="游ゴシック"/>
                <w:b w:val="0"/>
                <w:sz w:val="18"/>
              </w:rPr>
              <w:t>小規模多機能型居宅介護と訪問看護を組み合わせ、医療ニーズの高い方にも対応するサービスです。</w:t>
            </w:r>
          </w:p>
        </w:tc>
      </w:tr>
      <w:tr>
        <w:trPr>
          <w:cantSplit/>
        </w:trPr>
        <w:tc>
          <w:tcPr>
            <w:tcW w:type="dxa" w:w="2835"/>
          </w:tcPr>
          <w:p>
            <w:r/>
            <w:r>
              <w:rPr>
                <w:rFonts w:ascii="游ゴシック" w:hAnsi="游ゴシック" w:eastAsia="游ゴシック"/>
                <w:b w:val="0"/>
                <w:sz w:val="18"/>
              </w:rPr>
              <w:t>介護予防支援・居宅介護支援</w:t>
            </w:r>
          </w:p>
        </w:tc>
        <w:tc>
          <w:tcPr>
            <w:tcW w:type="dxa" w:w="6576"/>
          </w:tcPr>
          <w:p>
            <w:r/>
            <w:r>
              <w:rPr>
                <w:rFonts w:ascii="游ゴシック" w:hAnsi="游ゴシック" w:eastAsia="游ゴシック"/>
                <w:b w:val="0"/>
                <w:sz w:val="18"/>
              </w:rPr>
              <w:t>介護支援専門員（ケアマネジャー）が、利用者の心身の状況や希望等を踏まえて居宅サービス計画（ケアプラン）を作成し、サービス事業者との連絡調整を行うものです。要支援の方の介護予防サービス計画は地域包括支援センター等が作成します。</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5" w:name="_Pub_055"/>
      <w:r>
        <w:rPr>
          <w:rFonts w:ascii="游ゴシック" w:hAnsi="游ゴシック" w:eastAsia="游ゴシック"/>
          <w:b w:val="0"/>
          <w:sz w:val="30"/>
        </w:rPr>
        <w:t>用語の解説</w:t>
      </w:r>
      <w:bookmarkEnd w:id="1005"/>
    </w:p>
    <w:p>
      <w:pPr>
        <w:spacing w:after="80" w:before="0" w:line="259" w:lineRule="auto"/>
      </w:pPr>
      <w:r>
        <w:rPr>
          <w:rFonts w:ascii="游ゴシック" w:hAnsi="游ゴシック" w:eastAsia="游ゴシック"/>
          <w:b w:val="0"/>
          <w:sz w:val="21"/>
        </w:rPr>
        <w:t>本計画で用いる主な用語の意味は次のとおりです。五十音順ではなく、計画に現れる順に近い形で並べています。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494"/>
            <w:shd w:val="clear" w:color="auto" w:fill="DCE6F1"/>
          </w:tcPr>
          <w:p>
            <w:pPr>
              <w:jc w:val="center"/>
            </w:pPr>
            <w:r/>
            <w:r>
              <w:rPr>
                <w:rFonts w:ascii="游ゴシック" w:hAnsi="游ゴシック" w:eastAsia="游ゴシック"/>
                <w:b/>
                <w:sz w:val="18"/>
              </w:rPr>
              <w:t>用語</w:t>
            </w:r>
          </w:p>
        </w:tc>
        <w:tc>
          <w:tcPr>
            <w:tcW w:type="dxa" w:w="6917"/>
            <w:shd w:val="clear" w:color="auto" w:fill="DCE6F1"/>
          </w:tcPr>
          <w:p>
            <w:pPr>
              <w:jc w:val="center"/>
            </w:pPr>
            <w:r/>
            <w:r>
              <w:rPr>
                <w:rFonts w:ascii="游ゴシック" w:hAnsi="游ゴシック" w:eastAsia="游ゴシック"/>
                <w:b/>
                <w:sz w:val="18"/>
              </w:rPr>
              <w:t>意味</w:t>
            </w:r>
          </w:p>
        </w:tc>
      </w:tr>
      <w:tr>
        <w:trPr>
          <w:cantSplit/>
        </w:trPr>
        <w:tc>
          <w:tcPr>
            <w:tcW w:type="dxa" w:w="2494"/>
          </w:tcPr>
          <w:p>
            <w:r/>
            <w:r>
              <w:rPr>
                <w:rFonts w:ascii="游ゴシック" w:hAnsi="游ゴシック" w:eastAsia="游ゴシック"/>
                <w:b w:val="0"/>
                <w:sz w:val="18"/>
              </w:rPr>
              <w:t>要介護認定</w:t>
            </w:r>
          </w:p>
        </w:tc>
        <w:tc>
          <w:tcPr>
            <w:tcW w:type="dxa" w:w="6917"/>
          </w:tcPr>
          <w:p>
            <w:r/>
            <w:r>
              <w:rPr>
                <w:rFonts w:ascii="游ゴシック" w:hAnsi="游ゴシック" w:eastAsia="游ゴシック"/>
                <w:b w:val="0"/>
                <w:sz w:val="18"/>
              </w:rPr>
              <w:t>介護サービスを利用しようとする方について、どの程度の介護を必要とする状態かを判定する手続です。認定調査と主治医意見書をもとに介護認定審査会が審査判定し、要支援1・2、要介護1から5までの7段階又は非該当に区分されます。</w:t>
            </w:r>
          </w:p>
        </w:tc>
      </w:tr>
      <w:tr>
        <w:trPr>
          <w:cantSplit/>
        </w:trPr>
        <w:tc>
          <w:tcPr>
            <w:tcW w:type="dxa" w:w="2494"/>
          </w:tcPr>
          <w:p>
            <w:r/>
            <w:r>
              <w:rPr>
                <w:rFonts w:ascii="游ゴシック" w:hAnsi="游ゴシック" w:eastAsia="游ゴシック"/>
                <w:b w:val="0"/>
                <w:sz w:val="18"/>
              </w:rPr>
              <w:t>第1号被保険者</w:t>
            </w:r>
          </w:p>
        </w:tc>
        <w:tc>
          <w:tcPr>
            <w:tcW w:type="dxa" w:w="6917"/>
          </w:tcPr>
          <w:p>
            <w:r/>
            <w:r>
              <w:rPr>
                <w:rFonts w:ascii="游ゴシック" w:hAnsi="游ゴシック" w:eastAsia="游ゴシック"/>
                <w:b w:val="0"/>
                <w:sz w:val="18"/>
              </w:rPr>
              <w:t>65歳以上の方をいいます。</w:t>
            </w:r>
          </w:p>
        </w:tc>
      </w:tr>
      <w:tr>
        <w:trPr>
          <w:cantSplit/>
        </w:trPr>
        <w:tc>
          <w:tcPr>
            <w:tcW w:type="dxa" w:w="2494"/>
          </w:tcPr>
          <w:p>
            <w:r/>
            <w:r>
              <w:rPr>
                <w:rFonts w:ascii="游ゴシック" w:hAnsi="游ゴシック" w:eastAsia="游ゴシック"/>
                <w:b w:val="0"/>
                <w:sz w:val="18"/>
              </w:rPr>
              <w:t>第2号被保険者</w:t>
            </w:r>
          </w:p>
        </w:tc>
        <w:tc>
          <w:tcPr>
            <w:tcW w:type="dxa" w:w="6917"/>
          </w:tcPr>
          <w:p>
            <w:r/>
            <w:r>
              <w:rPr>
                <w:rFonts w:ascii="游ゴシック" w:hAnsi="游ゴシック" w:eastAsia="游ゴシック"/>
                <w:b w:val="0"/>
                <w:sz w:val="18"/>
              </w:rPr>
              <w:t>40歳以上65歳未満の医療保険加入者をいいます。加齢に伴う特定疾病により介護が必要となった場合にサービスを利用できます。</w:t>
            </w:r>
          </w:p>
        </w:tc>
      </w:tr>
      <w:tr>
        <w:trPr>
          <w:cantSplit/>
        </w:trPr>
        <w:tc>
          <w:tcPr>
            <w:tcW w:type="dxa" w:w="2494"/>
          </w:tcPr>
          <w:p>
            <w:r/>
            <w:r>
              <w:rPr>
                <w:rFonts w:ascii="游ゴシック" w:hAnsi="游ゴシック" w:eastAsia="游ゴシック"/>
                <w:b w:val="0"/>
                <w:sz w:val="18"/>
              </w:rPr>
              <w:t>保険料基準額</w:t>
            </w:r>
          </w:p>
        </w:tc>
        <w:tc>
          <w:tcPr>
            <w:tcW w:type="dxa" w:w="6917"/>
          </w:tcPr>
          <w:p>
            <w:r/>
            <w:r>
              <w:rPr>
                <w:rFonts w:ascii="游ゴシック" w:hAnsi="游ゴシック" w:eastAsia="游ゴシック"/>
                <w:b w:val="0"/>
                <w:sz w:val="18"/>
              </w:rPr>
              <w:t>第1号被保険者の保険料を定める際の基準となる額です。所得の段階に応じてこの額に一定の割合を乗じた額が各人の保険料となります。</w:t>
            </w:r>
          </w:p>
        </w:tc>
      </w:tr>
      <w:tr>
        <w:trPr>
          <w:cantSplit/>
        </w:trPr>
        <w:tc>
          <w:tcPr>
            <w:tcW w:type="dxa" w:w="2494"/>
          </w:tcPr>
          <w:p>
            <w:r/>
            <w:r>
              <w:rPr>
                <w:rFonts w:ascii="游ゴシック" w:hAnsi="游ゴシック" w:eastAsia="游ゴシック"/>
                <w:b w:val="0"/>
                <w:sz w:val="18"/>
              </w:rPr>
              <w:t>標準給付費見込額</w:t>
            </w:r>
          </w:p>
        </w:tc>
        <w:tc>
          <w:tcPr>
            <w:tcW w:type="dxa" w:w="6917"/>
          </w:tcPr>
          <w:p>
            <w:r/>
            <w:r>
              <w:rPr>
                <w:rFonts w:ascii="游ゴシック" w:hAnsi="游ゴシック" w:eastAsia="游ゴシック"/>
                <w:b w:val="0"/>
                <w:sz w:val="18"/>
              </w:rPr>
              <w:t>計画期間中に見込まれる保険給付費の総額に、特定入所者介護サービス費（補足給付）、高額介護サービス費、高額医療合算介護サービス費、審査支払手数料を加えた額です。</w:t>
            </w:r>
          </w:p>
        </w:tc>
      </w:tr>
      <w:tr>
        <w:trPr>
          <w:cantSplit/>
        </w:trPr>
        <w:tc>
          <w:tcPr>
            <w:tcW w:type="dxa" w:w="2494"/>
          </w:tcPr>
          <w:p>
            <w:r/>
            <w:r>
              <w:rPr>
                <w:rFonts w:ascii="游ゴシック" w:hAnsi="游ゴシック" w:eastAsia="游ゴシック"/>
                <w:b w:val="0"/>
                <w:sz w:val="18"/>
              </w:rPr>
              <w:t>地域支援事業</w:t>
            </w:r>
          </w:p>
        </w:tc>
        <w:tc>
          <w:tcPr>
            <w:tcW w:type="dxa" w:w="6917"/>
          </w:tcPr>
          <w:p>
            <w:r/>
            <w:r>
              <w:rPr>
                <w:rFonts w:ascii="游ゴシック" w:hAnsi="游ゴシック" w:eastAsia="游ゴシック"/>
                <w:b w:val="0"/>
                <w:sz w:val="18"/>
              </w:rPr>
              <w:t>要介護状態等となることを予防し、要介護状態等となった場合にも可能な限り地域において自立した日常生活を営むことができるよう支援する事業です。介護予防・日常生活支援総合事業、包括的支援事業及び任意事業から成ります。</w:t>
            </w:r>
          </w:p>
        </w:tc>
      </w:tr>
      <w:tr>
        <w:trPr>
          <w:cantSplit/>
        </w:trPr>
        <w:tc>
          <w:tcPr>
            <w:tcW w:type="dxa" w:w="2494"/>
          </w:tcPr>
          <w:p>
            <w:r/>
            <w:r>
              <w:rPr>
                <w:rFonts w:ascii="游ゴシック" w:hAnsi="游ゴシック" w:eastAsia="游ゴシック"/>
                <w:b w:val="0"/>
                <w:sz w:val="18"/>
              </w:rPr>
              <w:t>介護予防・日常生活支援総合事業</w:t>
            </w:r>
          </w:p>
        </w:tc>
        <w:tc>
          <w:tcPr>
            <w:tcW w:type="dxa" w:w="6917"/>
          </w:tcPr>
          <w:p>
            <w:r/>
            <w:r>
              <w:rPr>
                <w:rFonts w:ascii="游ゴシック" w:hAnsi="游ゴシック" w:eastAsia="游ゴシック"/>
                <w:b w:val="0"/>
                <w:sz w:val="18"/>
              </w:rPr>
              <w:t>要支援の方及び基本チェックリストにより事業対象者となった方に対する訪問型サービス・通所型サービス等と、第1号被保険者全体を対象とする一般介護予防事業から成る事業です。総合事業ともいいます。</w:t>
            </w:r>
          </w:p>
        </w:tc>
      </w:tr>
      <w:tr>
        <w:trPr>
          <w:cantSplit/>
        </w:trPr>
        <w:tc>
          <w:tcPr>
            <w:tcW w:type="dxa" w:w="2494"/>
          </w:tcPr>
          <w:p>
            <w:r/>
            <w:r>
              <w:rPr>
                <w:rFonts w:ascii="游ゴシック" w:hAnsi="游ゴシック" w:eastAsia="游ゴシック"/>
                <w:b w:val="0"/>
                <w:sz w:val="18"/>
              </w:rPr>
              <w:t>包括的支援事業</w:t>
            </w:r>
          </w:p>
        </w:tc>
        <w:tc>
          <w:tcPr>
            <w:tcW w:type="dxa" w:w="6917"/>
          </w:tcPr>
          <w:p>
            <w:r/>
            <w:r>
              <w:rPr>
                <w:rFonts w:ascii="游ゴシック" w:hAnsi="游ゴシック" w:eastAsia="游ゴシック"/>
                <w:b w:val="0"/>
                <w:sz w:val="18"/>
              </w:rPr>
              <w:t>地域包括支援センターの運営、在宅医療・介護連携推進事業、生活支援体制整備事業、認知症総合支援事業、地域ケア会議推進事業から成る事業です。</w:t>
            </w:r>
          </w:p>
        </w:tc>
      </w:tr>
      <w:tr>
        <w:trPr>
          <w:cantSplit/>
        </w:trPr>
        <w:tc>
          <w:tcPr>
            <w:tcW w:type="dxa" w:w="2494"/>
          </w:tcPr>
          <w:p>
            <w:r/>
            <w:r>
              <w:rPr>
                <w:rFonts w:ascii="游ゴシック" w:hAnsi="游ゴシック" w:eastAsia="游ゴシック"/>
                <w:b w:val="0"/>
                <w:sz w:val="18"/>
              </w:rPr>
              <w:t>地域包括支援センター</w:t>
            </w:r>
          </w:p>
        </w:tc>
        <w:tc>
          <w:tcPr>
            <w:tcW w:type="dxa" w:w="6917"/>
          </w:tcPr>
          <w:p>
            <w:r/>
            <w:r>
              <w:rPr>
                <w:rFonts w:ascii="游ゴシック" w:hAnsi="游ゴシック" w:eastAsia="游ゴシック"/>
                <w:b w:val="0"/>
                <w:sz w:val="18"/>
              </w:rPr>
              <w:t>保健師、社会福祉士、主任介護支援専門員等が配置され、高齢者の総合相談、権利擁護、包括的・継続的ケアマネジメント支援、介護予防ケアマネジメントを行う機関です。</w:t>
            </w:r>
          </w:p>
        </w:tc>
      </w:tr>
      <w:tr>
        <w:trPr>
          <w:cantSplit/>
        </w:trPr>
        <w:tc>
          <w:tcPr>
            <w:tcW w:type="dxa" w:w="2494"/>
          </w:tcPr>
          <w:p>
            <w:r/>
            <w:r>
              <w:rPr>
                <w:rFonts w:ascii="游ゴシック" w:hAnsi="游ゴシック" w:eastAsia="游ゴシック"/>
                <w:b w:val="0"/>
                <w:sz w:val="18"/>
              </w:rPr>
              <w:t>地域包括ケアシステム</w:t>
            </w:r>
          </w:p>
        </w:tc>
        <w:tc>
          <w:tcPr>
            <w:tcW w:type="dxa" w:w="6917"/>
          </w:tcPr>
          <w:p>
            <w:r/>
            <w:r>
              <w:rPr>
                <w:rFonts w:ascii="游ゴシック" w:hAnsi="游ゴシック" w:eastAsia="游ゴシック"/>
                <w:b w:val="0"/>
                <w:sz w:val="18"/>
              </w:rPr>
              <w:t>重度な要介護状態となっても住み慣れた地域で自分らしい暮らしを人生の最後まで続けることができるよう、医療・介護・予防・住まい・生活支援が包括的に確保される体制をいいます。</w:t>
            </w:r>
          </w:p>
        </w:tc>
      </w:tr>
      <w:tr>
        <w:trPr>
          <w:cantSplit/>
        </w:trPr>
        <w:tc>
          <w:tcPr>
            <w:tcW w:type="dxa" w:w="2494"/>
          </w:tcPr>
          <w:p>
            <w:r/>
            <w:r>
              <w:rPr>
                <w:rFonts w:ascii="游ゴシック" w:hAnsi="游ゴシック" w:eastAsia="游ゴシック"/>
                <w:b w:val="0"/>
                <w:sz w:val="18"/>
              </w:rPr>
              <w:t>日常生活圏域</w:t>
            </w:r>
          </w:p>
        </w:tc>
        <w:tc>
          <w:tcPr>
            <w:tcW w:type="dxa" w:w="6917"/>
          </w:tcPr>
          <w:p>
            <w:r/>
            <w:r>
              <w:rPr>
                <w:rFonts w:ascii="游ゴシック" w:hAnsi="游ゴシック" w:eastAsia="游ゴシック"/>
                <w:b w:val="0"/>
                <w:sz w:val="18"/>
              </w:rPr>
              <w:t>住民が日常生活を営んでいる地域として、地理的条件、人口、交通事情その他の社会的条件、介護給付等対象サービスを提供するための施設の整備の状況その他の条件を総合的に勘案して定める区域です。</w:t>
            </w:r>
          </w:p>
        </w:tc>
      </w:tr>
      <w:tr>
        <w:trPr>
          <w:cantSplit/>
        </w:trPr>
        <w:tc>
          <w:tcPr>
            <w:tcW w:type="dxa" w:w="2494"/>
          </w:tcPr>
          <w:p>
            <w:r/>
            <w:r>
              <w:rPr>
                <w:rFonts w:ascii="游ゴシック" w:hAnsi="游ゴシック" w:eastAsia="游ゴシック"/>
                <w:b w:val="0"/>
                <w:sz w:val="18"/>
              </w:rPr>
              <w:t>必要利用定員総数</w:t>
            </w:r>
          </w:p>
        </w:tc>
        <w:tc>
          <w:tcPr>
            <w:tcW w:type="dxa" w:w="6917"/>
          </w:tcPr>
          <w:p>
            <w:r/>
            <w:r>
              <w:rPr>
                <w:rFonts w:ascii="游ゴシック" w:hAnsi="游ゴシック" w:eastAsia="游ゴシック"/>
                <w:b w:val="0"/>
                <w:sz w:val="18"/>
              </w:rPr>
              <w:t>認知症対応型共同生活介護、地域密着型特定施設入居者生活介護及び地域密着型介護老人福祉施設入所者生活介護について、日常生活圏域ごとに計画で定める定員の総数です。これを超える指定は行わないことができます。</w:t>
            </w:r>
          </w:p>
        </w:tc>
      </w:tr>
      <w:tr>
        <w:trPr>
          <w:cantSplit/>
        </w:trPr>
        <w:tc>
          <w:tcPr>
            <w:tcW w:type="dxa" w:w="2494"/>
          </w:tcPr>
          <w:p>
            <w:r/>
            <w:r>
              <w:rPr>
                <w:rFonts w:ascii="游ゴシック" w:hAnsi="游ゴシック" w:eastAsia="游ゴシック"/>
                <w:b w:val="0"/>
                <w:sz w:val="18"/>
              </w:rPr>
              <w:t>地域密着型サービス</w:t>
            </w:r>
          </w:p>
        </w:tc>
        <w:tc>
          <w:tcPr>
            <w:tcW w:type="dxa" w:w="6917"/>
          </w:tcPr>
          <w:p>
            <w:r/>
            <w:r>
              <w:rPr>
                <w:rFonts w:ascii="游ゴシック" w:hAnsi="游ゴシック" w:eastAsia="游ゴシック"/>
                <w:b w:val="0"/>
                <w:sz w:val="18"/>
              </w:rPr>
              <w:t>住み慣れた地域での生活を支えるため、原則として当該市町村の被保険者が利用するサービスです。事業者の指定及び指導監督は市町村（当区域では広域連合）が行います。</w:t>
            </w:r>
          </w:p>
        </w:tc>
      </w:tr>
      <w:tr>
        <w:trPr>
          <w:cantSplit/>
        </w:trPr>
        <w:tc>
          <w:tcPr>
            <w:tcW w:type="dxa" w:w="2494"/>
          </w:tcPr>
          <w:p>
            <w:r/>
            <w:r>
              <w:rPr>
                <w:rFonts w:ascii="游ゴシック" w:hAnsi="游ゴシック" w:eastAsia="游ゴシック"/>
                <w:b w:val="0"/>
                <w:sz w:val="18"/>
              </w:rPr>
              <w:t>住所地特例</w:t>
            </w:r>
          </w:p>
        </w:tc>
        <w:tc>
          <w:tcPr>
            <w:tcW w:type="dxa" w:w="6917"/>
          </w:tcPr>
          <w:p>
            <w:r/>
            <w:r>
              <w:rPr>
                <w:rFonts w:ascii="游ゴシック" w:hAnsi="游ゴシック" w:eastAsia="游ゴシック"/>
                <w:b w:val="0"/>
                <w:sz w:val="18"/>
              </w:rPr>
              <w:t>介護保険施設等に入所するために住所を移した方について、移す前の市町村が引き続き保険者となる仕組みです。</w:t>
            </w:r>
          </w:p>
        </w:tc>
      </w:tr>
      <w:tr>
        <w:trPr>
          <w:cantSplit/>
        </w:trPr>
        <w:tc>
          <w:tcPr>
            <w:tcW w:type="dxa" w:w="2494"/>
          </w:tcPr>
          <w:p>
            <w:r/>
            <w:r>
              <w:rPr>
                <w:rFonts w:ascii="游ゴシック" w:hAnsi="游ゴシック" w:eastAsia="游ゴシック"/>
                <w:b w:val="0"/>
                <w:sz w:val="18"/>
              </w:rPr>
              <w:t>地域ケア会議</w:t>
            </w:r>
          </w:p>
        </w:tc>
        <w:tc>
          <w:tcPr>
            <w:tcW w:type="dxa" w:w="6917"/>
          </w:tcPr>
          <w:p>
            <w:r/>
            <w:r>
              <w:rPr>
                <w:rFonts w:ascii="游ゴシック" w:hAnsi="游ゴシック" w:eastAsia="游ゴシック"/>
                <w:b w:val="0"/>
                <w:sz w:val="18"/>
              </w:rPr>
              <w:t>個別の事例の検討を通じて多職種が協働し、高齢者の自立支援に資するケアマネジメントを支援するとともに、地域の課題を把握し、その解決に向けた施策につなげる会議です。</w:t>
            </w:r>
          </w:p>
        </w:tc>
      </w:tr>
      <w:tr>
        <w:trPr>
          <w:cantSplit/>
        </w:trPr>
        <w:tc>
          <w:tcPr>
            <w:tcW w:type="dxa" w:w="2494"/>
          </w:tcPr>
          <w:p>
            <w:r/>
            <w:r>
              <w:rPr>
                <w:rFonts w:ascii="游ゴシック" w:hAnsi="游ゴシック" w:eastAsia="游ゴシック"/>
                <w:b w:val="0"/>
                <w:sz w:val="18"/>
              </w:rPr>
              <w:t>生活支援コーディネーター</w:t>
            </w:r>
          </w:p>
        </w:tc>
        <w:tc>
          <w:tcPr>
            <w:tcW w:type="dxa" w:w="6917"/>
          </w:tcPr>
          <w:p>
            <w:r/>
            <w:r>
              <w:rPr>
                <w:rFonts w:ascii="游ゴシック" w:hAnsi="游ゴシック" w:eastAsia="游ゴシック"/>
                <w:b w:val="0"/>
                <w:sz w:val="18"/>
              </w:rPr>
              <w:t>高齢者の生活支援・介護予防サービスの体制整備を推進するため、地域の資源の把握、関係者のネットワークづくり、担い手の養成等を行う者です。地域支え合い推進員ともいいます。</w:t>
            </w:r>
          </w:p>
        </w:tc>
      </w:tr>
      <w:tr>
        <w:trPr>
          <w:cantSplit/>
        </w:trPr>
        <w:tc>
          <w:tcPr>
            <w:tcW w:type="dxa" w:w="2494"/>
          </w:tcPr>
          <w:p>
            <w:r/>
            <w:r>
              <w:rPr>
                <w:rFonts w:ascii="游ゴシック" w:hAnsi="游ゴシック" w:eastAsia="游ゴシック"/>
                <w:b w:val="0"/>
                <w:sz w:val="18"/>
              </w:rPr>
              <w:t>通いの場</w:t>
            </w:r>
          </w:p>
        </w:tc>
        <w:tc>
          <w:tcPr>
            <w:tcW w:type="dxa" w:w="6917"/>
          </w:tcPr>
          <w:p>
            <w:r/>
            <w:r>
              <w:rPr>
                <w:rFonts w:ascii="游ゴシック" w:hAnsi="游ゴシック" w:eastAsia="游ゴシック"/>
                <w:b w:val="0"/>
                <w:sz w:val="18"/>
              </w:rPr>
              <w:t>住民が主体となって運営する、体操、会食、茶話会等を行う集いの場をいいます。介護予防の効果が期待されます。</w:t>
            </w:r>
          </w:p>
        </w:tc>
      </w:tr>
      <w:tr>
        <w:trPr>
          <w:cantSplit/>
        </w:trPr>
        <w:tc>
          <w:tcPr>
            <w:tcW w:type="dxa" w:w="2494"/>
          </w:tcPr>
          <w:p>
            <w:r/>
            <w:r>
              <w:rPr>
                <w:rFonts w:ascii="游ゴシック" w:hAnsi="游ゴシック" w:eastAsia="游ゴシック"/>
                <w:b w:val="0"/>
                <w:sz w:val="18"/>
              </w:rPr>
              <w:t>フレイル</w:t>
            </w:r>
          </w:p>
        </w:tc>
        <w:tc>
          <w:tcPr>
            <w:tcW w:type="dxa" w:w="6917"/>
          </w:tcPr>
          <w:p>
            <w:r/>
            <w:r>
              <w:rPr>
                <w:rFonts w:ascii="游ゴシック" w:hAnsi="游ゴシック" w:eastAsia="游ゴシック"/>
                <w:b w:val="0"/>
                <w:sz w:val="18"/>
              </w:rPr>
              <w:t>加齢に伴い心身の活力が低下し、要介護状態となる危険性が高まった状態をいいます。適切な働きかけにより改善が期待できる状態とされています。</w:t>
            </w:r>
          </w:p>
        </w:tc>
      </w:tr>
      <w:tr>
        <w:trPr>
          <w:cantSplit/>
        </w:trPr>
        <w:tc>
          <w:tcPr>
            <w:tcW w:type="dxa" w:w="2494"/>
          </w:tcPr>
          <w:p>
            <w:r/>
            <w:r>
              <w:rPr>
                <w:rFonts w:ascii="游ゴシック" w:hAnsi="游ゴシック" w:eastAsia="游ゴシック"/>
                <w:b w:val="0"/>
                <w:sz w:val="18"/>
              </w:rPr>
              <w:t>認知症サポーター</w:t>
            </w:r>
          </w:p>
        </w:tc>
        <w:tc>
          <w:tcPr>
            <w:tcW w:type="dxa" w:w="6917"/>
          </w:tcPr>
          <w:p>
            <w:r/>
            <w:r>
              <w:rPr>
                <w:rFonts w:ascii="游ゴシック" w:hAnsi="游ゴシック" w:eastAsia="游ゴシック"/>
                <w:b w:val="0"/>
                <w:sz w:val="18"/>
              </w:rPr>
              <w:t>認知症について正しく理解し、認知症の方やその家族を温かく見守る応援者として、養成講座を受講した方をいいます。</w:t>
            </w:r>
          </w:p>
        </w:tc>
      </w:tr>
      <w:tr>
        <w:trPr>
          <w:cantSplit/>
        </w:trPr>
        <w:tc>
          <w:tcPr>
            <w:tcW w:type="dxa" w:w="2494"/>
          </w:tcPr>
          <w:p>
            <w:r/>
            <w:r>
              <w:rPr>
                <w:rFonts w:ascii="游ゴシック" w:hAnsi="游ゴシック" w:eastAsia="游ゴシック"/>
                <w:b w:val="0"/>
                <w:sz w:val="18"/>
              </w:rPr>
              <w:t>認知症初期集中支援チーム</w:t>
            </w:r>
          </w:p>
        </w:tc>
        <w:tc>
          <w:tcPr>
            <w:tcW w:type="dxa" w:w="6917"/>
          </w:tcPr>
          <w:p>
            <w:r/>
            <w:r>
              <w:rPr>
                <w:rFonts w:ascii="游ゴシック" w:hAnsi="游ゴシック" w:eastAsia="游ゴシック"/>
                <w:b w:val="0"/>
                <w:sz w:val="18"/>
              </w:rPr>
              <w:t>認知症が疑われる方や認知症の方及びその家族を訪問し、観察・評価を行ったうえで、おおむね6か月を目安に集中的に支援を行うチームです。</w:t>
            </w:r>
          </w:p>
        </w:tc>
      </w:tr>
      <w:tr>
        <w:trPr>
          <w:cantSplit/>
        </w:trPr>
        <w:tc>
          <w:tcPr>
            <w:tcW w:type="dxa" w:w="2494"/>
          </w:tcPr>
          <w:p>
            <w:r/>
            <w:r>
              <w:rPr>
                <w:rFonts w:ascii="游ゴシック" w:hAnsi="游ゴシック" w:eastAsia="游ゴシック"/>
                <w:b w:val="0"/>
                <w:sz w:val="18"/>
              </w:rPr>
              <w:t>チームオレンジ</w:t>
            </w:r>
          </w:p>
        </w:tc>
        <w:tc>
          <w:tcPr>
            <w:tcW w:type="dxa" w:w="6917"/>
          </w:tcPr>
          <w:p>
            <w:r/>
            <w:r>
              <w:rPr>
                <w:rFonts w:ascii="游ゴシック" w:hAnsi="游ゴシック" w:eastAsia="游ゴシック"/>
                <w:b w:val="0"/>
                <w:sz w:val="18"/>
              </w:rPr>
              <w:t>認知症サポーターが中心となり、認知症の方やその家族の支援ニーズと認知症サポーターを結びつける仕組みです。</w:t>
            </w:r>
          </w:p>
        </w:tc>
      </w:tr>
      <w:tr>
        <w:trPr>
          <w:cantSplit/>
        </w:trPr>
        <w:tc>
          <w:tcPr>
            <w:tcW w:type="dxa" w:w="2494"/>
          </w:tcPr>
          <w:p>
            <w:r/>
            <w:r>
              <w:rPr>
                <w:rFonts w:ascii="游ゴシック" w:hAnsi="游ゴシック" w:eastAsia="游ゴシック"/>
                <w:b w:val="0"/>
                <w:sz w:val="18"/>
              </w:rPr>
              <w:t>保険者機能強化推進交付金・介護保険保険者努力支援交付金</w:t>
            </w:r>
          </w:p>
        </w:tc>
        <w:tc>
          <w:tcPr>
            <w:tcW w:type="dxa" w:w="6917"/>
          </w:tcPr>
          <w:p>
            <w:r/>
            <w:r>
              <w:rPr>
                <w:rFonts w:ascii="游ゴシック" w:hAnsi="游ゴシック" w:eastAsia="游ゴシック"/>
                <w:b w:val="0"/>
                <w:sz w:val="18"/>
              </w:rPr>
              <w:t>自立支援・重度化防止等に向けた市町村及び都道府県の取組を評価指標により採点し、その結果に応じて交付される交付金です。</w:t>
            </w:r>
          </w:p>
        </w:tc>
      </w:tr>
      <w:tr>
        <w:trPr>
          <w:cantSplit/>
        </w:trPr>
        <w:tc>
          <w:tcPr>
            <w:tcW w:type="dxa" w:w="2494"/>
          </w:tcPr>
          <w:p>
            <w:r/>
            <w:r>
              <w:rPr>
                <w:rFonts w:ascii="游ゴシック" w:hAnsi="游ゴシック" w:eastAsia="游ゴシック"/>
                <w:b w:val="0"/>
                <w:sz w:val="18"/>
              </w:rPr>
              <w:t>調整交付金</w:t>
            </w:r>
          </w:p>
        </w:tc>
        <w:tc>
          <w:tcPr>
            <w:tcW w:type="dxa" w:w="6917"/>
          </w:tcPr>
          <w:p>
            <w:r/>
            <w:r>
              <w:rPr>
                <w:rFonts w:ascii="游ゴシック" w:hAnsi="游ゴシック" w:eastAsia="游ゴシック"/>
                <w:b w:val="0"/>
                <w:sz w:val="18"/>
              </w:rPr>
              <w:t>市町村の責めによらない第1号保険料の水準の格差（第1号被保険者の年齢階級別構成割合の差及び所得段階別加入割合の差）を全国ベースで平準化するために交付される国の負担金です。</w:t>
            </w:r>
          </w:p>
        </w:tc>
      </w:tr>
      <w:tr>
        <w:trPr>
          <w:cantSplit/>
        </w:trPr>
        <w:tc>
          <w:tcPr>
            <w:tcW w:type="dxa" w:w="2494"/>
          </w:tcPr>
          <w:p>
            <w:r/>
            <w:r>
              <w:rPr>
                <w:rFonts w:ascii="游ゴシック" w:hAnsi="游ゴシック" w:eastAsia="游ゴシック"/>
                <w:b w:val="0"/>
                <w:sz w:val="18"/>
              </w:rPr>
              <w:t>介護給付費準備基金</w:t>
            </w:r>
          </w:p>
        </w:tc>
        <w:tc>
          <w:tcPr>
            <w:tcW w:type="dxa" w:w="6917"/>
          </w:tcPr>
          <w:p>
            <w:r/>
            <w:r>
              <w:rPr>
                <w:rFonts w:ascii="游ゴシック" w:hAnsi="游ゴシック" w:eastAsia="游ゴシック"/>
                <w:b w:val="0"/>
                <w:sz w:val="18"/>
              </w:rPr>
              <w:t>計画期間中に生じた保険料の剰余を積み立て、不足が生じた場合等に取り崩すための基金です。</w:t>
            </w:r>
          </w:p>
        </w:tc>
      </w:tr>
      <w:tr>
        <w:trPr>
          <w:cantSplit/>
        </w:trPr>
        <w:tc>
          <w:tcPr>
            <w:tcW w:type="dxa" w:w="2494"/>
          </w:tcPr>
          <w:p>
            <w:r/>
            <w:r>
              <w:rPr>
                <w:rFonts w:ascii="游ゴシック" w:hAnsi="游ゴシック" w:eastAsia="游ゴシック"/>
                <w:b w:val="0"/>
                <w:sz w:val="18"/>
              </w:rPr>
              <w:t>補足給付（特定入所者介護サービス費）</w:t>
            </w:r>
          </w:p>
        </w:tc>
        <w:tc>
          <w:tcPr>
            <w:tcW w:type="dxa" w:w="6917"/>
          </w:tcPr>
          <w:p>
            <w:r/>
            <w:r>
              <w:rPr>
                <w:rFonts w:ascii="游ゴシック" w:hAnsi="游ゴシック" w:eastAsia="游ゴシック"/>
                <w:b w:val="0"/>
                <w:sz w:val="18"/>
              </w:rPr>
              <w:t>所得が一定以下の方について、施設等における食費及び居住費の負担を軽減する給付です。</w:t>
            </w:r>
          </w:p>
        </w:tc>
      </w:tr>
      <w:tr>
        <w:trPr>
          <w:cantSplit/>
        </w:trPr>
        <w:tc>
          <w:tcPr>
            <w:tcW w:type="dxa" w:w="2494"/>
          </w:tcPr>
          <w:p>
            <w:r/>
            <w:r>
              <w:rPr>
                <w:rFonts w:ascii="游ゴシック" w:hAnsi="游ゴシック" w:eastAsia="游ゴシック"/>
                <w:b w:val="0"/>
                <w:sz w:val="18"/>
              </w:rPr>
              <w:t>高額介護サービス費</w:t>
            </w:r>
          </w:p>
        </w:tc>
        <w:tc>
          <w:tcPr>
            <w:tcW w:type="dxa" w:w="6917"/>
          </w:tcPr>
          <w:p>
            <w:r/>
            <w:r>
              <w:rPr>
                <w:rFonts w:ascii="游ゴシック" w:hAnsi="游ゴシック" w:eastAsia="游ゴシック"/>
                <w:b w:val="0"/>
                <w:sz w:val="18"/>
              </w:rPr>
              <w:t>1か月に支払った利用者負担の合計が所得に応じた上限額を超えた場合に、超えた分が支給されるものです。</w:t>
            </w:r>
          </w:p>
        </w:tc>
      </w:tr>
      <w:tr>
        <w:trPr>
          <w:cantSplit/>
        </w:trPr>
        <w:tc>
          <w:tcPr>
            <w:tcW w:type="dxa" w:w="2494"/>
          </w:tcPr>
          <w:p>
            <w:r/>
            <w:r>
              <w:rPr>
                <w:rFonts w:ascii="游ゴシック" w:hAnsi="游ゴシック" w:eastAsia="游ゴシック"/>
                <w:b w:val="0"/>
                <w:sz w:val="18"/>
              </w:rPr>
              <w:t>介護給付適正化</w:t>
            </w:r>
          </w:p>
        </w:tc>
        <w:tc>
          <w:tcPr>
            <w:tcW w:type="dxa" w:w="6917"/>
          </w:tcPr>
          <w:p>
            <w:r/>
            <w:r>
              <w:rPr>
                <w:rFonts w:ascii="游ゴシック" w:hAnsi="游ゴシック" w:eastAsia="游ゴシック"/>
                <w:b w:val="0"/>
                <w:sz w:val="18"/>
              </w:rPr>
              <w:t>適切な要介護認定、ケアプランの点検、介護給付費通知、医療情報との突合等により、必要なサービスが適切に提供されるようにする取組です。</w:t>
            </w:r>
          </w:p>
        </w:tc>
      </w:tr>
      <w:tr>
        <w:trPr>
          <w:cantSplit/>
        </w:trPr>
        <w:tc>
          <w:tcPr>
            <w:tcW w:type="dxa" w:w="2494"/>
          </w:tcPr>
          <w:p>
            <w:r/>
            <w:r>
              <w:rPr>
                <w:rFonts w:ascii="游ゴシック" w:hAnsi="游ゴシック" w:eastAsia="游ゴシック"/>
                <w:b w:val="0"/>
                <w:sz w:val="18"/>
              </w:rPr>
              <w:t>地域包括ケア「見える化」システム</w:t>
            </w:r>
          </w:p>
        </w:tc>
        <w:tc>
          <w:tcPr>
            <w:tcW w:type="dxa" w:w="6917"/>
          </w:tcPr>
          <w:p>
            <w:r/>
            <w:r>
              <w:rPr>
                <w:rFonts w:ascii="游ゴシック" w:hAnsi="游ゴシック" w:eastAsia="游ゴシック"/>
                <w:b w:val="0"/>
                <w:sz w:val="18"/>
              </w:rPr>
              <w:t>国が提供する情報システムで、介護保険事業（支援）計画の作成・実行を支援するため、全国の保険者の給付実績等を地域間で比較できる形で示すものです。</w:t>
            </w:r>
          </w:p>
        </w:tc>
      </w:tr>
      <w:tr>
        <w:trPr>
          <w:cantSplit/>
        </w:trPr>
        <w:tc>
          <w:tcPr>
            <w:tcW w:type="dxa" w:w="2494"/>
          </w:tcPr>
          <w:p>
            <w:r/>
            <w:r>
              <w:rPr>
                <w:rFonts w:ascii="游ゴシック" w:hAnsi="游ゴシック" w:eastAsia="游ゴシック"/>
                <w:b w:val="0"/>
                <w:sz w:val="18"/>
              </w:rPr>
              <w:t>介護保険事業状況報告</w:t>
            </w:r>
          </w:p>
        </w:tc>
        <w:tc>
          <w:tcPr>
            <w:tcW w:type="dxa" w:w="6917"/>
          </w:tcPr>
          <w:p>
            <w:r/>
            <w:r>
              <w:rPr>
                <w:rFonts w:ascii="游ゴシック" w:hAnsi="游ゴシック" w:eastAsia="游ゴシック"/>
                <w:b w:val="0"/>
                <w:sz w:val="18"/>
              </w:rPr>
              <w:t>保険者が国へ報告する介護保険の実施状況の統計です。年報と月報があり、被保険者数、認定者数、受給者数、給付費等を集計しています。</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