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游ゴシック" w:hAnsi="游ゴシック" w:eastAsia="游ゴシック"/>
          <w:b w:val="0"/>
          <w:sz w:val="24"/>
        </w:rPr>
        <w:t>大雪地区広域連合　第10期介護保険事業計画策定支援業務</w:t>
      </w:r>
    </w:p>
    <w:p>
      <w:pPr>
        <w:spacing w:after="40"/>
        <w:jc w:val="center"/>
      </w:pPr>
      <w:r>
        <w:rPr>
          <w:rFonts w:ascii="游ゴシック" w:hAnsi="游ゴシック" w:eastAsia="游ゴシック"/>
          <w:b/>
          <w:color w:val="1F3864"/>
          <w:sz w:val="34"/>
        </w:rPr>
        <w:t>アンケート調査の分析　令和8年9月　業務報告</w:t>
      </w:r>
    </w:p>
    <w:p>
      <w:pPr>
        <w:spacing w:after="80"/>
        <w:jc w:val="center"/>
      </w:pPr>
      <w:r>
        <w:rPr>
          <w:rFonts w:ascii="游ゴシック" w:hAnsi="游ゴシック" w:eastAsia="游ゴシック"/>
          <w:b w:val="0"/>
          <w:sz w:val="20"/>
        </w:rPr>
        <w:t>基準日　令和8年9月25日　　受託者　ビズアップ公共コンサルティング株式会社</w:t>
      </w:r>
    </w:p>
    <w:p>
      <w:pPr>
        <w:spacing w:after="80"/>
      </w:pPr>
      <w:r>
        <w:rPr>
          <w:rFonts w:ascii="游ゴシック" w:hAnsi="游ゴシック" w:eastAsia="游ゴシック"/>
          <w:sz w:val="21"/>
        </w:rPr>
      </w:r>
    </w:p>
    <w:p>
      <w:pPr>
        <w:spacing w:after="80"/>
      </w:pPr>
      <w:r>
        <w:rPr>
          <w:rFonts w:ascii="游ゴシック" w:hAnsi="游ゴシック" w:eastAsia="游ゴシック"/>
          <w:b w:val="0"/>
          <w:sz w:val="21"/>
        </w:rPr>
        <w:t>業務仕様書「４．業務内容（3）実施済み調査結果の集計・分析」及び「５．履行工程　令和8年9月」に対する報告です。令和8年9月に行ったこと、その結果、計画素案への反映、残る事項をまとめています。</w:t>
      </w:r>
    </w:p>
    <w:p>
      <w:pPr>
        <w:spacing w:after="80"/>
      </w:pPr>
      <w:r>
        <w:rPr>
          <w:rFonts w:ascii="游ゴシック" w:hAnsi="游ゴシック" w:eastAsia="游ゴシック"/>
          <w:b w:val="0"/>
          <w:sz w:val="21"/>
        </w:rPr>
        <w:t>本報告の数値は、調査票の集計値と突き合わせて確かめています。割合には分母（母数）を併せて示し、推計によるものは推計と明記しています。</w:t>
      </w:r>
    </w:p>
    <w:p>
      <w:pPr>
        <w:spacing w:after="80"/>
      </w:pPr>
      <w:r>
        <w:rPr>
          <w:rFonts w:ascii="游ゴシック" w:hAnsi="游ゴシック" w:eastAsia="游ゴシック"/>
          <w:b w:val="0"/>
          <w:sz w:val="21"/>
        </w:rPr>
        <w:t>集計・クロス集計・分析は4調査とも完了しています。</w:t>
      </w:r>
      <w:r>
        <w:rPr>
          <w:rFonts w:ascii="游ゴシック" w:hAnsi="游ゴシック" w:eastAsia="游ゴシック"/>
          <w:b/>
          <w:sz w:val="21"/>
        </w:rPr>
        <w:t>9月に新たにできるようになったのは、調査の結果と保険者の実績（年報）を突き合わせることです。</w:t>
      </w:r>
      <w:r>
        <w:rPr>
          <w:rFonts w:ascii="游ゴシック" w:hAnsi="游ゴシック" w:eastAsia="游ゴシック"/>
          <w:b w:val="0"/>
          <w:sz w:val="21"/>
        </w:rPr>
        <w:t>年報（令和7年度）の要介護度別の明細を確認できたことにより、これまで定性的な留保にとどまっていたものを大きさと向きを伴う測定値にすることができました（第6節）。</w:t>
      </w:r>
    </w:p>
    <w:p>
      <w:pPr>
        <w:keepNext/>
        <w:pageBreakBefore/>
        <w:spacing w:before="0" w:after="120"/>
      </w:pPr>
      <w:r>
        <w:rPr>
          <w:rFonts w:ascii="游ゴシック" w:hAnsi="游ゴシック" w:eastAsia="游ゴシック"/>
          <w:b/>
          <w:color w:val="1F3864"/>
          <w:sz w:val="26"/>
        </w:rPr>
        <w:t>第1節　令和8年9月に行ったこと</w:t>
      </w:r>
    </w:p>
    <w:p>
      <w:pPr>
        <w:keepNext/>
        <w:spacing w:before="160" w:after="40"/>
      </w:pPr>
      <w:r>
        <w:rPr>
          <w:rFonts w:ascii="游ゴシック" w:hAnsi="游ゴシック" w:eastAsia="游ゴシック"/>
          <w:b/>
          <w:sz w:val="20"/>
        </w:rPr>
        <w:t>表1　令和8年9月の作業と成果物</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134"/>
            <w:shd w:val="clear" w:color="auto" w:fill="1F3864"/>
            <w:vAlign w:val="center"/>
          </w:tcPr>
          <w:p>
            <w:pPr>
              <w:keepNext/>
              <w:spacing w:after="0"/>
              <w:jc w:val="center"/>
            </w:pPr>
            <w:r>
              <w:rPr>
                <w:rFonts w:ascii="游ゴシック" w:hAnsi="游ゴシック" w:eastAsia="游ゴシック"/>
                <w:b/>
                <w:color w:val="FFFFFF"/>
                <w:sz w:val="18"/>
              </w:rPr>
              <w:t>時期</w:t>
            </w:r>
          </w:p>
        </w:tc>
        <w:tc>
          <w:tcPr>
            <w:tcW w:type="dxa" w:w="2268"/>
            <w:shd w:val="clear" w:color="auto" w:fill="1F3864"/>
            <w:vAlign w:val="center"/>
          </w:tcPr>
          <w:p>
            <w:pPr>
              <w:keepNext/>
              <w:spacing w:after="0"/>
              <w:jc w:val="center"/>
            </w:pPr>
            <w:r>
              <w:rPr>
                <w:rFonts w:ascii="游ゴシック" w:hAnsi="游ゴシック" w:eastAsia="游ゴシック"/>
                <w:b/>
                <w:color w:val="FFFFFF"/>
                <w:sz w:val="18"/>
              </w:rPr>
              <w:t>行ったこと</w:t>
            </w:r>
          </w:p>
        </w:tc>
        <w:tc>
          <w:tcPr>
            <w:tcW w:type="dxa" w:w="2381"/>
            <w:shd w:val="clear" w:color="auto" w:fill="1F3864"/>
            <w:vAlign w:val="center"/>
          </w:tcPr>
          <w:p>
            <w:pPr>
              <w:keepNext/>
              <w:spacing w:after="0"/>
              <w:jc w:val="center"/>
            </w:pPr>
            <w:r>
              <w:rPr>
                <w:rFonts w:ascii="游ゴシック" w:hAnsi="游ゴシック" w:eastAsia="游ゴシック"/>
                <w:b/>
                <w:color w:val="FFFFFF"/>
                <w:sz w:val="18"/>
              </w:rPr>
              <w:t>成果物</w:t>
            </w:r>
          </w:p>
        </w:tc>
        <w:tc>
          <w:tcPr>
            <w:tcW w:type="dxa" w:w="3855"/>
            <w:shd w:val="clear" w:color="auto" w:fill="1F3864"/>
            <w:vAlign w:val="center"/>
          </w:tcPr>
          <w:p>
            <w:pPr>
              <w:keepNext/>
              <w:spacing w:after="0"/>
              <w:jc w:val="center"/>
            </w:pPr>
            <w:r>
              <w:rPr>
                <w:rFonts w:ascii="游ゴシック" w:hAnsi="游ゴシック" w:eastAsia="游ゴシック"/>
                <w:b/>
                <w:color w:val="FFFFFF"/>
                <w:sz w:val="18"/>
              </w:rPr>
              <w:t>結果</w:t>
            </w:r>
          </w:p>
        </w:tc>
      </w:tr>
      <w:tr>
        <w:trPr>
          <w:cantSplit/>
        </w:trPr>
        <w:tc>
          <w:tcPr>
            <w:tcW w:type="dxa" w:w="1134"/>
            <w:vAlign w:val="center"/>
          </w:tcPr>
          <w:p>
            <w:pPr>
              <w:keepNext/>
              <w:spacing w:after="0"/>
            </w:pPr>
            <w:r>
              <w:rPr>
                <w:rFonts w:ascii="游ゴシック" w:hAnsi="游ゴシック" w:eastAsia="游ゴシック"/>
                <w:b/>
                <w:sz w:val="18"/>
              </w:rPr>
              <w:t>9月3日</w:t>
            </w:r>
          </w:p>
        </w:tc>
        <w:tc>
          <w:tcPr>
            <w:tcW w:type="dxa" w:w="2268"/>
            <w:vAlign w:val="center"/>
          </w:tcPr>
          <w:p>
            <w:pPr>
              <w:keepNext/>
              <w:spacing w:after="0"/>
            </w:pPr>
            <w:r>
              <w:rPr>
                <w:rFonts w:ascii="游ゴシック" w:hAnsi="游ゴシック" w:eastAsia="游ゴシック"/>
                <w:b w:val="0"/>
                <w:sz w:val="18"/>
              </w:rPr>
              <w:t>アンケート調査の作業状況を整理した</w:t>
            </w:r>
          </w:p>
        </w:tc>
        <w:tc>
          <w:tcPr>
            <w:tcW w:type="dxa" w:w="2381"/>
            <w:vAlign w:val="center"/>
          </w:tcPr>
          <w:p>
            <w:pPr>
              <w:keepNext/>
              <w:spacing w:after="0"/>
            </w:pPr>
            <w:r>
              <w:rPr>
                <w:rFonts w:ascii="游ゴシック" w:hAnsi="游ゴシック" w:eastAsia="游ゴシック"/>
                <w:b w:val="0"/>
                <w:sz w:val="18"/>
              </w:rPr>
              <w:t>9月作業_アンケート分析の作業状況（10シート）</w:t>
            </w:r>
          </w:p>
        </w:tc>
        <w:tc>
          <w:tcPr>
            <w:tcW w:type="dxa" w:w="3855"/>
            <w:vAlign w:val="center"/>
          </w:tcPr>
          <w:p>
            <w:pPr>
              <w:keepNext/>
              <w:spacing w:after="0"/>
            </w:pPr>
            <w:r>
              <w:rPr>
                <w:rFonts w:ascii="游ゴシック" w:hAnsi="游ゴシック" w:eastAsia="游ゴシック"/>
                <w:b/>
                <w:sz w:val="18"/>
              </w:rPr>
              <w:t>集計・クロス集計・分析は4調査とも完了しており、9月に残るのは確定値化と計画本文への反映であることを確かめた</w:t>
            </w:r>
          </w:p>
        </w:tc>
      </w:tr>
      <w:tr>
        <w:trPr>
          <w:cantSplit/>
        </w:trPr>
        <w:tc>
          <w:tcPr>
            <w:tcW w:type="dxa" w:w="1134"/>
            <w:shd w:val="clear" w:color="auto" w:fill="F2F5FA"/>
            <w:vAlign w:val="center"/>
          </w:tcPr>
          <w:p>
            <w:pPr>
              <w:keepNext/>
              <w:spacing w:after="0"/>
            </w:pPr>
            <w:r>
              <w:rPr>
                <w:rFonts w:ascii="游ゴシック" w:hAnsi="游ゴシック" w:eastAsia="游ゴシック"/>
                <w:b/>
                <w:sz w:val="18"/>
              </w:rPr>
              <w:t>9月11日</w:t>
            </w:r>
          </w:p>
        </w:tc>
        <w:tc>
          <w:tcPr>
            <w:tcW w:type="dxa" w:w="2268"/>
            <w:shd w:val="clear" w:color="auto" w:fill="F2F5FA"/>
            <w:vAlign w:val="center"/>
          </w:tcPr>
          <w:p>
            <w:pPr>
              <w:keepNext/>
              <w:spacing w:after="0"/>
            </w:pPr>
            <w:r>
              <w:rPr>
                <w:rFonts w:ascii="游ゴシック" w:hAnsi="游ゴシック" w:eastAsia="游ゴシック"/>
                <w:b w:val="0"/>
                <w:sz w:val="18"/>
              </w:rPr>
              <w:t>年報（令和7年度）の要介護度別の明細を確認し、調査の結果と保険者の実績を突き合わせた</w:t>
            </w:r>
          </w:p>
        </w:tc>
        <w:tc>
          <w:tcPr>
            <w:tcW w:type="dxa" w:w="2381"/>
            <w:shd w:val="clear" w:color="auto" w:fill="F2F5FA"/>
            <w:vAlign w:val="center"/>
          </w:tcPr>
          <w:p>
            <w:pPr>
              <w:keepNext/>
              <w:spacing w:after="0"/>
            </w:pPr>
            <w:r>
              <w:rPr>
                <w:rFonts w:ascii="游ゴシック" w:hAnsi="游ゴシック" w:eastAsia="游ゴシック"/>
                <w:b w:val="0"/>
                <w:sz w:val="18"/>
              </w:rPr>
              <w:t>調査結果と年報実績の突合クロス集計（10シート）</w:t>
            </w:r>
          </w:p>
        </w:tc>
        <w:tc>
          <w:tcPr>
            <w:tcW w:type="dxa" w:w="3855"/>
            <w:shd w:val="clear" w:color="auto" w:fill="F2F5FA"/>
            <w:vAlign w:val="center"/>
          </w:tcPr>
          <w:p>
            <w:pPr>
              <w:keepNext/>
              <w:spacing w:after="0"/>
            </w:pPr>
            <w:r>
              <w:rPr>
                <w:rFonts w:ascii="游ゴシック" w:hAnsi="游ゴシック" w:eastAsia="游ゴシック"/>
                <w:b/>
                <w:sz w:val="18"/>
              </w:rPr>
              <w:t>調査①の要介護度分布が在宅の認定者の分布と食い違うことを偶然では説明できないずれであることを検定により確かめた。施設の在籍者と保険者の受給者は数える対象が異なることを確定した</w:t>
            </w:r>
          </w:p>
        </w:tc>
      </w:tr>
      <w:tr>
        <w:trPr>
          <w:cantSplit/>
        </w:trPr>
        <w:tc>
          <w:tcPr>
            <w:tcW w:type="dxa" w:w="1134"/>
            <w:vAlign w:val="center"/>
          </w:tcPr>
          <w:p>
            <w:pPr>
              <w:keepNext/>
              <w:spacing w:after="0"/>
            </w:pPr>
            <w:r>
              <w:rPr>
                <w:rFonts w:ascii="游ゴシック" w:hAnsi="游ゴシック" w:eastAsia="游ゴシック"/>
                <w:b/>
                <w:sz w:val="18"/>
              </w:rPr>
              <w:t>9月15日</w:t>
            </w:r>
          </w:p>
        </w:tc>
        <w:tc>
          <w:tcPr>
            <w:tcW w:type="dxa" w:w="2268"/>
            <w:vAlign w:val="center"/>
          </w:tcPr>
          <w:p>
            <w:pPr>
              <w:keepNext/>
              <w:spacing w:after="0"/>
            </w:pPr>
            <w:r>
              <w:rPr>
                <w:rFonts w:ascii="游ゴシック" w:hAnsi="游ゴシック" w:eastAsia="游ゴシック"/>
                <w:b w:val="0"/>
                <w:sz w:val="18"/>
              </w:rPr>
              <w:t>健康とくらしの調査（4,729票）の結果を計画素案 第2章第4節に入れた</w:t>
            </w:r>
          </w:p>
        </w:tc>
        <w:tc>
          <w:tcPr>
            <w:tcW w:type="dxa" w:w="2381"/>
            <w:vAlign w:val="center"/>
          </w:tcPr>
          <w:p>
            <w:pPr>
              <w:keepNext/>
              <w:spacing w:after="0"/>
            </w:pPr>
            <w:r>
              <w:rPr>
                <w:rFonts w:ascii="游ゴシック" w:hAnsi="游ゴシック" w:eastAsia="游ゴシック"/>
                <w:b w:val="0"/>
                <w:sz w:val="18"/>
              </w:rPr>
              <w:t>計画素案（1024段落152表36図）</w:t>
            </w:r>
          </w:p>
        </w:tc>
        <w:tc>
          <w:tcPr>
            <w:tcW w:type="dxa" w:w="3855"/>
            <w:vAlign w:val="center"/>
          </w:tcPr>
          <w:p>
            <w:pPr>
              <w:keepNext/>
              <w:spacing w:after="0"/>
            </w:pPr>
            <w:r>
              <w:rPr>
                <w:rFonts w:ascii="游ゴシック" w:hAnsi="游ゴシック" w:eastAsia="游ゴシック"/>
                <w:b/>
                <w:sz w:val="18"/>
              </w:rPr>
              <w:t>第2章第4節は4段落・表1から30段落・表8になった</w:t>
            </w:r>
          </w:p>
        </w:tc>
      </w:tr>
      <w:tr>
        <w:trPr>
          <w:cantSplit/>
        </w:trPr>
        <w:tc>
          <w:tcPr>
            <w:tcW w:type="dxa" w:w="1134"/>
            <w:shd w:val="clear" w:color="auto" w:fill="F2F5FA"/>
            <w:vAlign w:val="center"/>
          </w:tcPr>
          <w:p>
            <w:pPr>
              <w:keepNext/>
              <w:spacing w:after="0"/>
            </w:pPr>
            <w:r>
              <w:rPr>
                <w:rFonts w:ascii="游ゴシック" w:hAnsi="游ゴシック" w:eastAsia="游ゴシック"/>
                <w:b/>
                <w:sz w:val="18"/>
              </w:rPr>
              <w:t>9月17日</w:t>
            </w:r>
          </w:p>
        </w:tc>
        <w:tc>
          <w:tcPr>
            <w:tcW w:type="dxa" w:w="2268"/>
            <w:shd w:val="clear" w:color="auto" w:fill="F2F5FA"/>
            <w:vAlign w:val="center"/>
          </w:tcPr>
          <w:p>
            <w:pPr>
              <w:keepNext/>
              <w:spacing w:after="0"/>
            </w:pPr>
            <w:r>
              <w:rPr>
                <w:rFonts w:ascii="游ゴシック" w:hAnsi="游ゴシック" w:eastAsia="游ゴシック"/>
                <w:b w:val="0"/>
                <w:sz w:val="18"/>
              </w:rPr>
              <w:t>アンケート調査の集計分析報告書を再点検し修正した</w:t>
            </w:r>
          </w:p>
        </w:tc>
        <w:tc>
          <w:tcPr>
            <w:tcW w:type="dxa" w:w="2381"/>
            <w:shd w:val="clear" w:color="auto" w:fill="F2F5FA"/>
            <w:vAlign w:val="center"/>
          </w:tcPr>
          <w:p>
            <w:pPr>
              <w:keepNext/>
              <w:spacing w:after="0"/>
            </w:pPr>
            <w:r>
              <w:rPr>
                <w:rFonts w:ascii="游ゴシック" w:hAnsi="游ゴシック" w:eastAsia="游ゴシック"/>
                <w:b w:val="0"/>
                <w:sz w:val="18"/>
              </w:rPr>
              <w:t>アンケート調査の集計分析報告書（15シート）／実施済み調査 結果報告書（Word）</w:t>
            </w:r>
          </w:p>
        </w:tc>
        <w:tc>
          <w:tcPr>
            <w:tcW w:type="dxa" w:w="3855"/>
            <w:shd w:val="clear" w:color="auto" w:fill="F2F5FA"/>
            <w:vAlign w:val="center"/>
          </w:tcPr>
          <w:p>
            <w:pPr>
              <w:keepNext/>
              <w:spacing w:after="0"/>
            </w:pPr>
            <w:r>
              <w:rPr>
                <w:rFonts w:ascii="游ゴシック" w:hAnsi="游ゴシック" w:eastAsia="游ゴシック"/>
                <w:b/>
                <w:sz w:val="18"/>
              </w:rPr>
              <w:t>見込量が計画素案 第6章と食い違っていたものを是正した。χ²と在籍・受給の差を留保一覧と課題整理に加えた。計画本文への反映状況を改めた</w:t>
            </w:r>
          </w:p>
        </w:tc>
      </w:tr>
      <w:tr>
        <w:trPr>
          <w:cantSplit/>
        </w:trPr>
        <w:tc>
          <w:tcPr>
            <w:tcW w:type="dxa" w:w="1134"/>
            <w:vAlign w:val="center"/>
          </w:tcPr>
          <w:p>
            <w:pPr>
              <w:keepNext/>
              <w:spacing w:after="0"/>
            </w:pPr>
            <w:r>
              <w:rPr>
                <w:rFonts w:ascii="游ゴシック" w:hAnsi="游ゴシック" w:eastAsia="游ゴシック"/>
                <w:b/>
                <w:sz w:val="18"/>
              </w:rPr>
              <w:t>9月24日</w:t>
            </w:r>
          </w:p>
        </w:tc>
        <w:tc>
          <w:tcPr>
            <w:tcW w:type="dxa" w:w="2268"/>
            <w:vAlign w:val="center"/>
          </w:tcPr>
          <w:p>
            <w:pPr>
              <w:keepNext/>
              <w:spacing w:after="0"/>
            </w:pPr>
            <w:r>
              <w:rPr>
                <w:rFonts w:ascii="游ゴシック" w:hAnsi="游ゴシック" w:eastAsia="游ゴシック"/>
                <w:b w:val="0"/>
                <w:sz w:val="18"/>
              </w:rPr>
              <w:t>点検事項の取扱いの決定を要しない所見を計画素案へ反映し、本報告書を作成した</w:t>
            </w:r>
          </w:p>
        </w:tc>
        <w:tc>
          <w:tcPr>
            <w:tcW w:type="dxa" w:w="2381"/>
            <w:vAlign w:val="center"/>
          </w:tcPr>
          <w:p>
            <w:pPr>
              <w:keepNext/>
              <w:spacing w:after="0"/>
            </w:pPr>
            <w:r>
              <w:rPr>
                <w:rFonts w:ascii="游ゴシック" w:hAnsi="游ゴシック" w:eastAsia="游ゴシック"/>
                <w:b w:val="0"/>
                <w:sz w:val="18"/>
              </w:rPr>
              <w:t>計画素案／本書</w:t>
            </w:r>
          </w:p>
        </w:tc>
        <w:tc>
          <w:tcPr>
            <w:tcW w:type="dxa" w:w="3855"/>
            <w:vAlign w:val="center"/>
          </w:tcPr>
          <w:p>
            <w:pPr>
              <w:keepNext/>
              <w:spacing w:after="0"/>
            </w:pPr>
            <w:r>
              <w:rPr>
                <w:rFonts w:ascii="游ゴシック" w:hAnsi="游ゴシック" w:eastAsia="游ゴシック"/>
                <w:b/>
                <w:sz w:val="18"/>
              </w:rPr>
              <w:t>所見20件のうち11件を反映済みとした。決定を要しないものはすべて反映した</w:t>
            </w:r>
          </w:p>
        </w:tc>
      </w:tr>
      <w:tr>
        <w:trPr>
          <w:cantSplit/>
        </w:trPr>
        <w:tc>
          <w:tcPr>
            <w:tcW w:type="dxa" w:w="1134"/>
            <w:shd w:val="clear" w:color="auto" w:fill="F2F5FA"/>
            <w:vAlign w:val="center"/>
          </w:tcPr>
          <w:p>
            <w:pPr>
              <w:spacing w:after="0"/>
            </w:pPr>
            <w:r>
              <w:rPr>
                <w:rFonts w:ascii="游ゴシック" w:hAnsi="游ゴシック" w:eastAsia="游ゴシック"/>
                <w:b/>
                <w:sz w:val="18"/>
              </w:rPr>
              <w:t>9月25日</w:t>
            </w:r>
          </w:p>
        </w:tc>
        <w:tc>
          <w:tcPr>
            <w:tcW w:type="dxa" w:w="2268"/>
            <w:shd w:val="clear" w:color="auto" w:fill="F2F5FA"/>
            <w:vAlign w:val="center"/>
          </w:tcPr>
          <w:p>
            <w:pPr>
              <w:spacing w:after="0"/>
            </w:pPr>
            <w:r>
              <w:rPr>
                <w:rFonts w:ascii="游ゴシック" w:hAnsi="游ゴシック" w:eastAsia="游ゴシック"/>
                <w:b w:val="0"/>
                <w:sz w:val="18"/>
              </w:rPr>
              <w:t>調査の原典と報告書・計画素案の数値を突き合わせ、指標の定義・割合の分母・時点の混在を是正した</w:t>
            </w:r>
          </w:p>
        </w:tc>
        <w:tc>
          <w:tcPr>
            <w:tcW w:type="dxa" w:w="2381"/>
            <w:shd w:val="clear" w:color="auto" w:fill="F2F5FA"/>
            <w:vAlign w:val="center"/>
          </w:tcPr>
          <w:p>
            <w:pPr>
              <w:spacing w:after="0"/>
            </w:pPr>
            <w:r>
              <w:rPr>
                <w:rFonts w:ascii="游ゴシック" w:hAnsi="游ゴシック" w:eastAsia="游ゴシック"/>
                <w:b w:val="0"/>
                <w:sz w:val="18"/>
              </w:rPr>
              <w:t>アンケート調査の集計分析報告書／実施済み調査 結果報告書／計画素案（1024段落152表36図）／本書</w:t>
            </w:r>
          </w:p>
        </w:tc>
        <w:tc>
          <w:tcPr>
            <w:tcW w:type="dxa" w:w="3855"/>
            <w:shd w:val="clear" w:color="auto" w:fill="F2F5FA"/>
            <w:vAlign w:val="center"/>
          </w:tcPr>
          <w:p>
            <w:pPr>
              <w:spacing w:after="0"/>
            </w:pPr>
            <w:r>
              <w:rPr>
                <w:rFonts w:ascii="游ゴシック" w:hAnsi="游ゴシック" w:eastAsia="游ゴシック"/>
                <w:b/>
                <w:sz w:val="18"/>
              </w:rPr>
              <w:t>代表KPIの定義を計画素案の3か所で同じものにそろえた。在宅生活改善調査による割合の分母を設問ごとの有効回答に改めた。特定施設の入居率を施設別に示し、時点の異なる合計は参考値とした。報告書の体裁（節ごとの改ページ、表が紙面の途中で切れないこと、表の中の重要な値の強調）を整えた</w:t>
            </w:r>
          </w:p>
        </w:tc>
      </w:tr>
    </w:tbl>
    <w:p>
      <w:pPr>
        <w:ind w:left="227"/>
      </w:pPr>
      <w:r>
        <w:rPr>
          <w:rFonts w:ascii="游ゴシック" w:hAnsi="游ゴシック" w:eastAsia="游ゴシック"/>
          <w:b w:val="0"/>
          <w:sz w:val="18"/>
        </w:rPr>
        <w:t>※ 4調査を横断したクロス集計は、令和8年8月5日のご意向により行いません。利用者票の所在地区の記入形式が9種類に分かれ、個票を地区に割り付けられないためです。これに代えて、各調査内のクロス集計と公表データによる供給構造の分析により調査相互を接続しています。</w:t>
      </w:r>
    </w:p>
    <w:p>
      <w:pPr>
        <w:keepNext/>
        <w:pageBreakBefore/>
        <w:spacing w:before="0" w:after="120"/>
      </w:pPr>
      <w:r>
        <w:rPr>
          <w:rFonts w:ascii="游ゴシック" w:hAnsi="游ゴシック" w:eastAsia="游ゴシック"/>
          <w:b/>
          <w:color w:val="1F3864"/>
          <w:sz w:val="26"/>
        </w:rPr>
        <w:t>第2節　仕様書４（3）の作業項目に対する状況</w:t>
      </w:r>
    </w:p>
    <w:p>
      <w:pPr>
        <w:spacing w:after="80"/>
      </w:pPr>
      <w:r>
        <w:rPr>
          <w:rFonts w:ascii="游ゴシック" w:hAnsi="游ゴシック" w:eastAsia="游ゴシック"/>
          <w:b w:val="0"/>
          <w:sz w:val="21"/>
        </w:rPr>
        <w:t>業務仕様書「４．業務内容（3）実施済み調査結果の集計・分析」は、次のとおり定めています。</w:t>
      </w:r>
    </w:p>
    <w:p>
      <w:pPr>
        <w:spacing w:after="80"/>
        <w:ind w:left="283"/>
      </w:pPr>
      <w:r>
        <w:rPr>
          <w:rFonts w:ascii="游ゴシック" w:hAnsi="游ゴシック" w:eastAsia="游ゴシック"/>
          <w:b w:val="0"/>
          <w:sz w:val="21"/>
        </w:rPr>
        <w:t>「発注者が実施済みの4調査（在宅生活改善調査、居所変更実態調査、介護人材実態調査、健康とくらしの調査）について、貸与資料を基に集計、クロス集計、分析、課題整理及び第10期計画への反映を行う。単純集計及び必要なクロス集計を行うとともに、見える化システム、介護給付実績及び人口推計等と組み合わせた分析を実施する。」</w:t>
      </w:r>
    </w:p>
    <w:p>
      <w:pPr>
        <w:spacing w:after="80"/>
      </w:pPr>
      <w:r>
        <w:rPr>
          <w:rFonts w:ascii="游ゴシック" w:hAnsi="游ゴシック" w:eastAsia="游ゴシック"/>
          <w:b/>
          <w:sz w:val="21"/>
        </w:rPr>
        <w:t>求められているのは、集計・クロス集計・分析に加えて「課題整理」と「第10期計画への反映」までです。</w:t>
      </w:r>
      <w:r>
        <w:rPr>
          <w:rFonts w:ascii="游ゴシック" w:hAnsi="游ゴシック" w:eastAsia="游ゴシック"/>
          <w:b w:val="0"/>
          <w:sz w:val="21"/>
        </w:rPr>
        <w:t>作業項目ごとの状況は次のとおりです。</w:t>
      </w:r>
    </w:p>
    <w:p>
      <w:pPr>
        <w:keepNext/>
        <w:spacing w:before="160" w:after="40"/>
      </w:pPr>
      <w:r>
        <w:rPr>
          <w:rFonts w:ascii="游ゴシック" w:hAnsi="游ゴシック" w:eastAsia="游ゴシック"/>
          <w:b/>
          <w:sz w:val="20"/>
        </w:rPr>
        <w:t>表2　仕様書４（3）の作業項目と本報告の対応</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721"/>
            <w:shd w:val="clear" w:color="auto" w:fill="1F3864"/>
            <w:vAlign w:val="center"/>
          </w:tcPr>
          <w:p>
            <w:pPr>
              <w:keepNext/>
              <w:spacing w:after="0"/>
              <w:jc w:val="center"/>
            </w:pPr>
            <w:r>
              <w:rPr>
                <w:rFonts w:ascii="游ゴシック" w:hAnsi="游ゴシック" w:eastAsia="游ゴシック"/>
                <w:b/>
                <w:color w:val="FFFFFF"/>
                <w:sz w:val="18"/>
              </w:rPr>
              <w:t>作業項目</w:t>
            </w:r>
          </w:p>
        </w:tc>
        <w:tc>
          <w:tcPr>
            <w:tcW w:type="dxa" w:w="794"/>
            <w:shd w:val="clear" w:color="auto" w:fill="1F3864"/>
            <w:vAlign w:val="center"/>
          </w:tcPr>
          <w:p>
            <w:pPr>
              <w:keepNext/>
              <w:spacing w:after="0"/>
              <w:jc w:val="center"/>
            </w:pPr>
            <w:r>
              <w:rPr>
                <w:rFonts w:ascii="游ゴシック" w:hAnsi="游ゴシック" w:eastAsia="游ゴシック"/>
                <w:b/>
                <w:color w:val="FFFFFF"/>
                <w:sz w:val="18"/>
              </w:rPr>
              <w:t>状態</w:t>
            </w:r>
          </w:p>
        </w:tc>
        <w:tc>
          <w:tcPr>
            <w:tcW w:type="dxa" w:w="2608"/>
            <w:shd w:val="clear" w:color="auto" w:fill="1F3864"/>
            <w:vAlign w:val="center"/>
          </w:tcPr>
          <w:p>
            <w:pPr>
              <w:keepNext/>
              <w:spacing w:after="0"/>
              <w:jc w:val="center"/>
            </w:pPr>
            <w:r>
              <w:rPr>
                <w:rFonts w:ascii="游ゴシック" w:hAnsi="游ゴシック" w:eastAsia="游ゴシック"/>
                <w:b/>
                <w:color w:val="FFFFFF"/>
                <w:sz w:val="18"/>
              </w:rPr>
              <w:t>成果品</w:t>
            </w:r>
          </w:p>
        </w:tc>
        <w:tc>
          <w:tcPr>
            <w:tcW w:type="dxa" w:w="3515"/>
            <w:shd w:val="clear" w:color="auto" w:fill="1F3864"/>
            <w:vAlign w:val="center"/>
          </w:tcPr>
          <w:p>
            <w:pPr>
              <w:keepNext/>
              <w:spacing w:after="0"/>
              <w:jc w:val="center"/>
            </w:pPr>
            <w:r>
              <w:rPr>
                <w:rFonts w:ascii="游ゴシック" w:hAnsi="游ゴシック" w:eastAsia="游ゴシック"/>
                <w:b/>
                <w:color w:val="FFFFFF"/>
                <w:sz w:val="18"/>
              </w:rPr>
              <w:t>本報告での扱い</w:t>
            </w:r>
          </w:p>
        </w:tc>
      </w:tr>
      <w:tr>
        <w:trPr>
          <w:cantSplit/>
        </w:trPr>
        <w:tc>
          <w:tcPr>
            <w:tcW w:type="dxa" w:w="2721"/>
            <w:vAlign w:val="center"/>
          </w:tcPr>
          <w:p>
            <w:pPr>
              <w:keepNext/>
              <w:spacing w:after="0"/>
            </w:pPr>
            <w:r>
              <w:rPr>
                <w:rFonts w:ascii="游ゴシック" w:hAnsi="游ゴシック" w:eastAsia="游ゴシック"/>
                <w:b/>
                <w:sz w:val="18"/>
              </w:rPr>
              <w:t>①健康とくらしの調査（JAGES）の集計・分析</w:t>
            </w:r>
          </w:p>
        </w:tc>
        <w:tc>
          <w:tcPr>
            <w:tcW w:type="dxa" w:w="794"/>
            <w:vAlign w:val="center"/>
          </w:tcPr>
          <w:p>
            <w:pPr>
              <w:keepNext/>
              <w:spacing w:after="0"/>
              <w:jc w:val="center"/>
            </w:pPr>
            <w:r>
              <w:rPr>
                <w:rFonts w:ascii="游ゴシック" w:hAnsi="游ゴシック" w:eastAsia="游ゴシック"/>
                <w:b/>
                <w:sz w:val="18"/>
              </w:rPr>
              <w:t>完了</w:t>
            </w:r>
          </w:p>
        </w:tc>
        <w:tc>
          <w:tcPr>
            <w:tcW w:type="dxa" w:w="2608"/>
            <w:vAlign w:val="center"/>
          </w:tcPr>
          <w:p>
            <w:pPr>
              <w:keepNext/>
              <w:spacing w:after="0"/>
            </w:pPr>
            <w:r>
              <w:rPr>
                <w:rFonts w:ascii="游ゴシック" w:hAnsi="游ゴシック" w:eastAsia="游ゴシック"/>
                <w:b w:val="0"/>
                <w:sz w:val="18"/>
              </w:rPr>
              <w:t>調査クロス集計・分析（24シート）</w:t>
            </w:r>
          </w:p>
        </w:tc>
        <w:tc>
          <w:tcPr>
            <w:tcW w:type="dxa" w:w="3515"/>
            <w:vAlign w:val="center"/>
          </w:tcPr>
          <w:p>
            <w:pPr>
              <w:keepNext/>
              <w:spacing w:after="0"/>
            </w:pPr>
            <w:r>
              <w:rPr>
                <w:rFonts w:ascii="游ゴシック" w:hAnsi="游ゴシック" w:eastAsia="游ゴシック"/>
                <w:b w:val="0"/>
                <w:sz w:val="18"/>
              </w:rPr>
              <w:t>第5節。計画素案 第2章第4節に反映済み</w:t>
            </w:r>
          </w:p>
        </w:tc>
      </w:tr>
      <w:tr>
        <w:trPr>
          <w:cantSplit/>
        </w:trPr>
        <w:tc>
          <w:tcPr>
            <w:tcW w:type="dxa" w:w="2721"/>
            <w:shd w:val="clear" w:color="auto" w:fill="F2F5FA"/>
            <w:vAlign w:val="center"/>
          </w:tcPr>
          <w:p>
            <w:pPr>
              <w:keepNext/>
              <w:spacing w:after="0"/>
            </w:pPr>
            <w:r>
              <w:rPr>
                <w:rFonts w:ascii="游ゴシック" w:hAnsi="游ゴシック" w:eastAsia="游ゴシック"/>
                <w:b/>
                <w:sz w:val="18"/>
              </w:rPr>
              <w:t>①-2 第9期の課題・第10期の施策に対する妥当性レビューと追加分析</w:t>
            </w:r>
          </w:p>
        </w:tc>
        <w:tc>
          <w:tcPr>
            <w:tcW w:type="dxa" w:w="794"/>
            <w:shd w:val="clear" w:color="auto" w:fill="F2F5FA"/>
            <w:vAlign w:val="center"/>
          </w:tcPr>
          <w:p>
            <w:pPr>
              <w:keepNext/>
              <w:spacing w:after="0"/>
              <w:jc w:val="center"/>
            </w:pPr>
            <w:r>
              <w:rPr>
                <w:rFonts w:ascii="游ゴシック" w:hAnsi="游ゴシック" w:eastAsia="游ゴシック"/>
                <w:b/>
                <w:sz w:val="18"/>
              </w:rPr>
              <w:t>完了</w:t>
            </w:r>
          </w:p>
        </w:tc>
        <w:tc>
          <w:tcPr>
            <w:tcW w:type="dxa" w:w="2608"/>
            <w:shd w:val="clear" w:color="auto" w:fill="F2F5FA"/>
            <w:vAlign w:val="center"/>
          </w:tcPr>
          <w:p>
            <w:pPr>
              <w:keepNext/>
              <w:spacing w:after="0"/>
            </w:pPr>
            <w:r>
              <w:rPr>
                <w:rFonts w:ascii="游ゴシック" w:hAnsi="游ゴシック" w:eastAsia="游ゴシック"/>
                <w:b w:val="0"/>
                <w:sz w:val="18"/>
              </w:rPr>
              <w:t>妥当性検証報告書／調査クロス集計・分析 13・15〜18シート</w:t>
            </w:r>
          </w:p>
        </w:tc>
        <w:tc>
          <w:tcPr>
            <w:tcW w:type="dxa" w:w="3515"/>
            <w:shd w:val="clear" w:color="auto" w:fill="F2F5FA"/>
            <w:vAlign w:val="center"/>
          </w:tcPr>
          <w:p>
            <w:pPr>
              <w:keepNext/>
              <w:spacing w:after="0"/>
            </w:pPr>
            <w:r>
              <w:rPr>
                <w:rFonts w:ascii="游ゴシック" w:hAnsi="游ゴシック" w:eastAsia="游ゴシック"/>
                <w:b w:val="0"/>
                <w:sz w:val="18"/>
              </w:rPr>
              <w:t>第9期の課題20件と第10期の施策体系に対して不足と判定した4領域の分析を追加した</w:t>
            </w:r>
          </w:p>
        </w:tc>
      </w:tr>
      <w:tr>
        <w:trPr>
          <w:cantSplit/>
        </w:trPr>
        <w:tc>
          <w:tcPr>
            <w:tcW w:type="dxa" w:w="2721"/>
            <w:vAlign w:val="center"/>
          </w:tcPr>
          <w:p>
            <w:pPr>
              <w:keepNext/>
              <w:spacing w:after="0"/>
            </w:pPr>
            <w:r>
              <w:rPr>
                <w:rFonts w:ascii="游ゴシック" w:hAnsi="游ゴシック" w:eastAsia="游ゴシック"/>
                <w:b/>
                <w:sz w:val="18"/>
              </w:rPr>
              <w:t>②在宅生活改善調査の集計・分析</w:t>
            </w:r>
          </w:p>
        </w:tc>
        <w:tc>
          <w:tcPr>
            <w:tcW w:type="dxa" w:w="794"/>
            <w:vAlign w:val="center"/>
          </w:tcPr>
          <w:p>
            <w:pPr>
              <w:keepNext/>
              <w:spacing w:after="0"/>
              <w:jc w:val="center"/>
            </w:pPr>
            <w:r>
              <w:rPr>
                <w:rFonts w:ascii="游ゴシック" w:hAnsi="游ゴシック" w:eastAsia="游ゴシック"/>
                <w:b/>
                <w:sz w:val="18"/>
              </w:rPr>
              <w:t>完了</w:t>
            </w:r>
          </w:p>
        </w:tc>
        <w:tc>
          <w:tcPr>
            <w:tcW w:type="dxa" w:w="2608"/>
            <w:vAlign w:val="center"/>
          </w:tcPr>
          <w:p>
            <w:pPr>
              <w:keepNext/>
              <w:spacing w:after="0"/>
            </w:pPr>
            <w:r>
              <w:rPr>
                <w:rFonts w:ascii="游ゴシック" w:hAnsi="游ゴシック" w:eastAsia="游ゴシック"/>
                <w:b w:val="0"/>
                <w:sz w:val="18"/>
              </w:rPr>
              <w:t>集計分析報告書 02シート</w:t>
            </w:r>
          </w:p>
        </w:tc>
        <w:tc>
          <w:tcPr>
            <w:tcW w:type="dxa" w:w="3515"/>
            <w:vAlign w:val="center"/>
          </w:tcPr>
          <w:p>
            <w:pPr>
              <w:keepNext/>
              <w:spacing w:after="0"/>
            </w:pPr>
            <w:r>
              <w:rPr>
                <w:rFonts w:ascii="游ゴシック" w:hAnsi="游ゴシック" w:eastAsia="游ゴシック"/>
                <w:b w:val="0"/>
                <w:sz w:val="18"/>
              </w:rPr>
              <w:t>第6節1。母集団の偏りを検定により測定した</w:t>
            </w:r>
          </w:p>
        </w:tc>
      </w:tr>
      <w:tr>
        <w:trPr>
          <w:cantSplit/>
        </w:trPr>
        <w:tc>
          <w:tcPr>
            <w:tcW w:type="dxa" w:w="2721"/>
            <w:shd w:val="clear" w:color="auto" w:fill="F2F5FA"/>
            <w:vAlign w:val="center"/>
          </w:tcPr>
          <w:p>
            <w:pPr>
              <w:keepNext/>
              <w:spacing w:after="0"/>
            </w:pPr>
            <w:r>
              <w:rPr>
                <w:rFonts w:ascii="游ゴシック" w:hAnsi="游ゴシック" w:eastAsia="游ゴシック"/>
                <w:b/>
                <w:sz w:val="18"/>
              </w:rPr>
              <w:t>③居所変更実態調査の集計・分析</w:t>
            </w:r>
          </w:p>
        </w:tc>
        <w:tc>
          <w:tcPr>
            <w:tcW w:type="dxa" w:w="794"/>
            <w:shd w:val="clear" w:color="auto" w:fill="F2F5FA"/>
            <w:vAlign w:val="center"/>
          </w:tcPr>
          <w:p>
            <w:pPr>
              <w:keepNext/>
              <w:spacing w:after="0"/>
              <w:jc w:val="center"/>
            </w:pPr>
            <w:r>
              <w:rPr>
                <w:rFonts w:ascii="游ゴシック" w:hAnsi="游ゴシック" w:eastAsia="游ゴシック"/>
                <w:b/>
                <w:sz w:val="18"/>
              </w:rPr>
              <w:t>完了</w:t>
            </w:r>
          </w:p>
        </w:tc>
        <w:tc>
          <w:tcPr>
            <w:tcW w:type="dxa" w:w="2608"/>
            <w:shd w:val="clear" w:color="auto" w:fill="F2F5FA"/>
            <w:vAlign w:val="center"/>
          </w:tcPr>
          <w:p>
            <w:pPr>
              <w:keepNext/>
              <w:spacing w:after="0"/>
            </w:pPr>
            <w:r>
              <w:rPr>
                <w:rFonts w:ascii="游ゴシック" w:hAnsi="游ゴシック" w:eastAsia="游ゴシック"/>
                <w:b w:val="0"/>
                <w:sz w:val="18"/>
              </w:rPr>
              <w:t>集計分析報告書 03シート</w:t>
            </w:r>
          </w:p>
        </w:tc>
        <w:tc>
          <w:tcPr>
            <w:tcW w:type="dxa" w:w="3515"/>
            <w:shd w:val="clear" w:color="auto" w:fill="F2F5FA"/>
            <w:vAlign w:val="center"/>
          </w:tcPr>
          <w:p>
            <w:pPr>
              <w:keepNext/>
              <w:spacing w:after="0"/>
            </w:pPr>
            <w:r>
              <w:rPr>
                <w:rFonts w:ascii="游ゴシック" w:hAnsi="游ゴシック" w:eastAsia="游ゴシック"/>
                <w:b w:val="0"/>
                <w:sz w:val="18"/>
              </w:rPr>
              <w:t>第6節2。在籍と受給の差を測定した</w:t>
            </w:r>
          </w:p>
        </w:tc>
      </w:tr>
      <w:tr>
        <w:trPr>
          <w:cantSplit/>
        </w:trPr>
        <w:tc>
          <w:tcPr>
            <w:tcW w:type="dxa" w:w="2721"/>
            <w:vAlign w:val="center"/>
          </w:tcPr>
          <w:p>
            <w:pPr>
              <w:keepNext/>
              <w:spacing w:after="0"/>
            </w:pPr>
            <w:r>
              <w:rPr>
                <w:rFonts w:ascii="游ゴシック" w:hAnsi="游ゴシック" w:eastAsia="游ゴシック"/>
                <w:b/>
                <w:sz w:val="18"/>
              </w:rPr>
              <w:t>④介護人材実態調査の集計・分析</w:t>
            </w:r>
          </w:p>
        </w:tc>
        <w:tc>
          <w:tcPr>
            <w:tcW w:type="dxa" w:w="794"/>
            <w:vAlign w:val="center"/>
          </w:tcPr>
          <w:p>
            <w:pPr>
              <w:keepNext/>
              <w:spacing w:after="0"/>
              <w:jc w:val="center"/>
            </w:pPr>
            <w:r>
              <w:rPr>
                <w:rFonts w:ascii="游ゴシック" w:hAnsi="游ゴシック" w:eastAsia="游ゴシック"/>
                <w:b/>
                <w:sz w:val="18"/>
              </w:rPr>
              <w:t>完了</w:t>
            </w:r>
          </w:p>
        </w:tc>
        <w:tc>
          <w:tcPr>
            <w:tcW w:type="dxa" w:w="2608"/>
            <w:vAlign w:val="center"/>
          </w:tcPr>
          <w:p>
            <w:pPr>
              <w:keepNext/>
              <w:spacing w:after="0"/>
            </w:pPr>
            <w:r>
              <w:rPr>
                <w:rFonts w:ascii="游ゴシック" w:hAnsi="游ゴシック" w:eastAsia="游ゴシック"/>
                <w:b w:val="0"/>
                <w:sz w:val="18"/>
              </w:rPr>
              <w:t>集計分析報告書 04シート</w:t>
            </w:r>
          </w:p>
        </w:tc>
        <w:tc>
          <w:tcPr>
            <w:tcW w:type="dxa" w:w="3515"/>
            <w:vAlign w:val="center"/>
          </w:tcPr>
          <w:p>
            <w:pPr>
              <w:keepNext/>
              <w:spacing w:after="0"/>
            </w:pPr>
            <w:r>
              <w:rPr>
                <w:rFonts w:ascii="游ゴシック" w:hAnsi="游ゴシック" w:eastAsia="游ゴシック"/>
                <w:b w:val="0"/>
                <w:sz w:val="18"/>
              </w:rPr>
              <w:t>介護職員の総数は確認事項No.8のご決定を待っている</w:t>
            </w:r>
          </w:p>
        </w:tc>
      </w:tr>
      <w:tr>
        <w:trPr>
          <w:cantSplit/>
        </w:trPr>
        <w:tc>
          <w:tcPr>
            <w:tcW w:type="dxa" w:w="2721"/>
            <w:shd w:val="clear" w:color="auto" w:fill="F2F5FA"/>
            <w:vAlign w:val="center"/>
          </w:tcPr>
          <w:p>
            <w:pPr>
              <w:keepNext/>
              <w:spacing w:after="0"/>
            </w:pPr>
            <w:r>
              <w:rPr>
                <w:rFonts w:ascii="游ゴシック" w:hAnsi="游ゴシック" w:eastAsia="游ゴシック"/>
                <w:b/>
                <w:sz w:val="18"/>
              </w:rPr>
              <w:t>⑤4調査を横断したクロス集計</w:t>
            </w:r>
          </w:p>
        </w:tc>
        <w:tc>
          <w:tcPr>
            <w:tcW w:type="dxa" w:w="794"/>
            <w:shd w:val="clear" w:color="auto" w:fill="F2F5FA"/>
            <w:vAlign w:val="center"/>
          </w:tcPr>
          <w:p>
            <w:pPr>
              <w:keepNext/>
              <w:spacing w:after="0"/>
              <w:jc w:val="center"/>
            </w:pPr>
            <w:r>
              <w:rPr>
                <w:rFonts w:ascii="游ゴシック" w:hAnsi="游ゴシック" w:eastAsia="游ゴシック"/>
                <w:b/>
                <w:sz w:val="18"/>
              </w:rPr>
              <w:t>行わない</w:t>
            </w:r>
          </w:p>
        </w:tc>
        <w:tc>
          <w:tcPr>
            <w:tcW w:type="dxa" w:w="2608"/>
            <w:shd w:val="clear" w:color="auto" w:fill="F2F5FA"/>
            <w:vAlign w:val="center"/>
          </w:tcPr>
          <w:p>
            <w:pPr>
              <w:keepNext/>
              <w:spacing w:after="0"/>
            </w:pPr>
            <w:r>
              <w:rPr>
                <w:rFonts w:ascii="游ゴシック" w:hAnsi="游ゴシック" w:eastAsia="游ゴシック"/>
                <w:b w:val="0"/>
                <w:sz w:val="18"/>
              </w:rPr>
              <w:t>集計分析報告書 13シート</w:t>
            </w:r>
          </w:p>
        </w:tc>
        <w:tc>
          <w:tcPr>
            <w:tcW w:type="dxa" w:w="3515"/>
            <w:shd w:val="clear" w:color="auto" w:fill="F2F5FA"/>
            <w:vAlign w:val="center"/>
          </w:tcPr>
          <w:p>
            <w:pPr>
              <w:keepNext/>
              <w:spacing w:after="0"/>
            </w:pPr>
            <w:r>
              <w:rPr>
                <w:rFonts w:ascii="游ゴシック" w:hAnsi="游ゴシック" w:eastAsia="游ゴシック"/>
                <w:b w:val="0"/>
                <w:sz w:val="18"/>
              </w:rPr>
              <w:t>令和8年8月5日のご意向による。利用者票の所在地区の記入形式が9種類に分かれ個票を割り付けられない。各調査内のクロス集計と供給構造の分析で代えている</w:t>
            </w:r>
          </w:p>
        </w:tc>
      </w:tr>
      <w:tr>
        <w:trPr>
          <w:cantSplit/>
        </w:trPr>
        <w:tc>
          <w:tcPr>
            <w:tcW w:type="dxa" w:w="2721"/>
            <w:vAlign w:val="center"/>
          </w:tcPr>
          <w:p>
            <w:pPr>
              <w:spacing w:after="0"/>
            </w:pPr>
            <w:r>
              <w:rPr>
                <w:rFonts w:ascii="游ゴシック" w:hAnsi="游ゴシック" w:eastAsia="游ゴシック"/>
                <w:b/>
                <w:sz w:val="18"/>
              </w:rPr>
              <w:t>⑥見える化データ・給付実績・人口推計と組み合わせた分析</w:t>
            </w:r>
          </w:p>
        </w:tc>
        <w:tc>
          <w:tcPr>
            <w:tcW w:type="dxa" w:w="794"/>
            <w:vAlign w:val="center"/>
          </w:tcPr>
          <w:p>
            <w:pPr>
              <w:spacing w:after="0"/>
              <w:jc w:val="center"/>
            </w:pPr>
            <w:r>
              <w:rPr>
                <w:rFonts w:ascii="游ゴシック" w:hAnsi="游ゴシック" w:eastAsia="游ゴシック"/>
                <w:b/>
                <w:sz w:val="18"/>
              </w:rPr>
              <w:t>完了</w:t>
            </w:r>
          </w:p>
        </w:tc>
        <w:tc>
          <w:tcPr>
            <w:tcW w:type="dxa" w:w="2608"/>
            <w:vAlign w:val="center"/>
          </w:tcPr>
          <w:p>
            <w:pPr>
              <w:spacing w:after="0"/>
            </w:pPr>
            <w:r>
              <w:rPr>
                <w:rFonts w:ascii="游ゴシック" w:hAnsi="游ゴシック" w:eastAsia="游ゴシック"/>
                <w:b w:val="0"/>
                <w:sz w:val="18"/>
              </w:rPr>
              <w:t>集計分析報告書 06〜10シート／突合クロス集計（10シート）</w:t>
            </w:r>
          </w:p>
        </w:tc>
        <w:tc>
          <w:tcPr>
            <w:tcW w:type="dxa" w:w="3515"/>
            <w:vAlign w:val="center"/>
          </w:tcPr>
          <w:p>
            <w:pPr>
              <w:spacing w:after="0"/>
            </w:pPr>
            <w:r>
              <w:rPr>
                <w:rFonts w:ascii="游ゴシック" w:hAnsi="游ゴシック" w:eastAsia="游ゴシック"/>
                <w:b w:val="0"/>
                <w:sz w:val="18"/>
              </w:rPr>
              <w:t>第6節・第7節。給付実績は年報（令和7年度）、供給は北海道の名簿と見える化K系列、人口推計は将来推計（案C）による</w:t>
            </w:r>
          </w:p>
        </w:tc>
      </w:tr>
    </w:tbl>
    <w:p>
      <w:pPr>
        <w:spacing w:after="80"/>
      </w:pPr>
      <w:r>
        <w:rPr>
          <w:rFonts w:ascii="游ゴシック" w:hAnsi="游ゴシック" w:eastAsia="游ゴシック"/>
          <w:sz w:val="21"/>
        </w:rPr>
      </w:r>
    </w:p>
    <w:p>
      <w:pPr>
        <w:spacing w:after="80"/>
      </w:pPr>
      <w:r>
        <w:rPr>
          <w:rFonts w:ascii="游ゴシック" w:hAnsi="游ゴシック" w:eastAsia="游ゴシック"/>
          <w:b/>
          <w:sz w:val="21"/>
        </w:rPr>
        <w:t>集計・クロス集計・分析は4調査とも完了しています。</w:t>
      </w:r>
      <w:r>
        <w:rPr>
          <w:rFonts w:ascii="游ゴシック" w:hAnsi="游ゴシック" w:eastAsia="游ゴシック"/>
          <w:b w:val="0"/>
          <w:sz w:val="21"/>
        </w:rPr>
        <w:t>課題整理は第7節に、計画への反映は第5節・第8節に掲げています。残っているのは、点検事項の取扱いのご決定を待つ所見9件の反映です（第8節・第10節）。</w:t>
      </w:r>
    </w:p>
    <w:p>
      <w:pPr>
        <w:ind w:left="227"/>
      </w:pPr>
      <w:r>
        <w:rPr>
          <w:rFonts w:ascii="游ゴシック" w:hAnsi="游ゴシック" w:eastAsia="游ゴシック"/>
          <w:b w:val="0"/>
          <w:sz w:val="18"/>
        </w:rPr>
        <w:t>※ 仕様書は「新たなアンケート調査の企画、設計、配布、回収、入力及び督促は行わない」と定めています。本業務の範囲は貸与資料に基づく集計・クロス集計・分析・課題整理・計画への反映です。</w:t>
      </w:r>
    </w:p>
    <w:p>
      <w:pPr>
        <w:keepNext/>
        <w:pageBreakBefore/>
        <w:spacing w:before="0" w:after="120"/>
      </w:pPr>
      <w:r>
        <w:rPr>
          <w:rFonts w:ascii="游ゴシック" w:hAnsi="游ゴシック" w:eastAsia="游ゴシック"/>
          <w:b/>
          <w:color w:val="1F3864"/>
          <w:sz w:val="26"/>
        </w:rPr>
        <w:t>第3節　対象4調査・母数と回収の状況</w:t>
      </w:r>
    </w:p>
    <w:p>
      <w:pPr>
        <w:spacing w:after="80"/>
      </w:pPr>
      <w:r>
        <w:rPr>
          <w:rFonts w:ascii="游ゴシック" w:hAnsi="游ゴシック" w:eastAsia="游ゴシック"/>
          <w:b w:val="0"/>
          <w:sz w:val="21"/>
        </w:rPr>
        <w:t>4調査はいずれも発注者が実施されたものであり、受託者は配布・回収に関与していません。受領した票を集計・分析しています。</w:t>
      </w:r>
    </w:p>
    <w:p>
      <w:pPr>
        <w:spacing w:after="80"/>
      </w:pPr>
      <w:r>
        <w:rPr>
          <w:rFonts w:ascii="游ゴシック" w:hAnsi="游ゴシック" w:eastAsia="游ゴシック"/>
          <w:b/>
          <w:sz w:val="21"/>
        </w:rPr>
        <w:t>母数は調査ごとに置き方が異なります。</w:t>
      </w:r>
      <w:r>
        <w:rPr>
          <w:rFonts w:ascii="游ゴシック" w:hAnsi="游ゴシック" w:eastAsia="游ゴシック"/>
          <w:b w:val="0"/>
          <w:sz w:val="21"/>
        </w:rPr>
        <w:t>①②③は配布数の記録がないため回収率を算定できず、公表データで母数を置き換えられるものだけ回収率を示しています。</w:t>
      </w:r>
    </w:p>
    <w:p>
      <w:pPr>
        <w:keepNext/>
        <w:spacing w:before="160" w:after="40"/>
      </w:pPr>
      <w:r>
        <w:rPr>
          <w:rFonts w:ascii="游ゴシック" w:hAnsi="游ゴシック" w:eastAsia="游ゴシック"/>
          <w:b/>
          <w:sz w:val="20"/>
        </w:rPr>
        <w:t>表3　調査の実施状況・母数と回収</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2041"/>
            <w:shd w:val="clear" w:color="auto" w:fill="1F3864"/>
            <w:vAlign w:val="center"/>
          </w:tcPr>
          <w:p>
            <w:pPr>
              <w:keepNext/>
              <w:spacing w:after="0"/>
              <w:jc w:val="center"/>
            </w:pPr>
            <w:r>
              <w:rPr>
                <w:rFonts w:ascii="游ゴシック" w:hAnsi="游ゴシック" w:eastAsia="游ゴシック"/>
                <w:b/>
                <w:color w:val="FFFFFF"/>
                <w:sz w:val="18"/>
              </w:rPr>
              <w:t>調査・票種</w:t>
            </w:r>
          </w:p>
        </w:tc>
        <w:tc>
          <w:tcPr>
            <w:tcW w:type="dxa" w:w="1020"/>
            <w:shd w:val="clear" w:color="auto" w:fill="1F3864"/>
            <w:vAlign w:val="center"/>
          </w:tcPr>
          <w:p>
            <w:pPr>
              <w:keepNext/>
              <w:spacing w:after="0"/>
              <w:jc w:val="center"/>
            </w:pPr>
            <w:r>
              <w:rPr>
                <w:rFonts w:ascii="游ゴシック" w:hAnsi="游ゴシック" w:eastAsia="游ゴシック"/>
                <w:b/>
                <w:color w:val="FFFFFF"/>
                <w:sz w:val="18"/>
              </w:rPr>
              <w:t>受領件数</w:t>
            </w:r>
          </w:p>
        </w:tc>
        <w:tc>
          <w:tcPr>
            <w:tcW w:type="dxa" w:w="2154"/>
            <w:shd w:val="clear" w:color="auto" w:fill="1F3864"/>
            <w:vAlign w:val="center"/>
          </w:tcPr>
          <w:p>
            <w:pPr>
              <w:keepNext/>
              <w:spacing w:after="0"/>
              <w:jc w:val="center"/>
            </w:pPr>
            <w:r>
              <w:rPr>
                <w:rFonts w:ascii="游ゴシック" w:hAnsi="游ゴシック" w:eastAsia="游ゴシック"/>
                <w:b/>
                <w:color w:val="FFFFFF"/>
                <w:sz w:val="18"/>
              </w:rPr>
              <w:t>母数（公表データ等）</w:t>
            </w:r>
          </w:p>
        </w:tc>
        <w:tc>
          <w:tcPr>
            <w:tcW w:type="dxa" w:w="2041"/>
            <w:shd w:val="clear" w:color="auto" w:fill="1F3864"/>
            <w:vAlign w:val="center"/>
          </w:tcPr>
          <w:p>
            <w:pPr>
              <w:keepNext/>
              <w:spacing w:after="0"/>
              <w:jc w:val="center"/>
            </w:pPr>
            <w:r>
              <w:rPr>
                <w:rFonts w:ascii="游ゴシック" w:hAnsi="游ゴシック" w:eastAsia="游ゴシック"/>
                <w:b/>
                <w:color w:val="FFFFFF"/>
                <w:sz w:val="18"/>
              </w:rPr>
              <w:t>回収の状況</w:t>
            </w:r>
          </w:p>
        </w:tc>
        <w:tc>
          <w:tcPr>
            <w:tcW w:type="dxa" w:w="2494"/>
            <w:shd w:val="clear" w:color="auto" w:fill="1F3864"/>
            <w:vAlign w:val="center"/>
          </w:tcPr>
          <w:p>
            <w:pPr>
              <w:keepNext/>
              <w:spacing w:after="0"/>
              <w:jc w:val="center"/>
            </w:pPr>
            <w:r>
              <w:rPr>
                <w:rFonts w:ascii="游ゴシック" w:hAnsi="游ゴシック" w:eastAsia="游ゴシック"/>
                <w:b/>
                <w:color w:val="FFFFFF"/>
                <w:sz w:val="18"/>
              </w:rPr>
              <w:t>母数についての注記</w:t>
            </w:r>
          </w:p>
        </w:tc>
      </w:tr>
      <w:tr>
        <w:trPr>
          <w:cantSplit/>
        </w:trPr>
        <w:tc>
          <w:tcPr>
            <w:tcW w:type="dxa" w:w="2041"/>
            <w:vAlign w:val="center"/>
          </w:tcPr>
          <w:p>
            <w:pPr>
              <w:keepNext/>
              <w:spacing w:after="0"/>
            </w:pPr>
            <w:r>
              <w:rPr>
                <w:rFonts w:ascii="游ゴシック" w:hAnsi="游ゴシック" w:eastAsia="游ゴシック"/>
                <w:b/>
                <w:sz w:val="18"/>
              </w:rPr>
              <w:t>① 事業所票</w:t>
            </w:r>
          </w:p>
        </w:tc>
        <w:tc>
          <w:tcPr>
            <w:tcW w:type="dxa" w:w="1020"/>
            <w:vAlign w:val="center"/>
          </w:tcPr>
          <w:p>
            <w:pPr>
              <w:keepNext/>
              <w:spacing w:after="0"/>
            </w:pPr>
            <w:r>
              <w:rPr>
                <w:rFonts w:ascii="游ゴシック" w:hAnsi="游ゴシック" w:eastAsia="游ゴシック"/>
                <w:b/>
                <w:sz w:val="18"/>
              </w:rPr>
              <w:t>15件</w:t>
            </w:r>
          </w:p>
        </w:tc>
        <w:tc>
          <w:tcPr>
            <w:tcW w:type="dxa" w:w="2154"/>
            <w:vAlign w:val="center"/>
          </w:tcPr>
          <w:p>
            <w:pPr>
              <w:keepNext/>
              <w:spacing w:after="0"/>
            </w:pPr>
            <w:r>
              <w:rPr>
                <w:rFonts w:ascii="游ゴシック" w:hAnsi="游ゴシック" w:eastAsia="游ゴシック"/>
                <w:b w:val="0"/>
                <w:sz w:val="18"/>
              </w:rPr>
              <w:t>居宅介護支援13・小規模多機能5・地域包括2</w:t>
            </w:r>
          </w:p>
        </w:tc>
        <w:tc>
          <w:tcPr>
            <w:tcW w:type="dxa" w:w="2041"/>
            <w:vAlign w:val="center"/>
          </w:tcPr>
          <w:p>
            <w:pPr>
              <w:keepNext/>
              <w:spacing w:after="0"/>
            </w:pPr>
            <w:r>
              <w:rPr>
                <w:rFonts w:ascii="游ゴシック" w:hAnsi="游ゴシック" w:eastAsia="游ゴシック"/>
                <w:b w:val="0"/>
                <w:sz w:val="18"/>
              </w:rPr>
              <w:t>居宅介護支援10・小規模多機能3・地域包括2</w:t>
            </w:r>
          </w:p>
        </w:tc>
        <w:tc>
          <w:tcPr>
            <w:tcW w:type="dxa" w:w="2494"/>
            <w:vAlign w:val="center"/>
          </w:tcPr>
          <w:p>
            <w:pPr>
              <w:keepNext/>
              <w:spacing w:after="0"/>
            </w:pPr>
            <w:r>
              <w:rPr>
                <w:rFonts w:ascii="游ゴシック" w:hAnsi="游ゴシック" w:eastAsia="游ゴシック"/>
                <w:b w:val="0"/>
                <w:sz w:val="18"/>
              </w:rPr>
              <w:t>北海道の指定事業所一覧では居宅介護支援は13事業所である。母数を13とすると回収率76.9％となる</w:t>
            </w:r>
          </w:p>
        </w:tc>
      </w:tr>
      <w:tr>
        <w:trPr>
          <w:cantSplit/>
        </w:trPr>
        <w:tc>
          <w:tcPr>
            <w:tcW w:type="dxa" w:w="2041"/>
            <w:shd w:val="clear" w:color="auto" w:fill="F2F5FA"/>
            <w:vAlign w:val="center"/>
          </w:tcPr>
          <w:p>
            <w:pPr>
              <w:keepNext/>
              <w:spacing w:after="0"/>
            </w:pPr>
            <w:r>
              <w:rPr>
                <w:rFonts w:ascii="游ゴシック" w:hAnsi="游ゴシック" w:eastAsia="游ゴシック"/>
                <w:b/>
                <w:sz w:val="18"/>
              </w:rPr>
              <w:t>① 利用者票</w:t>
            </w:r>
          </w:p>
        </w:tc>
        <w:tc>
          <w:tcPr>
            <w:tcW w:type="dxa" w:w="1020"/>
            <w:shd w:val="clear" w:color="auto" w:fill="F2F5FA"/>
            <w:vAlign w:val="center"/>
          </w:tcPr>
          <w:p>
            <w:pPr>
              <w:keepNext/>
              <w:spacing w:after="0"/>
            </w:pPr>
            <w:r>
              <w:rPr>
                <w:rFonts w:ascii="游ゴシック" w:hAnsi="游ゴシック" w:eastAsia="游ゴシック"/>
                <w:b/>
                <w:sz w:val="18"/>
              </w:rPr>
              <w:t>99票</w:t>
            </w:r>
          </w:p>
        </w:tc>
        <w:tc>
          <w:tcPr>
            <w:tcW w:type="dxa" w:w="2154"/>
            <w:shd w:val="clear" w:color="auto" w:fill="F2F5FA"/>
            <w:vAlign w:val="center"/>
          </w:tcPr>
          <w:p>
            <w:pPr>
              <w:keepNext/>
              <w:spacing w:after="0"/>
            </w:pPr>
            <w:r>
              <w:rPr>
                <w:rFonts w:ascii="游ゴシック" w:hAnsi="游ゴシック" w:eastAsia="游ゴシック"/>
                <w:b w:val="0"/>
                <w:sz w:val="18"/>
              </w:rPr>
              <w:t>―</w:t>
            </w:r>
          </w:p>
        </w:tc>
        <w:tc>
          <w:tcPr>
            <w:tcW w:type="dxa" w:w="2041"/>
            <w:shd w:val="clear" w:color="auto" w:fill="F2F5FA"/>
            <w:vAlign w:val="center"/>
          </w:tcPr>
          <w:p>
            <w:pPr>
              <w:keepNext/>
              <w:spacing w:after="0"/>
            </w:pPr>
            <w:r>
              <w:rPr>
                <w:rFonts w:ascii="游ゴシック" w:hAnsi="游ゴシック" w:eastAsia="游ゴシック"/>
                <w:b w:val="0"/>
                <w:sz w:val="18"/>
              </w:rPr>
              <w:t>10事業所から提出</w:t>
            </w:r>
          </w:p>
        </w:tc>
        <w:tc>
          <w:tcPr>
            <w:tcW w:type="dxa" w:w="2494"/>
            <w:shd w:val="clear" w:color="auto" w:fill="F2F5FA"/>
            <w:vAlign w:val="center"/>
          </w:tcPr>
          <w:p>
            <w:pPr>
              <w:keepNext/>
              <w:spacing w:after="0"/>
            </w:pPr>
            <w:r>
              <w:rPr>
                <w:rFonts w:ascii="游ゴシック" w:hAnsi="游ゴシック" w:eastAsia="游ゴシック"/>
                <w:b w:val="0"/>
                <w:sz w:val="18"/>
              </w:rPr>
              <w:t>所在地区の記入形式が9種類に分かれ、地区別の集計ができない（点検事項No.3）</w:t>
            </w:r>
          </w:p>
        </w:tc>
      </w:tr>
      <w:tr>
        <w:trPr>
          <w:cantSplit/>
        </w:trPr>
        <w:tc>
          <w:tcPr>
            <w:tcW w:type="dxa" w:w="2041"/>
            <w:vAlign w:val="center"/>
          </w:tcPr>
          <w:p>
            <w:pPr>
              <w:keepNext/>
              <w:spacing w:after="0"/>
            </w:pPr>
            <w:r>
              <w:rPr>
                <w:rFonts w:ascii="游ゴシック" w:hAnsi="游ゴシック" w:eastAsia="游ゴシック"/>
                <w:b/>
                <w:sz w:val="18"/>
              </w:rPr>
              <w:t>② 施設等票</w:t>
            </w:r>
          </w:p>
        </w:tc>
        <w:tc>
          <w:tcPr>
            <w:tcW w:type="dxa" w:w="1020"/>
            <w:vAlign w:val="center"/>
          </w:tcPr>
          <w:p>
            <w:pPr>
              <w:keepNext/>
              <w:spacing w:after="0"/>
            </w:pPr>
            <w:r>
              <w:rPr>
                <w:rFonts w:ascii="游ゴシック" w:hAnsi="游ゴシック" w:eastAsia="游ゴシック"/>
                <w:b/>
                <w:sz w:val="18"/>
              </w:rPr>
              <w:t>18件</w:t>
            </w:r>
          </w:p>
        </w:tc>
        <w:tc>
          <w:tcPr>
            <w:tcW w:type="dxa" w:w="2154"/>
            <w:vAlign w:val="center"/>
          </w:tcPr>
          <w:p>
            <w:pPr>
              <w:keepNext/>
              <w:spacing w:after="0"/>
            </w:pPr>
            <w:r>
              <w:rPr>
                <w:rFonts w:ascii="游ゴシック" w:hAnsi="游ゴシック" w:eastAsia="游ゴシック"/>
                <w:b w:val="0"/>
                <w:sz w:val="18"/>
              </w:rPr>
              <w:t>介護保険の指定施設19＋介護保険外の住まい12＝31</w:t>
            </w:r>
          </w:p>
        </w:tc>
        <w:tc>
          <w:tcPr>
            <w:tcW w:type="dxa" w:w="2041"/>
            <w:vAlign w:val="center"/>
          </w:tcPr>
          <w:p>
            <w:pPr>
              <w:keepNext/>
              <w:spacing w:after="0"/>
            </w:pPr>
            <w:r>
              <w:rPr>
                <w:rFonts w:ascii="游ゴシック" w:hAnsi="游ゴシック" w:eastAsia="游ゴシック"/>
                <w:b w:val="0"/>
                <w:sz w:val="18"/>
              </w:rPr>
              <w:t>指定施設14・介護保険外4</w:t>
            </w:r>
          </w:p>
        </w:tc>
        <w:tc>
          <w:tcPr>
            <w:tcW w:type="dxa" w:w="2494"/>
            <w:vAlign w:val="center"/>
          </w:tcPr>
          <w:p>
            <w:pPr>
              <w:keepNext/>
              <w:spacing w:after="0"/>
            </w:pPr>
            <w:r>
              <w:rPr>
                <w:rFonts w:ascii="游ゴシック" w:hAnsi="游ゴシック" w:eastAsia="游ゴシック"/>
                <w:b w:val="0"/>
                <w:sz w:val="18"/>
              </w:rPr>
              <w:t>13施設が未回答（指定5・指定外8。把握率58.1％）。うち8施設は介護保険外の住まいである（点検事項No.30・No.32・No.34）</w:t>
            </w:r>
          </w:p>
        </w:tc>
      </w:tr>
      <w:tr>
        <w:trPr>
          <w:cantSplit/>
        </w:trPr>
        <w:tc>
          <w:tcPr>
            <w:tcW w:type="dxa" w:w="2041"/>
            <w:shd w:val="clear" w:color="auto" w:fill="F2F5FA"/>
            <w:vAlign w:val="center"/>
          </w:tcPr>
          <w:p>
            <w:pPr>
              <w:keepNext/>
              <w:spacing w:after="0"/>
            </w:pPr>
            <w:r>
              <w:rPr>
                <w:rFonts w:ascii="游ゴシック" w:hAnsi="游ゴシック" w:eastAsia="游ゴシック"/>
                <w:b/>
                <w:sz w:val="18"/>
              </w:rPr>
              <w:t>③ 事業所票（施設・通所系）</w:t>
            </w:r>
          </w:p>
        </w:tc>
        <w:tc>
          <w:tcPr>
            <w:tcW w:type="dxa" w:w="1020"/>
            <w:shd w:val="clear" w:color="auto" w:fill="F2F5FA"/>
            <w:vAlign w:val="center"/>
          </w:tcPr>
          <w:p>
            <w:pPr>
              <w:keepNext/>
              <w:spacing w:after="0"/>
            </w:pPr>
            <w:r>
              <w:rPr>
                <w:rFonts w:ascii="游ゴシック" w:hAnsi="游ゴシック" w:eastAsia="游ゴシック"/>
                <w:b/>
                <w:sz w:val="18"/>
              </w:rPr>
              <w:t>24件</w:t>
            </w:r>
          </w:p>
        </w:tc>
        <w:tc>
          <w:tcPr>
            <w:tcW w:type="dxa" w:w="2154"/>
            <w:shd w:val="clear" w:color="auto" w:fill="F2F5FA"/>
            <w:vAlign w:val="center"/>
          </w:tcPr>
          <w:p>
            <w:pPr>
              <w:keepNext/>
              <w:spacing w:after="0"/>
            </w:pPr>
            <w:r>
              <w:rPr>
                <w:rFonts w:ascii="游ゴシック" w:hAnsi="游ゴシック" w:eastAsia="游ゴシック"/>
                <w:b w:val="0"/>
                <w:sz w:val="18"/>
              </w:rPr>
              <w:t>―</w:t>
            </w:r>
          </w:p>
        </w:tc>
        <w:tc>
          <w:tcPr>
            <w:tcW w:type="dxa" w:w="2041"/>
            <w:shd w:val="clear" w:color="auto" w:fill="F2F5FA"/>
            <w:vAlign w:val="center"/>
          </w:tcPr>
          <w:p>
            <w:pPr>
              <w:keepNext/>
              <w:spacing w:after="0"/>
            </w:pPr>
            <w:r>
              <w:rPr>
                <w:rFonts w:ascii="游ゴシック" w:hAnsi="游ゴシック" w:eastAsia="游ゴシック"/>
                <w:b w:val="0"/>
                <w:sz w:val="18"/>
              </w:rPr>
              <w:t>―</w:t>
            </w:r>
          </w:p>
        </w:tc>
        <w:tc>
          <w:tcPr>
            <w:tcW w:type="dxa" w:w="2494"/>
            <w:shd w:val="clear" w:color="auto" w:fill="F2F5FA"/>
            <w:vAlign w:val="center"/>
          </w:tcPr>
          <w:p>
            <w:pPr>
              <w:keepNext/>
              <w:spacing w:after="0"/>
            </w:pPr>
            <w:r>
              <w:rPr>
                <w:rFonts w:ascii="游ゴシック" w:hAnsi="游ゴシック" w:eastAsia="游ゴシック"/>
                <w:b w:val="0"/>
                <w:sz w:val="18"/>
              </w:rPr>
              <w:t>施設・居住系・通所系の事業所</w:t>
            </w:r>
          </w:p>
        </w:tc>
      </w:tr>
      <w:tr>
        <w:trPr>
          <w:cantSplit/>
        </w:trPr>
        <w:tc>
          <w:tcPr>
            <w:tcW w:type="dxa" w:w="2041"/>
            <w:vAlign w:val="center"/>
          </w:tcPr>
          <w:p>
            <w:pPr>
              <w:keepNext/>
              <w:spacing w:after="0"/>
            </w:pPr>
            <w:r>
              <w:rPr>
                <w:rFonts w:ascii="游ゴシック" w:hAnsi="游ゴシック" w:eastAsia="游ゴシック"/>
                <w:b/>
                <w:sz w:val="18"/>
              </w:rPr>
              <w:t>③ 事業所票（訪問系）</w:t>
            </w:r>
          </w:p>
        </w:tc>
        <w:tc>
          <w:tcPr>
            <w:tcW w:type="dxa" w:w="1020"/>
            <w:vAlign w:val="center"/>
          </w:tcPr>
          <w:p>
            <w:pPr>
              <w:keepNext/>
              <w:spacing w:after="0"/>
            </w:pPr>
            <w:r>
              <w:rPr>
                <w:rFonts w:ascii="游ゴシック" w:hAnsi="游ゴシック" w:eastAsia="游ゴシック"/>
                <w:b/>
                <w:sz w:val="18"/>
              </w:rPr>
              <w:t>3件</w:t>
            </w:r>
          </w:p>
        </w:tc>
        <w:tc>
          <w:tcPr>
            <w:tcW w:type="dxa" w:w="2154"/>
            <w:vAlign w:val="center"/>
          </w:tcPr>
          <w:p>
            <w:pPr>
              <w:keepNext/>
              <w:spacing w:after="0"/>
            </w:pPr>
            <w:r>
              <w:rPr>
                <w:rFonts w:ascii="游ゴシック" w:hAnsi="游ゴシック" w:eastAsia="游ゴシック"/>
                <w:b w:val="0"/>
                <w:sz w:val="18"/>
              </w:rPr>
              <w:t>訪問介護13事業所（見える化K3a・名簿とも）</w:t>
            </w:r>
          </w:p>
        </w:tc>
        <w:tc>
          <w:tcPr>
            <w:tcW w:type="dxa" w:w="2041"/>
            <w:vAlign w:val="center"/>
          </w:tcPr>
          <w:p>
            <w:pPr>
              <w:keepNext/>
              <w:spacing w:after="0"/>
            </w:pPr>
            <w:r>
              <w:rPr>
                <w:rFonts w:ascii="游ゴシック" w:hAnsi="游ゴシック" w:eastAsia="游ゴシック"/>
                <w:b w:val="0"/>
                <w:sz w:val="18"/>
              </w:rPr>
              <w:t>回収率23.1％</w:t>
            </w:r>
          </w:p>
        </w:tc>
        <w:tc>
          <w:tcPr>
            <w:tcW w:type="dxa" w:w="2494"/>
            <w:vAlign w:val="center"/>
          </w:tcPr>
          <w:p>
            <w:pPr>
              <w:keepNext/>
              <w:spacing w:after="0"/>
            </w:pPr>
            <w:r>
              <w:rPr>
                <w:rFonts w:ascii="游ゴシック" w:hAnsi="游ゴシック" w:eastAsia="游ゴシック"/>
                <w:b w:val="0"/>
                <w:sz w:val="18"/>
              </w:rPr>
              <w:t>訪問系の母数が確定した。回収率が低く、訪問系の職員数は区域全体を代表しない（点検事項No.23）</w:t>
            </w:r>
          </w:p>
        </w:tc>
      </w:tr>
      <w:tr>
        <w:trPr>
          <w:cantSplit/>
        </w:trPr>
        <w:tc>
          <w:tcPr>
            <w:tcW w:type="dxa" w:w="2041"/>
            <w:shd w:val="clear" w:color="auto" w:fill="F2F5FA"/>
            <w:vAlign w:val="center"/>
          </w:tcPr>
          <w:p>
            <w:pPr>
              <w:keepNext/>
              <w:spacing w:after="0"/>
            </w:pPr>
            <w:r>
              <w:rPr>
                <w:rFonts w:ascii="游ゴシック" w:hAnsi="游ゴシック" w:eastAsia="游ゴシック"/>
                <w:b/>
                <w:sz w:val="18"/>
              </w:rPr>
              <w:t>③ 職員個票</w:t>
            </w:r>
          </w:p>
        </w:tc>
        <w:tc>
          <w:tcPr>
            <w:tcW w:type="dxa" w:w="1020"/>
            <w:shd w:val="clear" w:color="auto" w:fill="F2F5FA"/>
            <w:vAlign w:val="center"/>
          </w:tcPr>
          <w:p>
            <w:pPr>
              <w:keepNext/>
              <w:spacing w:after="0"/>
            </w:pPr>
            <w:r>
              <w:rPr>
                <w:rFonts w:ascii="游ゴシック" w:hAnsi="游ゴシック" w:eastAsia="游ゴシック"/>
                <w:b/>
                <w:sz w:val="18"/>
              </w:rPr>
              <w:t>317人</w:t>
            </w:r>
          </w:p>
        </w:tc>
        <w:tc>
          <w:tcPr>
            <w:tcW w:type="dxa" w:w="2154"/>
            <w:shd w:val="clear" w:color="auto" w:fill="F2F5FA"/>
            <w:vAlign w:val="center"/>
          </w:tcPr>
          <w:p>
            <w:pPr>
              <w:keepNext/>
              <w:spacing w:after="0"/>
            </w:pPr>
            <w:r>
              <w:rPr>
                <w:rFonts w:ascii="游ゴシック" w:hAnsi="游ゴシック" w:eastAsia="游ゴシック"/>
                <w:b w:val="0"/>
                <w:sz w:val="18"/>
              </w:rPr>
              <w:t>施設・通所系24事業所の介護職員319人</w:t>
            </w:r>
          </w:p>
        </w:tc>
        <w:tc>
          <w:tcPr>
            <w:tcW w:type="dxa" w:w="2041"/>
            <w:shd w:val="clear" w:color="auto" w:fill="F2F5FA"/>
            <w:vAlign w:val="center"/>
          </w:tcPr>
          <w:p>
            <w:pPr>
              <w:keepNext/>
              <w:spacing w:after="0"/>
            </w:pPr>
            <w:r>
              <w:rPr>
                <w:rFonts w:ascii="游ゴシック" w:hAnsi="游ゴシック" w:eastAsia="游ゴシック"/>
                <w:b w:val="0"/>
                <w:sz w:val="18"/>
              </w:rPr>
              <w:t>99.4％</w:t>
            </w:r>
          </w:p>
        </w:tc>
        <w:tc>
          <w:tcPr>
            <w:tcW w:type="dxa" w:w="2494"/>
            <w:shd w:val="clear" w:color="auto" w:fill="F2F5FA"/>
            <w:vAlign w:val="center"/>
          </w:tcPr>
          <w:p>
            <w:pPr>
              <w:keepNext/>
              <w:spacing w:after="0"/>
            </w:pPr>
            <w:r>
              <w:rPr>
                <w:rFonts w:ascii="游ゴシック" w:hAnsi="游ゴシック" w:eastAsia="游ゴシック"/>
                <w:b w:val="0"/>
                <w:sz w:val="18"/>
              </w:rPr>
              <w:t>2人分の個票が不足（点検事項No.15〜No.19）</w:t>
            </w:r>
          </w:p>
        </w:tc>
      </w:tr>
      <w:tr>
        <w:trPr>
          <w:cantSplit/>
        </w:trPr>
        <w:tc>
          <w:tcPr>
            <w:tcW w:type="dxa" w:w="2041"/>
            <w:vAlign w:val="center"/>
          </w:tcPr>
          <w:p>
            <w:pPr>
              <w:keepNext/>
              <w:spacing w:after="0"/>
            </w:pPr>
            <w:r>
              <w:rPr>
                <w:rFonts w:ascii="游ゴシック" w:hAnsi="游ゴシック" w:eastAsia="游ゴシック"/>
                <w:b/>
                <w:sz w:val="18"/>
              </w:rPr>
              <w:t>③ 職員票（訪問系）</w:t>
            </w:r>
          </w:p>
        </w:tc>
        <w:tc>
          <w:tcPr>
            <w:tcW w:type="dxa" w:w="1020"/>
            <w:vAlign w:val="center"/>
          </w:tcPr>
          <w:p>
            <w:pPr>
              <w:keepNext/>
              <w:spacing w:after="0"/>
            </w:pPr>
            <w:r>
              <w:rPr>
                <w:rFonts w:ascii="游ゴシック" w:hAnsi="游ゴシック" w:eastAsia="游ゴシック"/>
                <w:b/>
                <w:sz w:val="18"/>
              </w:rPr>
              <w:t>26件</w:t>
            </w:r>
          </w:p>
        </w:tc>
        <w:tc>
          <w:tcPr>
            <w:tcW w:type="dxa" w:w="2154"/>
            <w:vAlign w:val="center"/>
          </w:tcPr>
          <w:p>
            <w:pPr>
              <w:keepNext/>
              <w:spacing w:after="0"/>
            </w:pPr>
            <w:r>
              <w:rPr>
                <w:rFonts w:ascii="游ゴシック" w:hAnsi="游ゴシック" w:eastAsia="游ゴシック"/>
                <w:b w:val="0"/>
                <w:sz w:val="18"/>
              </w:rPr>
              <w:t>訪問系3事業所の介護職員42人</w:t>
            </w:r>
          </w:p>
        </w:tc>
        <w:tc>
          <w:tcPr>
            <w:tcW w:type="dxa" w:w="2041"/>
            <w:vAlign w:val="center"/>
          </w:tcPr>
          <w:p>
            <w:pPr>
              <w:keepNext/>
              <w:spacing w:after="0"/>
            </w:pPr>
            <w:r>
              <w:rPr>
                <w:rFonts w:ascii="游ゴシック" w:hAnsi="游ゴシック" w:eastAsia="游ゴシック"/>
                <w:b w:val="0"/>
                <w:sz w:val="18"/>
              </w:rPr>
              <w:t>61.9％</w:t>
            </w:r>
          </w:p>
        </w:tc>
        <w:tc>
          <w:tcPr>
            <w:tcW w:type="dxa" w:w="2494"/>
            <w:vAlign w:val="center"/>
          </w:tcPr>
          <w:p>
            <w:pPr>
              <w:keepNext/>
              <w:spacing w:after="0"/>
            </w:pPr>
            <w:r>
              <w:rPr>
                <w:rFonts w:ascii="游ゴシック" w:hAnsi="游ゴシック" w:eastAsia="游ゴシック"/>
                <w:b w:val="0"/>
                <w:sz w:val="18"/>
              </w:rPr>
              <w:t>訪問系の職員票は個票と様式が異なる</w:t>
            </w:r>
          </w:p>
        </w:tc>
      </w:tr>
      <w:tr>
        <w:trPr>
          <w:cantSplit/>
        </w:trPr>
        <w:tc>
          <w:tcPr>
            <w:tcW w:type="dxa" w:w="2041"/>
            <w:shd w:val="clear" w:color="auto" w:fill="F2F5FA"/>
            <w:vAlign w:val="center"/>
          </w:tcPr>
          <w:p>
            <w:pPr>
              <w:spacing w:after="0"/>
            </w:pPr>
            <w:r>
              <w:rPr>
                <w:rFonts w:ascii="游ゴシック" w:hAnsi="游ゴシック" w:eastAsia="游ゴシック"/>
                <w:b/>
                <w:sz w:val="18"/>
              </w:rPr>
              <w:t>④ 健康とくらしの調査</w:t>
            </w:r>
          </w:p>
        </w:tc>
        <w:tc>
          <w:tcPr>
            <w:tcW w:type="dxa" w:w="1020"/>
            <w:shd w:val="clear" w:color="auto" w:fill="F2F5FA"/>
            <w:vAlign w:val="center"/>
          </w:tcPr>
          <w:p>
            <w:pPr>
              <w:spacing w:after="0"/>
            </w:pPr>
            <w:r>
              <w:rPr>
                <w:rFonts w:ascii="游ゴシック" w:hAnsi="游ゴシック" w:eastAsia="游ゴシック"/>
                <w:b/>
                <w:sz w:val="18"/>
              </w:rPr>
              <w:t>4,729票</w:t>
            </w:r>
          </w:p>
        </w:tc>
        <w:tc>
          <w:tcPr>
            <w:tcW w:type="dxa" w:w="2154"/>
            <w:shd w:val="clear" w:color="auto" w:fill="F2F5FA"/>
            <w:vAlign w:val="center"/>
          </w:tcPr>
          <w:p>
            <w:pPr>
              <w:spacing w:after="0"/>
            </w:pPr>
            <w:r>
              <w:rPr>
                <w:rFonts w:ascii="游ゴシック" w:hAnsi="游ゴシック" w:eastAsia="游ゴシック"/>
                <w:b w:val="0"/>
                <w:sz w:val="18"/>
              </w:rPr>
              <w:t>65歳以上7,121人</w:t>
            </w:r>
          </w:p>
        </w:tc>
        <w:tc>
          <w:tcPr>
            <w:tcW w:type="dxa" w:w="2041"/>
            <w:shd w:val="clear" w:color="auto" w:fill="F2F5FA"/>
            <w:vAlign w:val="center"/>
          </w:tcPr>
          <w:p>
            <w:pPr>
              <w:spacing w:after="0"/>
            </w:pPr>
            <w:r>
              <w:rPr>
                <w:rFonts w:ascii="游ゴシック" w:hAnsi="游ゴシック" w:eastAsia="游ゴシック"/>
                <w:b w:val="0"/>
                <w:sz w:val="18"/>
              </w:rPr>
              <w:t>回収4,798票・回収率67.4％（分析対象4,729票）</w:t>
            </w:r>
          </w:p>
        </w:tc>
        <w:tc>
          <w:tcPr>
            <w:tcW w:type="dxa" w:w="2494"/>
            <w:shd w:val="clear" w:color="auto" w:fill="F2F5FA"/>
            <w:vAlign w:val="center"/>
          </w:tcPr>
          <w:p>
            <w:pPr>
              <w:spacing w:after="0"/>
            </w:pPr>
            <w:r>
              <w:rPr>
                <w:rFonts w:ascii="游ゴシック" w:hAnsi="游ゴシック" w:eastAsia="游ゴシック"/>
                <w:b w:val="0"/>
                <w:sz w:val="18"/>
              </w:rPr>
              <w:t>小学校区12地区別の集計ができる。要支援・要介護認定者は対象に含まれない</w:t>
            </w:r>
          </w:p>
        </w:tc>
      </w:tr>
    </w:tbl>
    <w:p>
      <w:pPr>
        <w:spacing w:after="80"/>
      </w:pPr>
      <w:r>
        <w:rPr>
          <w:rFonts w:ascii="游ゴシック" w:hAnsi="游ゴシック" w:eastAsia="游ゴシック"/>
          <w:sz w:val="21"/>
        </w:rPr>
      </w:r>
    </w:p>
    <w:p>
      <w:pPr>
        <w:spacing w:after="80"/>
      </w:pPr>
      <w:r>
        <w:rPr>
          <w:rFonts w:ascii="游ゴシック" w:hAnsi="游ゴシック" w:eastAsia="游ゴシック"/>
          <w:b/>
          <w:sz w:val="21"/>
        </w:rPr>
        <w:t>母数の置き方で特にご留意いただきたいもの</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①利用者票は99票です。配布数の記録がなく、回収率を算定するための母数は確認できません。</w:t>
      </w:r>
      <w:r>
        <w:rPr>
          <w:rFonts w:ascii="游ゴシック" w:hAnsi="游ゴシック" w:eastAsia="游ゴシック"/>
          <w:b w:val="0"/>
          <w:sz w:val="21"/>
        </w:rPr>
        <w:t>10事業所から提出されたものです。在宅の認定者（年報 令和7年度の月平均1,503.8人）を母集団とみると分布が食い違います（第6節1）。</w:t>
      </w:r>
      <w:r>
        <w:rPr>
          <w:rFonts w:ascii="游ゴシック" w:hAnsi="游ゴシック" w:eastAsia="游ゴシック"/>
          <w:b/>
          <w:sz w:val="21"/>
        </w:rPr>
        <w:t>割合を引くときは「調査対象となった99人のうち」と母集団を明記し、分母は設問ごとの有効回答によります。</w:t>
      </w:r>
      <w:r>
        <w:rPr>
          <w:rFonts w:ascii="游ゴシック" w:hAnsi="游ゴシック" w:eastAsia="游ゴシック"/>
          <w:b w:val="0"/>
          <w:sz w:val="21"/>
        </w:rPr>
        <w:t>在宅生活の維持の見通しは72票÷98票＝73.5％、H12は20票÷99票＝20.2％です。</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③事業所票（施設・通所系）24件の母数は確定していません。</w:t>
      </w:r>
      <w:r>
        <w:rPr>
          <w:rFonts w:ascii="游ゴシック" w:hAnsi="游ゴシック" w:eastAsia="游ゴシック"/>
          <w:b w:val="0"/>
          <w:sz w:val="21"/>
        </w:rPr>
        <w:t>訪問系は訪問介護13事業所と確定しましたが（回収率23.1％）、施設・通所系は調査の対象範囲が記録されていません。職員個票317人は、回答24事業所の介護職員319人に対する99.4％です。</w:t>
      </w:r>
      <w:r>
        <w:rPr>
          <w:rFonts w:ascii="游ゴシック" w:hAnsi="游ゴシック" w:eastAsia="游ゴシック"/>
          <w:b/>
          <w:sz w:val="21"/>
        </w:rPr>
        <w:t>「区域の介護職員の99.4％」ではありません。</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②施設等票は13施設が未回答です</w:t>
      </w:r>
      <w:r>
        <w:rPr>
          <w:rFonts w:ascii="游ゴシック" w:hAnsi="游ゴシック" w:eastAsia="游ゴシック"/>
          <w:b w:val="0"/>
          <w:sz w:val="21"/>
        </w:rPr>
        <w:t>（把握率58.1％）。回答18施設の定員は652人で、区域内の施設の定員の全部ではありません。受給者数と比べるときはこの差が効きます（第6節2）。</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④は指標ごとに分母が異なります。</w:t>
      </w:r>
      <w:r>
        <w:rPr>
          <w:rFonts w:ascii="游ゴシック" w:hAnsi="游ゴシック" w:eastAsia="游ゴシック"/>
          <w:b w:val="0"/>
          <w:sz w:val="21"/>
        </w:rPr>
        <w:t>分析対象は4,729票ですが、無回答があるため各指標の分母は4,128票から4,729票の範囲です。割合を引くときは、その指標の分母（n）を併せて示します。</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④健康とくらしの調査の母数は65歳以上7,121人</w:t>
      </w:r>
      <w:r>
        <w:rPr>
          <w:rFonts w:ascii="游ゴシック" w:hAnsi="游ゴシック" w:eastAsia="游ゴシック"/>
          <w:b w:val="0"/>
          <w:sz w:val="21"/>
        </w:rPr>
        <w:t>であり、要支援者・要介護者を含みません。①②③（認定を受けた方・施設の在籍者）とは母集団が異なるため、</w:t>
      </w:r>
      <w:r>
        <w:rPr>
          <w:rFonts w:ascii="游ゴシック" w:hAnsi="游ゴシック" w:eastAsia="游ゴシック"/>
          <w:b/>
          <w:sz w:val="21"/>
        </w:rPr>
        <w:t>4調査の数値を合算しません。</w:t>
      </w:r>
    </w:p>
    <w:p>
      <w:pPr>
        <w:keepNext/>
        <w:pageBreakBefore w:val="0"/>
        <w:spacing w:before="280" w:after="120"/>
      </w:pPr>
      <w:r>
        <w:rPr>
          <w:rFonts w:ascii="游ゴシック" w:hAnsi="游ゴシック" w:eastAsia="游ゴシック"/>
          <w:b/>
          <w:color w:val="1F3864"/>
          <w:sz w:val="26"/>
        </w:rPr>
        <w:t>第4節　前回調査との比較（経年）</w:t>
      </w:r>
    </w:p>
    <w:p>
      <w:pPr>
        <w:spacing w:after="80"/>
      </w:pPr>
      <w:r>
        <w:rPr>
          <w:rFonts w:ascii="游ゴシック" w:hAnsi="游ゴシック" w:eastAsia="游ゴシック"/>
          <w:b w:val="0"/>
          <w:sz w:val="21"/>
        </w:rPr>
        <w:t>前回（第9期）の調査は令和4年11月（④）及び令和5年5月（①②③）に実施されています。</w:t>
      </w:r>
      <w:r>
        <w:rPr>
          <w:rFonts w:ascii="游ゴシック" w:hAnsi="游ゴシック" w:eastAsia="游ゴシック"/>
          <w:b/>
          <w:sz w:val="21"/>
        </w:rPr>
        <w:t>規模の比較は次のとおりです。</w:t>
      </w:r>
    </w:p>
    <w:p>
      <w:pPr>
        <w:spacing w:after="80"/>
      </w:pPr>
      <w:r>
        <w:rPr>
          <w:rFonts w:ascii="游ゴシック" w:hAnsi="游ゴシック" w:eastAsia="游ゴシック"/>
          <w:b/>
          <w:sz w:val="21"/>
        </w:rPr>
        <w:t>前回と今回では、回答した事業所・施設・回答者が異なり、母数が違います。</w:t>
      </w:r>
      <w:r>
        <w:rPr>
          <w:rFonts w:ascii="游ゴシック" w:hAnsi="游ゴシック" w:eastAsia="游ゴシック"/>
          <w:b w:val="0"/>
          <w:sz w:val="21"/>
        </w:rPr>
        <w:t>このため、割合で比べ、実数では比べません。母数が違うものを同じ土俵に置かないことが前提です。</w:t>
      </w:r>
    </w:p>
    <w:p>
      <w:pPr>
        <w:keepNext/>
        <w:spacing w:before="160" w:after="40"/>
      </w:pPr>
      <w:r>
        <w:rPr>
          <w:rFonts w:ascii="游ゴシック" w:hAnsi="游ゴシック" w:eastAsia="游ゴシック"/>
          <w:b/>
          <w:sz w:val="20"/>
        </w:rPr>
        <w:t>表4　前回調査と今回調査の規模</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928"/>
            <w:shd w:val="clear" w:color="auto" w:fill="1F3864"/>
            <w:vAlign w:val="center"/>
          </w:tcPr>
          <w:p>
            <w:pPr>
              <w:keepNext/>
              <w:spacing w:after="0"/>
              <w:jc w:val="center"/>
            </w:pPr>
            <w:r>
              <w:rPr>
                <w:rFonts w:ascii="游ゴシック" w:hAnsi="游ゴシック" w:eastAsia="游ゴシック"/>
                <w:b/>
                <w:color w:val="FFFFFF"/>
                <w:sz w:val="18"/>
              </w:rPr>
              <w:t>調査</w:t>
            </w:r>
          </w:p>
        </w:tc>
        <w:tc>
          <w:tcPr>
            <w:tcW w:type="dxa" w:w="2835"/>
            <w:shd w:val="clear" w:color="auto" w:fill="1F3864"/>
            <w:vAlign w:val="center"/>
          </w:tcPr>
          <w:p>
            <w:pPr>
              <w:keepNext/>
              <w:spacing w:after="0"/>
              <w:jc w:val="center"/>
            </w:pPr>
            <w:r>
              <w:rPr>
                <w:rFonts w:ascii="游ゴシック" w:hAnsi="游ゴシック" w:eastAsia="游ゴシック"/>
                <w:b/>
                <w:color w:val="FFFFFF"/>
                <w:sz w:val="18"/>
              </w:rPr>
              <w:t>前回（第9期）</w:t>
            </w:r>
          </w:p>
        </w:tc>
        <w:tc>
          <w:tcPr>
            <w:tcW w:type="dxa" w:w="2608"/>
            <w:shd w:val="clear" w:color="auto" w:fill="1F3864"/>
            <w:vAlign w:val="center"/>
          </w:tcPr>
          <w:p>
            <w:pPr>
              <w:keepNext/>
              <w:spacing w:after="0"/>
              <w:jc w:val="center"/>
            </w:pPr>
            <w:r>
              <w:rPr>
                <w:rFonts w:ascii="游ゴシック" w:hAnsi="游ゴシック" w:eastAsia="游ゴシック"/>
                <w:b/>
                <w:color w:val="FFFFFF"/>
                <w:sz w:val="18"/>
              </w:rPr>
              <w:t>今回（第10期）</w:t>
            </w:r>
          </w:p>
        </w:tc>
        <w:tc>
          <w:tcPr>
            <w:tcW w:type="dxa" w:w="2381"/>
            <w:shd w:val="clear" w:color="auto" w:fill="1F3864"/>
            <w:vAlign w:val="center"/>
          </w:tcPr>
          <w:p>
            <w:pPr>
              <w:keepNext/>
              <w:spacing w:after="0"/>
              <w:jc w:val="center"/>
            </w:pPr>
            <w:r>
              <w:rPr>
                <w:rFonts w:ascii="游ゴシック" w:hAnsi="游ゴシック" w:eastAsia="游ゴシック"/>
                <w:b/>
                <w:color w:val="FFFFFF"/>
                <w:sz w:val="18"/>
              </w:rPr>
              <w:t>比較の可否</w:t>
            </w:r>
          </w:p>
        </w:tc>
      </w:tr>
      <w:tr>
        <w:trPr>
          <w:cantSplit/>
        </w:trPr>
        <w:tc>
          <w:tcPr>
            <w:tcW w:type="dxa" w:w="1928"/>
            <w:vAlign w:val="center"/>
          </w:tcPr>
          <w:p>
            <w:pPr>
              <w:keepNext/>
              <w:spacing w:after="0"/>
            </w:pPr>
            <w:r>
              <w:rPr>
                <w:rFonts w:ascii="游ゴシック" w:hAnsi="游ゴシック" w:eastAsia="游ゴシック"/>
                <w:b/>
                <w:sz w:val="18"/>
              </w:rPr>
              <w:t>① 在宅生活改善調査</w:t>
            </w:r>
          </w:p>
        </w:tc>
        <w:tc>
          <w:tcPr>
            <w:tcW w:type="dxa" w:w="2835"/>
            <w:vAlign w:val="center"/>
          </w:tcPr>
          <w:p>
            <w:pPr>
              <w:keepNext/>
              <w:spacing w:after="0"/>
            </w:pPr>
            <w:r>
              <w:rPr>
                <w:rFonts w:ascii="游ゴシック" w:hAnsi="游ゴシック" w:eastAsia="游ゴシック"/>
                <w:b w:val="0"/>
                <w:sz w:val="18"/>
              </w:rPr>
              <w:t>令和5年5月25日送付・12事業所91人</w:t>
            </w:r>
          </w:p>
        </w:tc>
        <w:tc>
          <w:tcPr>
            <w:tcW w:type="dxa" w:w="2608"/>
            <w:vAlign w:val="center"/>
          </w:tcPr>
          <w:p>
            <w:pPr>
              <w:keepNext/>
              <w:spacing w:after="0"/>
            </w:pPr>
            <w:r>
              <w:rPr>
                <w:rFonts w:ascii="游ゴシック" w:hAnsi="游ゴシック" w:eastAsia="游ゴシック"/>
                <w:b w:val="0"/>
                <w:sz w:val="18"/>
              </w:rPr>
              <w:t>15事業所・利用者票99票</w:t>
            </w:r>
          </w:p>
        </w:tc>
        <w:tc>
          <w:tcPr>
            <w:tcW w:type="dxa" w:w="2381"/>
            <w:vAlign w:val="center"/>
          </w:tcPr>
          <w:p>
            <w:pPr>
              <w:keepNext/>
              <w:spacing w:after="0"/>
            </w:pPr>
            <w:r>
              <w:rPr>
                <w:rFonts w:ascii="游ゴシック" w:hAnsi="游ゴシック" w:eastAsia="游ゴシック"/>
                <w:b/>
                <w:sz w:val="18"/>
              </w:rPr>
              <w:t>規模のみ。設問と集計区分の一致を確かめられない</w:t>
            </w:r>
          </w:p>
        </w:tc>
      </w:tr>
      <w:tr>
        <w:trPr>
          <w:cantSplit/>
        </w:trPr>
        <w:tc>
          <w:tcPr>
            <w:tcW w:type="dxa" w:w="1928"/>
            <w:shd w:val="clear" w:color="auto" w:fill="F2F5FA"/>
            <w:vAlign w:val="center"/>
          </w:tcPr>
          <w:p>
            <w:pPr>
              <w:keepNext/>
              <w:spacing w:after="0"/>
            </w:pPr>
            <w:r>
              <w:rPr>
                <w:rFonts w:ascii="游ゴシック" w:hAnsi="游ゴシック" w:eastAsia="游ゴシック"/>
                <w:b/>
                <w:sz w:val="18"/>
              </w:rPr>
              <w:t>② 居所変更実態調査</w:t>
            </w:r>
          </w:p>
        </w:tc>
        <w:tc>
          <w:tcPr>
            <w:tcW w:type="dxa" w:w="2835"/>
            <w:shd w:val="clear" w:color="auto" w:fill="F2F5FA"/>
            <w:vAlign w:val="center"/>
          </w:tcPr>
          <w:p>
            <w:pPr>
              <w:keepNext/>
              <w:spacing w:after="0"/>
            </w:pPr>
            <w:r>
              <w:rPr>
                <w:rFonts w:ascii="游ゴシック" w:hAnsi="游ゴシック" w:eastAsia="游ゴシック"/>
                <w:b w:val="0"/>
                <w:sz w:val="18"/>
              </w:rPr>
              <w:t>令和5年5月25日送付・21施設回答</w:t>
            </w:r>
          </w:p>
        </w:tc>
        <w:tc>
          <w:tcPr>
            <w:tcW w:type="dxa" w:w="2608"/>
            <w:shd w:val="clear" w:color="auto" w:fill="F2F5FA"/>
            <w:vAlign w:val="center"/>
          </w:tcPr>
          <w:p>
            <w:pPr>
              <w:keepNext/>
              <w:spacing w:after="0"/>
            </w:pPr>
            <w:r>
              <w:rPr>
                <w:rFonts w:ascii="游ゴシック" w:hAnsi="游ゴシック" w:eastAsia="游ゴシック"/>
                <w:b w:val="0"/>
                <w:sz w:val="18"/>
              </w:rPr>
              <w:t>18施設（定員652人）</w:t>
            </w:r>
          </w:p>
        </w:tc>
        <w:tc>
          <w:tcPr>
            <w:tcW w:type="dxa" w:w="2381"/>
            <w:shd w:val="clear" w:color="auto" w:fill="F2F5FA"/>
            <w:vAlign w:val="center"/>
          </w:tcPr>
          <w:p>
            <w:pPr>
              <w:keepNext/>
              <w:spacing w:after="0"/>
            </w:pPr>
            <w:r>
              <w:rPr>
                <w:rFonts w:ascii="游ゴシック" w:hAnsi="游ゴシック" w:eastAsia="游ゴシック"/>
                <w:b/>
                <w:sz w:val="18"/>
              </w:rPr>
              <w:t>規模のみ。回答施設の顔ぶれが異なる</w:t>
            </w:r>
          </w:p>
        </w:tc>
      </w:tr>
      <w:tr>
        <w:trPr>
          <w:cantSplit/>
        </w:trPr>
        <w:tc>
          <w:tcPr>
            <w:tcW w:type="dxa" w:w="1928"/>
            <w:vAlign w:val="center"/>
          </w:tcPr>
          <w:p>
            <w:pPr>
              <w:keepNext/>
              <w:spacing w:after="0"/>
            </w:pPr>
            <w:r>
              <w:rPr>
                <w:rFonts w:ascii="游ゴシック" w:hAnsi="游ゴシック" w:eastAsia="游ゴシック"/>
                <w:b/>
                <w:sz w:val="18"/>
              </w:rPr>
              <w:t>③ 介護人材実態調査</w:t>
            </w:r>
          </w:p>
        </w:tc>
        <w:tc>
          <w:tcPr>
            <w:tcW w:type="dxa" w:w="2835"/>
            <w:vAlign w:val="center"/>
          </w:tcPr>
          <w:p>
            <w:pPr>
              <w:keepNext/>
              <w:spacing w:after="0"/>
            </w:pPr>
            <w:r>
              <w:rPr>
                <w:rFonts w:ascii="游ゴシック" w:hAnsi="游ゴシック" w:eastAsia="游ゴシック"/>
                <w:b w:val="0"/>
                <w:sz w:val="18"/>
              </w:rPr>
              <w:t>令和5年5月25日送付・27施設405人</w:t>
            </w:r>
          </w:p>
        </w:tc>
        <w:tc>
          <w:tcPr>
            <w:tcW w:type="dxa" w:w="2608"/>
            <w:vAlign w:val="center"/>
          </w:tcPr>
          <w:p>
            <w:pPr>
              <w:keepNext/>
              <w:spacing w:after="0"/>
            </w:pPr>
            <w:r>
              <w:rPr>
                <w:rFonts w:ascii="游ゴシック" w:hAnsi="游ゴシック" w:eastAsia="游ゴシック"/>
                <w:b w:val="0"/>
                <w:sz w:val="18"/>
              </w:rPr>
              <w:t>27事業所・職員個票317人・職員票26件</w:t>
            </w:r>
          </w:p>
        </w:tc>
        <w:tc>
          <w:tcPr>
            <w:tcW w:type="dxa" w:w="2381"/>
            <w:vAlign w:val="center"/>
          </w:tcPr>
          <w:p>
            <w:pPr>
              <w:keepNext/>
              <w:spacing w:after="0"/>
            </w:pPr>
            <w:r>
              <w:rPr>
                <w:rFonts w:ascii="游ゴシック" w:hAnsi="游ゴシック" w:eastAsia="游ゴシック"/>
                <w:b/>
                <w:sz w:val="18"/>
              </w:rPr>
              <w:t>規模のみ。前回は職員数の分母が3種類あり接続できない</w:t>
            </w:r>
          </w:p>
        </w:tc>
      </w:tr>
      <w:tr>
        <w:trPr>
          <w:cantSplit/>
        </w:trPr>
        <w:tc>
          <w:tcPr>
            <w:tcW w:type="dxa" w:w="1928"/>
            <w:shd w:val="clear" w:color="auto" w:fill="F2F5FA"/>
            <w:vAlign w:val="center"/>
          </w:tcPr>
          <w:p>
            <w:pPr>
              <w:spacing w:after="0"/>
            </w:pPr>
            <w:r>
              <w:rPr>
                <w:rFonts w:ascii="游ゴシック" w:hAnsi="游ゴシック" w:eastAsia="游ゴシック"/>
                <w:b/>
                <w:sz w:val="18"/>
              </w:rPr>
              <w:t>④ 健康とくらしの調査</w:t>
            </w:r>
          </w:p>
        </w:tc>
        <w:tc>
          <w:tcPr>
            <w:tcW w:type="dxa" w:w="2835"/>
            <w:shd w:val="clear" w:color="auto" w:fill="F2F5FA"/>
            <w:vAlign w:val="center"/>
          </w:tcPr>
          <w:p>
            <w:pPr>
              <w:spacing w:after="0"/>
            </w:pPr>
            <w:r>
              <w:rPr>
                <w:rFonts w:ascii="游ゴシック" w:hAnsi="游ゴシック" w:eastAsia="游ゴシック"/>
                <w:b w:val="0"/>
                <w:sz w:val="18"/>
              </w:rPr>
              <w:t>令和4年11月調査（回収4,626票・63.9％）</w:t>
            </w:r>
          </w:p>
        </w:tc>
        <w:tc>
          <w:tcPr>
            <w:tcW w:type="dxa" w:w="2608"/>
            <w:shd w:val="clear" w:color="auto" w:fill="F2F5FA"/>
            <w:vAlign w:val="center"/>
          </w:tcPr>
          <w:p>
            <w:pPr>
              <w:spacing w:after="0"/>
            </w:pPr>
            <w:r>
              <w:rPr>
                <w:rFonts w:ascii="游ゴシック" w:hAnsi="游ゴシック" w:eastAsia="游ゴシック"/>
                <w:b w:val="0"/>
                <w:sz w:val="18"/>
              </w:rPr>
              <w:t>回収4,798票・回収率67.4％（分析対象4,729票）</w:t>
            </w:r>
          </w:p>
        </w:tc>
        <w:tc>
          <w:tcPr>
            <w:tcW w:type="dxa" w:w="2381"/>
            <w:shd w:val="clear" w:color="auto" w:fill="F2F5FA"/>
            <w:vAlign w:val="center"/>
          </w:tcPr>
          <w:p>
            <w:pPr>
              <w:spacing w:after="0"/>
            </w:pPr>
            <w:r>
              <w:rPr>
                <w:rFonts w:ascii="游ゴシック" w:hAnsi="游ゴシック" w:eastAsia="游ゴシック"/>
                <w:b/>
                <w:sz w:val="18"/>
              </w:rPr>
              <w:t>割合の比較ができる</w:t>
            </w:r>
            <w:r>
              <w:rPr>
                <w:rFonts w:ascii="游ゴシック" w:hAnsi="游ゴシック" w:eastAsia="游ゴシック"/>
                <w:b/>
                <w:sz w:val="18"/>
              </w:rPr>
              <w:t>（下表）。母数が違うため実数では比べない</w:t>
            </w:r>
          </w:p>
        </w:tc>
      </w:tr>
    </w:tbl>
    <w:p>
      <w:pPr>
        <w:spacing w:after="80"/>
      </w:pPr>
      <w:r>
        <w:rPr>
          <w:rFonts w:ascii="游ゴシック" w:hAnsi="游ゴシック" w:eastAsia="游ゴシック"/>
          <w:sz w:val="21"/>
        </w:rPr>
      </w:r>
    </w:p>
    <w:p>
      <w:pPr>
        <w:spacing w:after="80"/>
      </w:pPr>
      <w:r>
        <w:rPr>
          <w:rFonts w:ascii="游ゴシック" w:hAnsi="游ゴシック" w:eastAsia="游ゴシック"/>
          <w:b w:val="0"/>
          <w:sz w:val="21"/>
        </w:rPr>
        <w:t>④健康とくらしの調査は、前回と同じ様式の指標について</w:t>
      </w:r>
      <w:r>
        <w:rPr>
          <w:rFonts w:ascii="游ゴシック" w:hAnsi="游ゴシック" w:eastAsia="游ゴシック"/>
          <w:b/>
          <w:sz w:val="21"/>
        </w:rPr>
        <w:t>令和4年度と令和7年度を比べられます。</w:t>
      </w:r>
      <w:r>
        <w:rPr>
          <w:rFonts w:ascii="游ゴシック" w:hAnsi="游ゴシック" w:eastAsia="游ゴシック"/>
          <w:b w:val="0"/>
          <w:sz w:val="21"/>
        </w:rPr>
        <w:t>次の表は計画素案 第2章第4節に掲げたものです。</w:t>
      </w:r>
    </w:p>
    <w:p>
      <w:pPr>
        <w:keepNext/>
        <w:spacing w:before="160" w:after="40"/>
      </w:pPr>
      <w:r>
        <w:rPr>
          <w:rFonts w:ascii="游ゴシック" w:hAnsi="游ゴシック" w:eastAsia="游ゴシック"/>
          <w:b/>
          <w:sz w:val="20"/>
        </w:rPr>
        <w:t>表5　④健康とくらしの調査　前回調査との比較（計画素案 第2章第4節）</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2381"/>
            <w:shd w:val="clear" w:color="auto" w:fill="1F3864"/>
            <w:vAlign w:val="center"/>
          </w:tcPr>
          <w:p>
            <w:pPr>
              <w:keepNext/>
              <w:spacing w:after="0"/>
              <w:jc w:val="center"/>
            </w:pPr>
            <w:r>
              <w:rPr>
                <w:rFonts w:ascii="游ゴシック" w:hAnsi="游ゴシック" w:eastAsia="游ゴシック"/>
                <w:b/>
                <w:color w:val="FFFFFF"/>
                <w:sz w:val="18"/>
              </w:rPr>
              <w:t>指標</w:t>
            </w:r>
          </w:p>
        </w:tc>
        <w:tc>
          <w:tcPr>
            <w:tcW w:type="dxa" w:w="1020"/>
            <w:shd w:val="clear" w:color="auto" w:fill="1F3864"/>
            <w:vAlign w:val="center"/>
          </w:tcPr>
          <w:p>
            <w:pPr>
              <w:keepNext/>
              <w:spacing w:after="0"/>
              <w:jc w:val="center"/>
            </w:pPr>
            <w:r>
              <w:rPr>
                <w:rFonts w:ascii="游ゴシック" w:hAnsi="游ゴシック" w:eastAsia="游ゴシック"/>
                <w:b/>
                <w:color w:val="FFFFFF"/>
                <w:sz w:val="18"/>
              </w:rPr>
              <w:t>令和4年度</w:t>
            </w:r>
          </w:p>
        </w:tc>
        <w:tc>
          <w:tcPr>
            <w:tcW w:type="dxa" w:w="1020"/>
            <w:shd w:val="clear" w:color="auto" w:fill="1F3864"/>
            <w:vAlign w:val="center"/>
          </w:tcPr>
          <w:p>
            <w:pPr>
              <w:keepNext/>
              <w:spacing w:after="0"/>
              <w:jc w:val="center"/>
            </w:pPr>
            <w:r>
              <w:rPr>
                <w:rFonts w:ascii="游ゴシック" w:hAnsi="游ゴシック" w:eastAsia="游ゴシック"/>
                <w:b/>
                <w:color w:val="FFFFFF"/>
                <w:sz w:val="18"/>
              </w:rPr>
              <w:t>令和7年度</w:t>
            </w:r>
          </w:p>
        </w:tc>
        <w:tc>
          <w:tcPr>
            <w:tcW w:type="dxa" w:w="1247"/>
            <w:shd w:val="clear" w:color="auto" w:fill="1F3864"/>
            <w:vAlign w:val="center"/>
          </w:tcPr>
          <w:p>
            <w:pPr>
              <w:keepNext/>
              <w:spacing w:after="0"/>
              <w:jc w:val="center"/>
            </w:pPr>
            <w:r>
              <w:rPr>
                <w:rFonts w:ascii="游ゴシック" w:hAnsi="游ゴシック" w:eastAsia="游ゴシック"/>
                <w:b/>
                <w:color w:val="FFFFFF"/>
                <w:sz w:val="18"/>
              </w:rPr>
              <w:t>第9期目標</w:t>
            </w:r>
          </w:p>
        </w:tc>
        <w:tc>
          <w:tcPr>
            <w:tcW w:type="dxa" w:w="4082"/>
            <w:shd w:val="clear" w:color="auto" w:fill="1F3864"/>
            <w:vAlign w:val="center"/>
          </w:tcPr>
          <w:p>
            <w:pPr>
              <w:keepNext/>
              <w:spacing w:after="0"/>
              <w:jc w:val="center"/>
            </w:pPr>
            <w:r>
              <w:rPr>
                <w:rFonts w:ascii="游ゴシック" w:hAnsi="游ゴシック" w:eastAsia="游ゴシック"/>
                <w:b/>
                <w:color w:val="FFFFFF"/>
                <w:sz w:val="18"/>
              </w:rPr>
              <w:t>評価</w:t>
            </w:r>
          </w:p>
        </w:tc>
      </w:tr>
      <w:tr>
        <w:trPr>
          <w:cantSplit/>
        </w:trPr>
        <w:tc>
          <w:tcPr>
            <w:tcW w:type="dxa" w:w="2381"/>
            <w:vAlign w:val="center"/>
          </w:tcPr>
          <w:p>
            <w:pPr>
              <w:keepNext/>
              <w:spacing w:after="0"/>
            </w:pPr>
            <w:r>
              <w:rPr>
                <w:rFonts w:ascii="游ゴシック" w:hAnsi="游ゴシック" w:eastAsia="游ゴシック"/>
                <w:b/>
                <w:sz w:val="18"/>
              </w:rPr>
              <w:t>フレイル該当割合</w:t>
            </w:r>
          </w:p>
        </w:tc>
        <w:tc>
          <w:tcPr>
            <w:tcW w:type="dxa" w:w="1020"/>
            <w:vAlign w:val="center"/>
          </w:tcPr>
          <w:p>
            <w:pPr>
              <w:keepNext/>
              <w:spacing w:after="0"/>
            </w:pPr>
            <w:r>
              <w:rPr>
                <w:rFonts w:ascii="游ゴシック" w:hAnsi="游ゴシック" w:eastAsia="游ゴシック"/>
                <w:b w:val="0"/>
                <w:sz w:val="18"/>
              </w:rPr>
              <w:t>18.5％</w:t>
            </w:r>
          </w:p>
        </w:tc>
        <w:tc>
          <w:tcPr>
            <w:tcW w:type="dxa" w:w="1020"/>
            <w:vAlign w:val="center"/>
          </w:tcPr>
          <w:p>
            <w:pPr>
              <w:keepNext/>
              <w:spacing w:after="0"/>
            </w:pPr>
            <w:r>
              <w:rPr>
                <w:rFonts w:ascii="游ゴシック" w:hAnsi="游ゴシック" w:eastAsia="游ゴシック"/>
                <w:b/>
                <w:sz w:val="18"/>
              </w:rPr>
              <w:t>19.1％</w:t>
            </w:r>
          </w:p>
        </w:tc>
        <w:tc>
          <w:tcPr>
            <w:tcW w:type="dxa" w:w="1247"/>
            <w:vAlign w:val="center"/>
          </w:tcPr>
          <w:p>
            <w:pPr>
              <w:keepNext/>
              <w:spacing w:after="0"/>
            </w:pPr>
            <w:r>
              <w:rPr>
                <w:rFonts w:ascii="游ゴシック" w:hAnsi="游ゴシック" w:eastAsia="游ゴシック"/>
                <w:b w:val="0"/>
                <w:sz w:val="18"/>
              </w:rPr>
              <w:t>18.0％（R7）</w:t>
            </w:r>
          </w:p>
        </w:tc>
        <w:tc>
          <w:tcPr>
            <w:tcW w:type="dxa" w:w="4082"/>
            <w:vAlign w:val="center"/>
          </w:tcPr>
          <w:p>
            <w:pPr>
              <w:keepNext/>
              <w:spacing w:after="0"/>
            </w:pPr>
            <w:r>
              <w:rPr>
                <w:rFonts w:ascii="游ゴシック" w:hAnsi="游ゴシック" w:eastAsia="游ゴシック"/>
                <w:b w:val="0"/>
                <w:sz w:val="18"/>
              </w:rPr>
              <w:t>＋0.6ポイントの差は統計的に有意でない（n≒4,700、95％信頼区間±約1.6ポイント）</w:t>
            </w:r>
          </w:p>
        </w:tc>
      </w:tr>
      <w:tr>
        <w:trPr>
          <w:cantSplit/>
        </w:trPr>
        <w:tc>
          <w:tcPr>
            <w:tcW w:type="dxa" w:w="2381"/>
            <w:shd w:val="clear" w:color="auto" w:fill="F2F5FA"/>
            <w:vAlign w:val="center"/>
          </w:tcPr>
          <w:p>
            <w:pPr>
              <w:keepNext/>
              <w:spacing w:after="0"/>
            </w:pPr>
            <w:r>
              <w:rPr>
                <w:rFonts w:ascii="游ゴシック" w:hAnsi="游ゴシック" w:eastAsia="游ゴシック"/>
                <w:b/>
                <w:sz w:val="18"/>
              </w:rPr>
              <w:t>通いの場参加率（ニーズ調査ベース）</w:t>
            </w:r>
          </w:p>
        </w:tc>
        <w:tc>
          <w:tcPr>
            <w:tcW w:type="dxa" w:w="1020"/>
            <w:shd w:val="clear" w:color="auto" w:fill="F2F5FA"/>
            <w:vAlign w:val="center"/>
          </w:tcPr>
          <w:p>
            <w:pPr>
              <w:keepNext/>
              <w:spacing w:after="0"/>
            </w:pPr>
            <w:r>
              <w:rPr>
                <w:rFonts w:ascii="游ゴシック" w:hAnsi="游ゴシック" w:eastAsia="游ゴシック"/>
                <w:b w:val="0"/>
                <w:sz w:val="18"/>
              </w:rPr>
              <w:t>7.3％</w:t>
            </w:r>
          </w:p>
        </w:tc>
        <w:tc>
          <w:tcPr>
            <w:tcW w:type="dxa" w:w="1020"/>
            <w:shd w:val="clear" w:color="auto" w:fill="F2F5FA"/>
            <w:vAlign w:val="center"/>
          </w:tcPr>
          <w:p>
            <w:pPr>
              <w:keepNext/>
              <w:spacing w:after="0"/>
            </w:pPr>
            <w:r>
              <w:rPr>
                <w:rFonts w:ascii="游ゴシック" w:hAnsi="游ゴシック" w:eastAsia="游ゴシック"/>
                <w:b/>
                <w:sz w:val="18"/>
              </w:rPr>
              <w:t>8.8％</w:t>
            </w:r>
          </w:p>
        </w:tc>
        <w:tc>
          <w:tcPr>
            <w:tcW w:type="dxa" w:w="1247"/>
            <w:shd w:val="clear" w:color="auto" w:fill="F2F5FA"/>
            <w:vAlign w:val="center"/>
          </w:tcPr>
          <w:p>
            <w:pPr>
              <w:keepNext/>
              <w:spacing w:after="0"/>
            </w:pPr>
            <w:r>
              <w:rPr>
                <w:rFonts w:ascii="游ゴシック" w:hAnsi="游ゴシック" w:eastAsia="游ゴシック"/>
                <w:b w:val="0"/>
                <w:sz w:val="18"/>
              </w:rPr>
              <w:t>9.0％（R7）</w:t>
            </w:r>
          </w:p>
        </w:tc>
        <w:tc>
          <w:tcPr>
            <w:tcW w:type="dxa" w:w="4082"/>
            <w:shd w:val="clear" w:color="auto" w:fill="F2F5FA"/>
            <w:vAlign w:val="center"/>
          </w:tcPr>
          <w:p>
            <w:pPr>
              <w:keepNext/>
              <w:spacing w:after="0"/>
            </w:pPr>
            <w:r>
              <w:rPr>
                <w:rFonts w:ascii="游ゴシック" w:hAnsi="游ゴシック" w:eastAsia="游ゴシック"/>
                <w:b w:val="0"/>
                <w:sz w:val="18"/>
              </w:rPr>
              <w:t>令和7年度の中間目標9.0％を0.2ポイント下回る（令和8年度の期末目標は10.0％）。ただし統計が国の目標値と異なる（第3章第1節）</w:t>
            </w:r>
          </w:p>
        </w:tc>
      </w:tr>
      <w:tr>
        <w:trPr>
          <w:cantSplit/>
        </w:trPr>
        <w:tc>
          <w:tcPr>
            <w:tcW w:type="dxa" w:w="2381"/>
            <w:vAlign w:val="center"/>
          </w:tcPr>
          <w:p>
            <w:pPr>
              <w:spacing w:after="0"/>
            </w:pPr>
            <w:r>
              <w:rPr>
                <w:rFonts w:ascii="游ゴシック" w:hAnsi="游ゴシック" w:eastAsia="游ゴシック"/>
                <w:b/>
                <w:sz w:val="18"/>
              </w:rPr>
              <w:t>月1回以上の社会参加率（6区分合成）</w:t>
            </w:r>
          </w:p>
        </w:tc>
        <w:tc>
          <w:tcPr>
            <w:tcW w:type="dxa" w:w="1020"/>
            <w:vAlign w:val="center"/>
          </w:tcPr>
          <w:p>
            <w:pPr>
              <w:spacing w:after="0"/>
            </w:pPr>
            <w:r>
              <w:rPr>
                <w:rFonts w:ascii="游ゴシック" w:hAnsi="游ゴシック" w:eastAsia="游ゴシック"/>
                <w:b w:val="0"/>
                <w:sz w:val="18"/>
              </w:rPr>
              <w:t>―</w:t>
            </w:r>
          </w:p>
        </w:tc>
        <w:tc>
          <w:tcPr>
            <w:tcW w:type="dxa" w:w="1020"/>
            <w:vAlign w:val="center"/>
          </w:tcPr>
          <w:p>
            <w:pPr>
              <w:spacing w:after="0"/>
            </w:pPr>
            <w:r>
              <w:rPr>
                <w:rFonts w:ascii="游ゴシック" w:hAnsi="游ゴシック" w:eastAsia="游ゴシック"/>
                <w:b/>
                <w:sz w:val="18"/>
              </w:rPr>
              <w:t>36.0％</w:t>
            </w:r>
          </w:p>
        </w:tc>
        <w:tc>
          <w:tcPr>
            <w:tcW w:type="dxa" w:w="1247"/>
            <w:vAlign w:val="center"/>
          </w:tcPr>
          <w:p>
            <w:pPr>
              <w:spacing w:after="0"/>
            </w:pPr>
            <w:r>
              <w:rPr>
                <w:rFonts w:ascii="游ゴシック" w:hAnsi="游ゴシック" w:eastAsia="游ゴシック"/>
                <w:b w:val="0"/>
                <w:sz w:val="18"/>
              </w:rPr>
              <w:t>―</w:t>
            </w:r>
          </w:p>
        </w:tc>
        <w:tc>
          <w:tcPr>
            <w:tcW w:type="dxa" w:w="4082"/>
            <w:vAlign w:val="center"/>
          </w:tcPr>
          <w:p>
            <w:pPr>
              <w:spacing w:after="0"/>
            </w:pPr>
            <w:r>
              <w:rPr>
                <w:rFonts w:ascii="游ゴシック" w:hAnsi="游ゴシック" w:eastAsia="游ゴシック"/>
                <w:b w:val="0"/>
                <w:sz w:val="18"/>
              </w:rPr>
              <w:t>東川38.2％・美瑛35.4％・東神楽34.8％。第10期のH05の基準値</w:t>
            </w:r>
          </w:p>
        </w:tc>
      </w:tr>
    </w:tbl>
    <w:p>
      <w:pPr>
        <w:spacing w:after="80"/>
      </w:pPr>
      <w:r>
        <w:rPr>
          <w:rFonts w:ascii="游ゴシック" w:hAnsi="游ゴシック" w:eastAsia="游ゴシック"/>
          <w:sz w:val="21"/>
        </w:rPr>
      </w:r>
    </w:p>
    <w:p>
      <w:pPr>
        <w:spacing w:after="80"/>
      </w:pPr>
      <w:r>
        <w:rPr>
          <w:rFonts w:ascii="游ゴシック" w:hAnsi="游ゴシック" w:eastAsia="游ゴシック"/>
          <w:b/>
          <w:sz w:val="21"/>
        </w:rPr>
        <w:t>①②③は内容の経年比較ができません。</w:t>
      </w:r>
      <w:r>
        <w:rPr>
          <w:rFonts w:ascii="游ゴシック" w:hAnsi="游ゴシック" w:eastAsia="游ゴシック"/>
          <w:b w:val="0"/>
          <w:sz w:val="21"/>
        </w:rPr>
        <w:t>第9期計画の本文は確認していますが、前回調査の指標別の分母及び集計条件を本文から復元できないためです（確認事項No.90）。前回調査の原集計表をご提供いただければ、図表集 10〜13シートの前回値と接続します。</w:t>
      </w:r>
    </w:p>
    <w:p>
      <w:pPr>
        <w:ind w:left="227"/>
      </w:pPr>
      <w:r>
        <w:rPr>
          <w:rFonts w:ascii="游ゴシック" w:hAnsi="游ゴシック" w:eastAsia="游ゴシック"/>
          <w:b w:val="0"/>
          <w:sz w:val="18"/>
        </w:rPr>
        <w:t>※ ④も、設問文と判定の方法が前回と同一であることを確かめた指標のみを掲げています。</w:t>
      </w:r>
      <w:r>
        <w:rPr>
          <w:rFonts w:ascii="游ゴシック" w:hAnsi="游ゴシック" w:eastAsia="游ゴシック"/>
          <w:b/>
          <w:sz w:val="18"/>
        </w:rPr>
        <w:t>前回は回収4,626票・回収率63.9％、今回は回収4,798票・回収率67.4％（分析対象4,729票）で母数が違います。</w:t>
      </w:r>
      <w:r>
        <w:rPr>
          <w:rFonts w:ascii="游ゴシック" w:hAnsi="游ゴシック" w:eastAsia="游ゴシック"/>
          <w:b w:val="0"/>
          <w:sz w:val="18"/>
        </w:rPr>
        <w:t>また各指標の分母は設問により異なり（今回は4,128票から4,729票）、前回の指標別の分母は第9期計画の本文からは確認できません。通いの場参加率は国の目標値と統計の取り方が異なるため、計画素案では出所を分けて記述しています。</w:t>
      </w:r>
    </w:p>
    <w:p>
      <w:pPr>
        <w:keepNext/>
        <w:pageBreakBefore w:val="0"/>
        <w:spacing w:before="280" w:after="120"/>
      </w:pPr>
      <w:r>
        <w:rPr>
          <w:rFonts w:ascii="游ゴシック" w:hAnsi="游ゴシック" w:eastAsia="游ゴシック"/>
          <w:b/>
          <w:color w:val="1F3864"/>
          <w:sz w:val="26"/>
        </w:rPr>
        <w:t>第5節　健康とくらしの調査の結果と計画素案への反映</w:t>
      </w:r>
    </w:p>
    <w:p>
      <w:pPr>
        <w:spacing w:after="80"/>
      </w:pPr>
      <w:r>
        <w:rPr>
          <w:rFonts w:ascii="游ゴシック" w:hAnsi="游ゴシック" w:eastAsia="游ゴシック"/>
          <w:b w:val="0"/>
          <w:sz w:val="21"/>
        </w:rPr>
        <w:t>健康とくらしの調査（4,729票）の結果を計画素案 第2章第4節（高齢者の生活実態）に入れました。</w:t>
      </w:r>
      <w:r>
        <w:rPr>
          <w:rFonts w:ascii="游ゴシック" w:hAnsi="游ゴシック" w:eastAsia="游ゴシック"/>
          <w:b/>
          <w:sz w:val="21"/>
        </w:rPr>
        <w:t>同節は4段落・表1から30段落・表8になりました。</w:t>
      </w:r>
      <w:r>
        <w:rPr>
          <w:rFonts w:ascii="游ゴシック" w:hAnsi="游ゴシック" w:eastAsia="游ゴシック"/>
          <w:b w:val="0"/>
          <w:sz w:val="21"/>
        </w:rPr>
        <w:t>計画素案は現在1024段落152表36図です。</w:t>
      </w:r>
    </w:p>
    <w:p>
      <w:pPr>
        <w:keepNext/>
        <w:spacing w:before="180" w:after="60"/>
      </w:pPr>
      <w:r>
        <w:rPr>
          <w:rFonts w:ascii="游ゴシック" w:hAnsi="游ゴシック" w:eastAsia="游ゴシック"/>
          <w:b/>
          <w:sz w:val="22"/>
        </w:rPr>
        <w:t>入れた内容</w:t>
      </w:r>
    </w:p>
    <w:p>
      <w:pPr>
        <w:spacing w:after="60"/>
        <w:ind w:left="340" w:hanging="340"/>
      </w:pPr>
      <w:r>
        <w:rPr>
          <w:rFonts w:ascii="游ゴシック" w:hAnsi="游ゴシック" w:eastAsia="游ゴシック"/>
          <w:b w:val="0"/>
          <w:sz w:val="21"/>
        </w:rPr>
        <w:t>・1　調査の対象者の範囲（一般高齢者及び総合事業対象者であり、要支援者・要介護者を含まない。他の調査と合算しない）</w:t>
      </w:r>
    </w:p>
    <w:p>
      <w:pPr>
        <w:spacing w:after="60"/>
        <w:ind w:left="340" w:hanging="340"/>
      </w:pPr>
      <w:r>
        <w:rPr>
          <w:rFonts w:ascii="游ゴシック" w:hAnsi="游ゴシック" w:eastAsia="游ゴシック"/>
          <w:b w:val="0"/>
          <w:sz w:val="21"/>
        </w:rPr>
        <w:t>・2　主要指標の町別の値</w:t>
      </w:r>
    </w:p>
    <w:p>
      <w:pPr>
        <w:spacing w:after="60"/>
        <w:ind w:left="340" w:hanging="340"/>
      </w:pPr>
      <w:r>
        <w:rPr>
          <w:rFonts w:ascii="游ゴシック" w:hAnsi="游ゴシック" w:eastAsia="游ゴシック"/>
          <w:b w:val="0"/>
          <w:sz w:val="21"/>
        </w:rPr>
        <w:t>・3　年齢調整と町間の差の検定（有意7項目・有意でない4項目）</w:t>
      </w:r>
    </w:p>
    <w:p>
      <w:pPr>
        <w:spacing w:after="60"/>
        <w:ind w:left="340" w:hanging="340"/>
      </w:pPr>
      <w:r>
        <w:rPr>
          <w:rFonts w:ascii="游ゴシック" w:hAnsi="游ゴシック" w:eastAsia="游ゴシック"/>
          <w:b w:val="0"/>
          <w:sz w:val="21"/>
        </w:rPr>
        <w:t>・4　同規模保険者40との比較（課題5項目・同等1項目。連帯感は上位）</w:t>
      </w:r>
    </w:p>
    <w:p>
      <w:pPr>
        <w:spacing w:after="60"/>
        <w:ind w:left="340" w:hanging="340"/>
      </w:pPr>
      <w:r>
        <w:rPr>
          <w:rFonts w:ascii="游ゴシック" w:hAnsi="游ゴシック" w:eastAsia="游ゴシック"/>
          <w:b w:val="0"/>
          <w:sz w:val="21"/>
        </w:rPr>
        <w:t>・5　社会参加との関連</w:t>
      </w:r>
    </w:p>
    <w:p>
      <w:pPr>
        <w:spacing w:after="60"/>
        <w:ind w:left="340" w:hanging="340"/>
      </w:pPr>
      <w:r>
        <w:rPr>
          <w:rFonts w:ascii="游ゴシック" w:hAnsi="游ゴシック" w:eastAsia="游ゴシック"/>
          <w:b w:val="0"/>
          <w:sz w:val="21"/>
        </w:rPr>
        <w:t>・6　暮らし向きとの関連（フレイル　大変苦しい42.7％対大変ゆとり6.8％＝6.3倍）</w:t>
      </w:r>
    </w:p>
    <w:p>
      <w:pPr>
        <w:spacing w:after="60"/>
        <w:ind w:left="340" w:hanging="340"/>
      </w:pPr>
      <w:r>
        <w:rPr>
          <w:rFonts w:ascii="游ゴシック" w:hAnsi="游ゴシック" w:eastAsia="游ゴシック"/>
          <w:b w:val="0"/>
          <w:sz w:val="21"/>
        </w:rPr>
        <w:t>・7　生活実態の主な値</w:t>
      </w:r>
    </w:p>
    <w:p>
      <w:pPr>
        <w:spacing w:after="60"/>
        <w:ind w:left="340" w:hanging="340"/>
      </w:pPr>
      <w:r>
        <w:rPr>
          <w:rFonts w:ascii="游ゴシック" w:hAnsi="游ゴシック" w:eastAsia="游ゴシック"/>
          <w:b w:val="0"/>
          <w:sz w:val="21"/>
        </w:rPr>
        <w:t>・8　地区別（小学校区12地区）</w:t>
      </w:r>
    </w:p>
    <w:p>
      <w:pPr>
        <w:spacing w:after="60"/>
        <w:ind w:left="340" w:hanging="340"/>
      </w:pPr>
      <w:r>
        <w:rPr>
          <w:rFonts w:ascii="游ゴシック" w:hAnsi="游ゴシック" w:eastAsia="游ゴシック"/>
          <w:b w:val="0"/>
          <w:sz w:val="21"/>
        </w:rPr>
        <w:t>・9　前回調査との比較</w:t>
      </w:r>
    </w:p>
    <w:p>
      <w:pPr>
        <w:ind w:left="227"/>
      </w:pPr>
      <w:r>
        <w:rPr>
          <w:rFonts w:ascii="游ゴシック" w:hAnsi="游ゴシック" w:eastAsia="游ゴシック"/>
          <w:b w:val="0"/>
          <w:sz w:val="18"/>
        </w:rPr>
        <w:t>※ 地区の定義（小学校区とするかどうか）は［要確認］のまま残しています（確認事項No.9）。</w:t>
      </w:r>
    </w:p>
    <w:p>
      <w:pPr>
        <w:ind w:left="227"/>
      </w:pPr>
      <w:r>
        <w:rPr>
          <w:rFonts w:ascii="游ゴシック" w:hAnsi="游ゴシック" w:eastAsia="游ゴシック"/>
          <w:b w:val="0"/>
          <w:sz w:val="18"/>
        </w:rPr>
        <w:t>※ 計画本文に用いた値は集計表のとおりです。個票（個人情報）は発注者のご指示により保管していません。</w:t>
      </w:r>
    </w:p>
    <w:p>
      <w:pPr>
        <w:keepNext/>
        <w:pageBreakBefore/>
        <w:spacing w:before="0" w:after="120"/>
      </w:pPr>
      <w:r>
        <w:rPr>
          <w:rFonts w:ascii="游ゴシック" w:hAnsi="游ゴシック" w:eastAsia="游ゴシック"/>
          <w:b/>
          <w:color w:val="1F3864"/>
          <w:sz w:val="26"/>
        </w:rPr>
        <w:t>第6節　調査結果と保険者の実績の突合</w:t>
      </w:r>
    </w:p>
    <w:p>
      <w:pPr>
        <w:spacing w:after="80"/>
      </w:pPr>
      <w:r>
        <w:rPr>
          <w:rFonts w:ascii="游ゴシック" w:hAnsi="游ゴシック" w:eastAsia="游ゴシック"/>
          <w:b w:val="0"/>
          <w:sz w:val="21"/>
        </w:rPr>
        <w:t>年報（令和7年度）の要介護度別の明細を確認できたことにより、</w:t>
      </w:r>
      <w:r>
        <w:rPr>
          <w:rFonts w:ascii="游ゴシック" w:hAnsi="游ゴシック" w:eastAsia="游ゴシック"/>
          <w:b/>
          <w:sz w:val="21"/>
        </w:rPr>
        <w:t>調査の結果と保険者の実績を要介護度別に突き合わせることが初めてできるようになりました。</w:t>
      </w:r>
      <w:r>
        <w:rPr>
          <w:rFonts w:ascii="游ゴシック" w:hAnsi="游ゴシック" w:eastAsia="游ゴシック"/>
          <w:b w:val="0"/>
          <w:sz w:val="21"/>
        </w:rPr>
        <w:t>それ以前は在宅サービス利用率による按分の推定値しかなく、突き合わせられませんでした。</w:t>
      </w:r>
    </w:p>
    <w:p>
      <w:pPr>
        <w:keepNext/>
        <w:spacing w:before="180" w:after="60"/>
      </w:pPr>
      <w:r>
        <w:rPr>
          <w:rFonts w:ascii="游ゴシック" w:hAnsi="游ゴシック" w:eastAsia="游ゴシック"/>
          <w:b/>
          <w:sz w:val="22"/>
        </w:rPr>
        <w:t>1　調査①（在宅生活改善調査）は在宅の認定者を代表しません</w:t>
      </w:r>
    </w:p>
    <w:p>
      <w:pPr>
        <w:spacing w:after="80"/>
      </w:pPr>
      <w:r>
        <w:rPr>
          <w:rFonts w:ascii="游ゴシック" w:hAnsi="游ゴシック" w:eastAsia="游ゴシック"/>
          <w:b w:val="0"/>
          <w:sz w:val="21"/>
        </w:rPr>
        <w:t>利用者票99票のうち</w:t>
      </w:r>
      <w:r>
        <w:rPr>
          <w:rFonts w:ascii="游ゴシック" w:hAnsi="游ゴシック" w:eastAsia="游ゴシック"/>
          <w:b/>
          <w:sz w:val="21"/>
        </w:rPr>
        <w:t>要介護度が判明した98票</w:t>
      </w:r>
      <w:r>
        <w:rPr>
          <w:rFonts w:ascii="游ゴシック" w:hAnsi="游ゴシック" w:eastAsia="游ゴシック"/>
          <w:b w:val="0"/>
          <w:sz w:val="21"/>
        </w:rPr>
        <w:t>の分布を、年報から求めた在宅の認定者の分布と比べました。（1票は要介護度の記載がなく、この比較から除いています。）</w:t>
      </w:r>
    </w:p>
    <w:p>
      <w:pPr>
        <w:keepNext/>
        <w:spacing w:before="160" w:after="40"/>
      </w:pPr>
      <w:r>
        <w:rPr>
          <w:rFonts w:ascii="游ゴシック" w:hAnsi="游ゴシック" w:eastAsia="游ゴシック"/>
          <w:b/>
          <w:sz w:val="20"/>
        </w:rPr>
        <w:t>表6　調査①の要介護度分布と在宅の認定者の分布</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701"/>
            <w:shd w:val="clear" w:color="auto" w:fill="1F3864"/>
            <w:vAlign w:val="center"/>
          </w:tcPr>
          <w:p>
            <w:pPr>
              <w:keepNext/>
              <w:spacing w:after="0"/>
              <w:jc w:val="center"/>
            </w:pPr>
            <w:r>
              <w:rPr>
                <w:rFonts w:ascii="游ゴシック" w:hAnsi="游ゴシック" w:eastAsia="游ゴシック"/>
                <w:b/>
                <w:color w:val="FFFFFF"/>
                <w:sz w:val="18"/>
              </w:rPr>
              <w:t>要介護度</w:t>
            </w:r>
          </w:p>
        </w:tc>
        <w:tc>
          <w:tcPr>
            <w:tcW w:type="dxa" w:w="1701"/>
            <w:shd w:val="clear" w:color="auto" w:fill="1F3864"/>
            <w:vAlign w:val="center"/>
          </w:tcPr>
          <w:p>
            <w:pPr>
              <w:keepNext/>
              <w:spacing w:after="0"/>
              <w:jc w:val="center"/>
            </w:pPr>
            <w:r>
              <w:rPr>
                <w:rFonts w:ascii="游ゴシック" w:hAnsi="游ゴシック" w:eastAsia="游ゴシック"/>
                <w:b/>
                <w:color w:val="FFFFFF"/>
                <w:sz w:val="18"/>
              </w:rPr>
              <w:t>調査①（人）</w:t>
            </w:r>
          </w:p>
        </w:tc>
        <w:tc>
          <w:tcPr>
            <w:tcW w:type="dxa" w:w="3402"/>
            <w:shd w:val="clear" w:color="auto" w:fill="1F3864"/>
            <w:vAlign w:val="center"/>
          </w:tcPr>
          <w:p>
            <w:pPr>
              <w:keepNext/>
              <w:spacing w:after="0"/>
              <w:jc w:val="center"/>
            </w:pPr>
            <w:r>
              <w:rPr>
                <w:rFonts w:ascii="游ゴシック" w:hAnsi="游ゴシック" w:eastAsia="游ゴシック"/>
                <w:b/>
                <w:color w:val="FFFFFF"/>
                <w:sz w:val="18"/>
              </w:rPr>
              <w:t>在宅の認定者の分布による期待値（人）</w:t>
            </w:r>
          </w:p>
        </w:tc>
        <w:tc>
          <w:tcPr>
            <w:tcW w:type="dxa" w:w="1701"/>
            <w:shd w:val="clear" w:color="auto" w:fill="1F3864"/>
            <w:vAlign w:val="center"/>
          </w:tcPr>
          <w:p>
            <w:pPr>
              <w:keepNext/>
              <w:spacing w:after="0"/>
              <w:jc w:val="center"/>
            </w:pPr>
            <w:r>
              <w:rPr>
                <w:rFonts w:ascii="游ゴシック" w:hAnsi="游ゴシック" w:eastAsia="游ゴシック"/>
                <w:b/>
                <w:color w:val="FFFFFF"/>
                <w:sz w:val="18"/>
              </w:rPr>
              <w:t>実測÷期待</w:t>
            </w:r>
          </w:p>
        </w:tc>
      </w:tr>
      <w:tr>
        <w:trPr>
          <w:cantSplit/>
        </w:trPr>
        <w:tc>
          <w:tcPr>
            <w:tcW w:type="dxa" w:w="1701"/>
            <w:vAlign w:val="center"/>
          </w:tcPr>
          <w:p>
            <w:pPr>
              <w:keepNext/>
              <w:spacing w:after="0"/>
            </w:pPr>
            <w:r>
              <w:rPr>
                <w:rFonts w:ascii="游ゴシック" w:hAnsi="游ゴシック" w:eastAsia="游ゴシック"/>
                <w:b/>
                <w:sz w:val="18"/>
              </w:rPr>
              <w:t>要支援1</w:t>
            </w:r>
          </w:p>
        </w:tc>
        <w:tc>
          <w:tcPr>
            <w:tcW w:type="dxa" w:w="1701"/>
            <w:vAlign w:val="center"/>
          </w:tcPr>
          <w:p>
            <w:pPr>
              <w:keepNext/>
              <w:spacing w:after="0"/>
              <w:jc w:val="center"/>
            </w:pPr>
            <w:r>
              <w:rPr>
                <w:rFonts w:ascii="游ゴシック" w:hAnsi="游ゴシック" w:eastAsia="游ゴシック"/>
                <w:b w:val="0"/>
                <w:sz w:val="18"/>
              </w:rPr>
              <w:t>3</w:t>
            </w:r>
          </w:p>
        </w:tc>
        <w:tc>
          <w:tcPr>
            <w:tcW w:type="dxa" w:w="3402"/>
            <w:vAlign w:val="center"/>
          </w:tcPr>
          <w:p>
            <w:pPr>
              <w:keepNext/>
              <w:spacing w:after="0"/>
              <w:jc w:val="center"/>
            </w:pPr>
            <w:r>
              <w:rPr>
                <w:rFonts w:ascii="游ゴシック" w:hAnsi="游ゴシック" w:eastAsia="游ゴシック"/>
                <w:b w:val="0"/>
                <w:sz w:val="18"/>
              </w:rPr>
              <w:t>18.9</w:t>
            </w:r>
          </w:p>
        </w:tc>
        <w:tc>
          <w:tcPr>
            <w:tcW w:type="dxa" w:w="1701"/>
            <w:vAlign w:val="center"/>
          </w:tcPr>
          <w:p>
            <w:pPr>
              <w:keepNext/>
              <w:spacing w:after="0"/>
              <w:jc w:val="center"/>
            </w:pPr>
            <w:r>
              <w:rPr>
                <w:rFonts w:ascii="游ゴシック" w:hAnsi="游ゴシック" w:eastAsia="游ゴシック"/>
                <w:b/>
                <w:sz w:val="18"/>
              </w:rPr>
              <w:t>0.16倍</w:t>
            </w:r>
          </w:p>
        </w:tc>
      </w:tr>
      <w:tr>
        <w:trPr>
          <w:cantSplit/>
        </w:trPr>
        <w:tc>
          <w:tcPr>
            <w:tcW w:type="dxa" w:w="1701"/>
            <w:shd w:val="clear" w:color="auto" w:fill="F2F5FA"/>
            <w:vAlign w:val="center"/>
          </w:tcPr>
          <w:p>
            <w:pPr>
              <w:keepNext/>
              <w:spacing w:after="0"/>
            </w:pPr>
            <w:r>
              <w:rPr>
                <w:rFonts w:ascii="游ゴシック" w:hAnsi="游ゴシック" w:eastAsia="游ゴシック"/>
                <w:b/>
                <w:sz w:val="18"/>
              </w:rPr>
              <w:t>要支援2</w:t>
            </w:r>
          </w:p>
        </w:tc>
        <w:tc>
          <w:tcPr>
            <w:tcW w:type="dxa" w:w="1701"/>
            <w:shd w:val="clear" w:color="auto" w:fill="F2F5FA"/>
            <w:vAlign w:val="center"/>
          </w:tcPr>
          <w:p>
            <w:pPr>
              <w:keepNext/>
              <w:spacing w:after="0"/>
              <w:jc w:val="center"/>
            </w:pPr>
            <w:r>
              <w:rPr>
                <w:rFonts w:ascii="游ゴシック" w:hAnsi="游ゴシック" w:eastAsia="游ゴシック"/>
                <w:b w:val="0"/>
                <w:sz w:val="18"/>
              </w:rPr>
              <w:t>13</w:t>
            </w:r>
          </w:p>
        </w:tc>
        <w:tc>
          <w:tcPr>
            <w:tcW w:type="dxa" w:w="3402"/>
            <w:shd w:val="clear" w:color="auto" w:fill="F2F5FA"/>
            <w:vAlign w:val="center"/>
          </w:tcPr>
          <w:p>
            <w:pPr>
              <w:keepNext/>
              <w:spacing w:after="0"/>
              <w:jc w:val="center"/>
            </w:pPr>
            <w:r>
              <w:rPr>
                <w:rFonts w:ascii="游ゴシック" w:hAnsi="游ゴシック" w:eastAsia="游ゴシック"/>
                <w:b w:val="0"/>
                <w:sz w:val="18"/>
              </w:rPr>
              <w:t>18.7</w:t>
            </w:r>
          </w:p>
        </w:tc>
        <w:tc>
          <w:tcPr>
            <w:tcW w:type="dxa" w:w="1701"/>
            <w:shd w:val="clear" w:color="auto" w:fill="F2F5FA"/>
            <w:vAlign w:val="center"/>
          </w:tcPr>
          <w:p>
            <w:pPr>
              <w:keepNext/>
              <w:spacing w:after="0"/>
              <w:jc w:val="center"/>
            </w:pPr>
            <w:r>
              <w:rPr>
                <w:rFonts w:ascii="游ゴシック" w:hAnsi="游ゴシック" w:eastAsia="游ゴシック"/>
                <w:b/>
                <w:sz w:val="18"/>
              </w:rPr>
              <w:t>0.70倍</w:t>
            </w:r>
          </w:p>
        </w:tc>
      </w:tr>
      <w:tr>
        <w:trPr>
          <w:cantSplit/>
        </w:trPr>
        <w:tc>
          <w:tcPr>
            <w:tcW w:type="dxa" w:w="1701"/>
            <w:vAlign w:val="center"/>
          </w:tcPr>
          <w:p>
            <w:pPr>
              <w:keepNext/>
              <w:spacing w:after="0"/>
            </w:pPr>
            <w:r>
              <w:rPr>
                <w:rFonts w:ascii="游ゴシック" w:hAnsi="游ゴシック" w:eastAsia="游ゴシック"/>
                <w:b/>
                <w:sz w:val="18"/>
              </w:rPr>
              <w:t>要介護1</w:t>
            </w:r>
          </w:p>
        </w:tc>
        <w:tc>
          <w:tcPr>
            <w:tcW w:type="dxa" w:w="1701"/>
            <w:vAlign w:val="center"/>
          </w:tcPr>
          <w:p>
            <w:pPr>
              <w:keepNext/>
              <w:spacing w:after="0"/>
              <w:jc w:val="center"/>
            </w:pPr>
            <w:r>
              <w:rPr>
                <w:rFonts w:ascii="游ゴシック" w:hAnsi="游ゴシック" w:eastAsia="游ゴシック"/>
                <w:b w:val="0"/>
                <w:sz w:val="18"/>
              </w:rPr>
              <w:t>33</w:t>
            </w:r>
          </w:p>
        </w:tc>
        <w:tc>
          <w:tcPr>
            <w:tcW w:type="dxa" w:w="3402"/>
            <w:vAlign w:val="center"/>
          </w:tcPr>
          <w:p>
            <w:pPr>
              <w:keepNext/>
              <w:spacing w:after="0"/>
              <w:jc w:val="center"/>
            </w:pPr>
            <w:r>
              <w:rPr>
                <w:rFonts w:ascii="游ゴシック" w:hAnsi="游ゴシック" w:eastAsia="游ゴシック"/>
                <w:b w:val="0"/>
                <w:sz w:val="18"/>
              </w:rPr>
              <w:t>29.3</w:t>
            </w:r>
          </w:p>
        </w:tc>
        <w:tc>
          <w:tcPr>
            <w:tcW w:type="dxa" w:w="1701"/>
            <w:vAlign w:val="center"/>
          </w:tcPr>
          <w:p>
            <w:pPr>
              <w:keepNext/>
              <w:spacing w:after="0"/>
              <w:jc w:val="center"/>
            </w:pPr>
            <w:r>
              <w:rPr>
                <w:rFonts w:ascii="游ゴシック" w:hAnsi="游ゴシック" w:eastAsia="游ゴシック"/>
                <w:b/>
                <w:sz w:val="18"/>
              </w:rPr>
              <w:t>1.13倍</w:t>
            </w:r>
          </w:p>
        </w:tc>
      </w:tr>
      <w:tr>
        <w:trPr>
          <w:cantSplit/>
        </w:trPr>
        <w:tc>
          <w:tcPr>
            <w:tcW w:type="dxa" w:w="1701"/>
            <w:shd w:val="clear" w:color="auto" w:fill="F2F5FA"/>
            <w:vAlign w:val="center"/>
          </w:tcPr>
          <w:p>
            <w:pPr>
              <w:keepNext/>
              <w:spacing w:after="0"/>
            </w:pPr>
            <w:r>
              <w:rPr>
                <w:rFonts w:ascii="游ゴシック" w:hAnsi="游ゴシック" w:eastAsia="游ゴシック"/>
                <w:b/>
                <w:sz w:val="18"/>
              </w:rPr>
              <w:t>要介護2</w:t>
            </w:r>
          </w:p>
        </w:tc>
        <w:tc>
          <w:tcPr>
            <w:tcW w:type="dxa" w:w="1701"/>
            <w:shd w:val="clear" w:color="auto" w:fill="F2F5FA"/>
            <w:vAlign w:val="center"/>
          </w:tcPr>
          <w:p>
            <w:pPr>
              <w:keepNext/>
              <w:spacing w:after="0"/>
              <w:jc w:val="center"/>
            </w:pPr>
            <w:r>
              <w:rPr>
                <w:rFonts w:ascii="游ゴシック" w:hAnsi="游ゴシック" w:eastAsia="游ゴシック"/>
                <w:b w:val="0"/>
                <w:sz w:val="18"/>
              </w:rPr>
              <w:t>22</w:t>
            </w:r>
          </w:p>
        </w:tc>
        <w:tc>
          <w:tcPr>
            <w:tcW w:type="dxa" w:w="3402"/>
            <w:shd w:val="clear" w:color="auto" w:fill="F2F5FA"/>
            <w:vAlign w:val="center"/>
          </w:tcPr>
          <w:p>
            <w:pPr>
              <w:keepNext/>
              <w:spacing w:after="0"/>
              <w:jc w:val="center"/>
            </w:pPr>
            <w:r>
              <w:rPr>
                <w:rFonts w:ascii="游ゴシック" w:hAnsi="游ゴシック" w:eastAsia="游ゴシック"/>
                <w:b w:val="0"/>
                <w:sz w:val="18"/>
              </w:rPr>
              <w:t>13.8</w:t>
            </w:r>
          </w:p>
        </w:tc>
        <w:tc>
          <w:tcPr>
            <w:tcW w:type="dxa" w:w="1701"/>
            <w:shd w:val="clear" w:color="auto" w:fill="F2F5FA"/>
            <w:vAlign w:val="center"/>
          </w:tcPr>
          <w:p>
            <w:pPr>
              <w:keepNext/>
              <w:spacing w:after="0"/>
              <w:jc w:val="center"/>
            </w:pPr>
            <w:r>
              <w:rPr>
                <w:rFonts w:ascii="游ゴシック" w:hAnsi="游ゴシック" w:eastAsia="游ゴシック"/>
                <w:b/>
                <w:sz w:val="18"/>
              </w:rPr>
              <w:t>1.59倍</w:t>
            </w:r>
          </w:p>
        </w:tc>
      </w:tr>
      <w:tr>
        <w:trPr>
          <w:cantSplit/>
        </w:trPr>
        <w:tc>
          <w:tcPr>
            <w:tcW w:type="dxa" w:w="1701"/>
            <w:vAlign w:val="center"/>
          </w:tcPr>
          <w:p>
            <w:pPr>
              <w:keepNext/>
              <w:spacing w:after="0"/>
            </w:pPr>
            <w:r>
              <w:rPr>
                <w:rFonts w:ascii="游ゴシック" w:hAnsi="游ゴシック" w:eastAsia="游ゴシック"/>
                <w:b/>
                <w:sz w:val="18"/>
              </w:rPr>
              <w:t>要介護3</w:t>
            </w:r>
          </w:p>
        </w:tc>
        <w:tc>
          <w:tcPr>
            <w:tcW w:type="dxa" w:w="1701"/>
            <w:vAlign w:val="center"/>
          </w:tcPr>
          <w:p>
            <w:pPr>
              <w:keepNext/>
              <w:spacing w:after="0"/>
              <w:jc w:val="center"/>
            </w:pPr>
            <w:r>
              <w:rPr>
                <w:rFonts w:ascii="游ゴシック" w:hAnsi="游ゴシック" w:eastAsia="游ゴシック"/>
                <w:b w:val="0"/>
                <w:sz w:val="18"/>
              </w:rPr>
              <w:t>19</w:t>
            </w:r>
          </w:p>
        </w:tc>
        <w:tc>
          <w:tcPr>
            <w:tcW w:type="dxa" w:w="3402"/>
            <w:vAlign w:val="center"/>
          </w:tcPr>
          <w:p>
            <w:pPr>
              <w:keepNext/>
              <w:spacing w:after="0"/>
              <w:jc w:val="center"/>
            </w:pPr>
            <w:r>
              <w:rPr>
                <w:rFonts w:ascii="游ゴシック" w:hAnsi="游ゴシック" w:eastAsia="游ゴシック"/>
                <w:b w:val="0"/>
                <w:sz w:val="18"/>
              </w:rPr>
              <w:t>6.7</w:t>
            </w:r>
          </w:p>
        </w:tc>
        <w:tc>
          <w:tcPr>
            <w:tcW w:type="dxa" w:w="1701"/>
            <w:vAlign w:val="center"/>
          </w:tcPr>
          <w:p>
            <w:pPr>
              <w:keepNext/>
              <w:spacing w:after="0"/>
              <w:jc w:val="center"/>
            </w:pPr>
            <w:r>
              <w:rPr>
                <w:rFonts w:ascii="游ゴシック" w:hAnsi="游ゴシック" w:eastAsia="游ゴシック"/>
                <w:b/>
                <w:sz w:val="18"/>
              </w:rPr>
              <w:t>2.82倍</w:t>
            </w:r>
          </w:p>
        </w:tc>
      </w:tr>
      <w:tr>
        <w:trPr>
          <w:cantSplit/>
        </w:trPr>
        <w:tc>
          <w:tcPr>
            <w:tcW w:type="dxa" w:w="1701"/>
            <w:shd w:val="clear" w:color="auto" w:fill="F2F5FA"/>
            <w:vAlign w:val="center"/>
          </w:tcPr>
          <w:p>
            <w:pPr>
              <w:keepNext/>
              <w:spacing w:after="0"/>
            </w:pPr>
            <w:r>
              <w:rPr>
                <w:rFonts w:ascii="游ゴシック" w:hAnsi="游ゴシック" w:eastAsia="游ゴシック"/>
                <w:b/>
                <w:sz w:val="18"/>
              </w:rPr>
              <w:t>要介護4</w:t>
            </w:r>
          </w:p>
        </w:tc>
        <w:tc>
          <w:tcPr>
            <w:tcW w:type="dxa" w:w="1701"/>
            <w:shd w:val="clear" w:color="auto" w:fill="F2F5FA"/>
            <w:vAlign w:val="center"/>
          </w:tcPr>
          <w:p>
            <w:pPr>
              <w:keepNext/>
              <w:spacing w:after="0"/>
              <w:jc w:val="center"/>
            </w:pPr>
            <w:r>
              <w:rPr>
                <w:rFonts w:ascii="游ゴシック" w:hAnsi="游ゴシック" w:eastAsia="游ゴシック"/>
                <w:b w:val="0"/>
                <w:sz w:val="18"/>
              </w:rPr>
              <w:t>5</w:t>
            </w:r>
          </w:p>
        </w:tc>
        <w:tc>
          <w:tcPr>
            <w:tcW w:type="dxa" w:w="3402"/>
            <w:shd w:val="clear" w:color="auto" w:fill="F2F5FA"/>
            <w:vAlign w:val="center"/>
          </w:tcPr>
          <w:p>
            <w:pPr>
              <w:keepNext/>
              <w:spacing w:after="0"/>
              <w:jc w:val="center"/>
            </w:pPr>
            <w:r>
              <w:rPr>
                <w:rFonts w:ascii="游ゴシック" w:hAnsi="游ゴシック" w:eastAsia="游ゴシック"/>
                <w:b w:val="0"/>
                <w:sz w:val="18"/>
              </w:rPr>
              <w:t>5.6</w:t>
            </w:r>
          </w:p>
        </w:tc>
        <w:tc>
          <w:tcPr>
            <w:tcW w:type="dxa" w:w="1701"/>
            <w:shd w:val="clear" w:color="auto" w:fill="F2F5FA"/>
            <w:vAlign w:val="center"/>
          </w:tcPr>
          <w:p>
            <w:pPr>
              <w:keepNext/>
              <w:spacing w:after="0"/>
              <w:jc w:val="center"/>
            </w:pPr>
            <w:r>
              <w:rPr>
                <w:rFonts w:ascii="游ゴシック" w:hAnsi="游ゴシック" w:eastAsia="游ゴシック"/>
                <w:b/>
                <w:sz w:val="18"/>
              </w:rPr>
              <w:t>0.89倍</w:t>
            </w:r>
          </w:p>
        </w:tc>
      </w:tr>
      <w:tr>
        <w:trPr>
          <w:cantSplit/>
        </w:trPr>
        <w:tc>
          <w:tcPr>
            <w:tcW w:type="dxa" w:w="1701"/>
            <w:vAlign w:val="center"/>
          </w:tcPr>
          <w:p>
            <w:pPr>
              <w:keepNext/>
              <w:spacing w:after="0"/>
            </w:pPr>
            <w:r>
              <w:rPr>
                <w:rFonts w:ascii="游ゴシック" w:hAnsi="游ゴシック" w:eastAsia="游ゴシック"/>
                <w:b/>
                <w:sz w:val="18"/>
              </w:rPr>
              <w:t>要介護5</w:t>
            </w:r>
          </w:p>
        </w:tc>
        <w:tc>
          <w:tcPr>
            <w:tcW w:type="dxa" w:w="1701"/>
            <w:vAlign w:val="center"/>
          </w:tcPr>
          <w:p>
            <w:pPr>
              <w:keepNext/>
              <w:spacing w:after="0"/>
              <w:jc w:val="center"/>
            </w:pPr>
            <w:r>
              <w:rPr>
                <w:rFonts w:ascii="游ゴシック" w:hAnsi="游ゴシック" w:eastAsia="游ゴシック"/>
                <w:b w:val="0"/>
                <w:sz w:val="18"/>
              </w:rPr>
              <w:t>3</w:t>
            </w:r>
          </w:p>
        </w:tc>
        <w:tc>
          <w:tcPr>
            <w:tcW w:type="dxa" w:w="3402"/>
            <w:vAlign w:val="center"/>
          </w:tcPr>
          <w:p>
            <w:pPr>
              <w:keepNext/>
              <w:spacing w:after="0"/>
              <w:jc w:val="center"/>
            </w:pPr>
            <w:r>
              <w:rPr>
                <w:rFonts w:ascii="游ゴシック" w:hAnsi="游ゴシック" w:eastAsia="游ゴシック"/>
                <w:b w:val="0"/>
                <w:sz w:val="18"/>
              </w:rPr>
              <w:t>4.9</w:t>
            </w:r>
          </w:p>
        </w:tc>
        <w:tc>
          <w:tcPr>
            <w:tcW w:type="dxa" w:w="1701"/>
            <w:vAlign w:val="center"/>
          </w:tcPr>
          <w:p>
            <w:pPr>
              <w:keepNext/>
              <w:spacing w:after="0"/>
              <w:jc w:val="center"/>
            </w:pPr>
            <w:r>
              <w:rPr>
                <w:rFonts w:ascii="游ゴシック" w:hAnsi="游ゴシック" w:eastAsia="游ゴシック"/>
                <w:b/>
                <w:sz w:val="18"/>
              </w:rPr>
              <w:t>0.61倍</w:t>
            </w:r>
          </w:p>
        </w:tc>
      </w:tr>
      <w:tr>
        <w:trPr>
          <w:cantSplit/>
        </w:trPr>
        <w:tc>
          <w:tcPr>
            <w:tcW w:type="dxa" w:w="1701"/>
            <w:shd w:val="clear" w:color="auto" w:fill="F2F5FA"/>
            <w:vAlign w:val="center"/>
          </w:tcPr>
          <w:p>
            <w:pPr>
              <w:spacing w:after="0"/>
            </w:pPr>
            <w:r>
              <w:rPr>
                <w:rFonts w:ascii="游ゴシック" w:hAnsi="游ゴシック" w:eastAsia="游ゴシック"/>
                <w:b/>
                <w:sz w:val="18"/>
              </w:rPr>
              <w:t>計</w:t>
            </w:r>
          </w:p>
        </w:tc>
        <w:tc>
          <w:tcPr>
            <w:tcW w:type="dxa" w:w="1701"/>
            <w:shd w:val="clear" w:color="auto" w:fill="F2F5FA"/>
            <w:vAlign w:val="center"/>
          </w:tcPr>
          <w:p>
            <w:pPr>
              <w:spacing w:after="0"/>
              <w:jc w:val="center"/>
            </w:pPr>
            <w:r>
              <w:rPr>
                <w:rFonts w:ascii="游ゴシック" w:hAnsi="游ゴシック" w:eastAsia="游ゴシック"/>
                <w:b w:val="0"/>
                <w:sz w:val="18"/>
              </w:rPr>
              <w:t>98</w:t>
            </w:r>
          </w:p>
        </w:tc>
        <w:tc>
          <w:tcPr>
            <w:tcW w:type="dxa" w:w="3402"/>
            <w:shd w:val="clear" w:color="auto" w:fill="F2F5FA"/>
            <w:vAlign w:val="center"/>
          </w:tcPr>
          <w:p>
            <w:pPr>
              <w:spacing w:after="0"/>
              <w:jc w:val="center"/>
            </w:pPr>
            <w:r>
              <w:rPr>
                <w:rFonts w:ascii="游ゴシック" w:hAnsi="游ゴシック" w:eastAsia="游ゴシック"/>
                <w:b w:val="0"/>
                <w:sz w:val="18"/>
              </w:rPr>
              <w:t>98.0</w:t>
            </w:r>
          </w:p>
        </w:tc>
        <w:tc>
          <w:tcPr>
            <w:tcW w:type="dxa" w:w="1701"/>
            <w:shd w:val="clear" w:color="auto" w:fill="F2F5FA"/>
            <w:vAlign w:val="center"/>
          </w:tcPr>
          <w:p>
            <w:pPr>
              <w:spacing w:after="0"/>
              <w:jc w:val="center"/>
            </w:pPr>
            <w:r>
              <w:rPr>
                <w:rFonts w:ascii="游ゴシック" w:hAnsi="游ゴシック" w:eastAsia="游ゴシック"/>
                <w:b/>
                <w:sz w:val="18"/>
              </w:rPr>
              <w:t>―</w:t>
            </w:r>
          </w:p>
        </w:tc>
      </w:tr>
    </w:tbl>
    <w:p>
      <w:pPr>
        <w:spacing w:after="80"/>
      </w:pPr>
      <w:r>
        <w:rPr>
          <w:rFonts w:ascii="游ゴシック" w:hAnsi="游ゴシック" w:eastAsia="游ゴシック"/>
          <w:b/>
          <w:sz w:val="21"/>
        </w:rPr>
        <w:t>重い方に偏り、軽い方が少ない</w:t>
      </w:r>
      <w:r>
        <w:rPr>
          <w:rFonts w:ascii="游ゴシック" w:hAnsi="游ゴシック" w:eastAsia="游ゴシック"/>
          <w:b w:val="0"/>
          <w:sz w:val="21"/>
        </w:rPr>
        <w:t>という形です。要介護3は在宅の認定者の割合から見込まれる6.7人に対し19人（2.8倍）、要支援1は18.9人に対し3人（0.16倍）です。ケアマネジャーを通じて在宅で困難を抱える方を集めた調査であり、設計のとおりの結果です。</w:t>
      </w:r>
    </w:p>
    <w:p>
      <w:pPr>
        <w:spacing w:after="80"/>
      </w:pPr>
      <w:r>
        <w:rPr>
          <w:rFonts w:ascii="游ゴシック" w:hAnsi="游ゴシック" w:eastAsia="游ゴシック"/>
          <w:b/>
          <w:sz w:val="21"/>
        </w:rPr>
        <w:t>在宅の認定者の分布を基準としたとき、回答者が98人であることによる偶然だけでは説明しにくい大きさのずれです。</w:t>
      </w:r>
      <w:r>
        <w:rPr>
          <w:rFonts w:ascii="游ゴシック" w:hAnsi="游ゴシック" w:eastAsia="游ゴシック"/>
          <w:b w:val="0"/>
          <w:sz w:val="21"/>
        </w:rPr>
        <w:t>偶然でこれだけずれる確率は1％を下回ります。調査の対象が在宅生活又は家族の就労継続に課題のある方に限られることが一因と考えられます。ただし、比べる2つの集団は対象の条件が異なるため、</w:t>
      </w:r>
      <w:r>
        <w:rPr>
          <w:rFonts w:ascii="游ゴシック" w:hAnsi="游ゴシック" w:eastAsia="游ゴシック"/>
          <w:b/>
          <w:sz w:val="21"/>
        </w:rPr>
        <w:t>この値は分布の違いの大きさを確かめる参考として扱います。</w:t>
      </w:r>
    </w:p>
    <w:p>
      <w:pPr>
        <w:ind w:left="227"/>
      </w:pPr>
      <w:r>
        <w:rPr>
          <w:rFonts w:ascii="游ゴシック" w:hAnsi="游ゴシック" w:eastAsia="游ゴシック"/>
          <w:b w:val="0"/>
          <w:sz w:val="18"/>
        </w:rPr>
        <w:t>※ 統計の言い方では、要介護度の分布が在宅の認定者の分布と異なるかどうかをカイ二乗検定で調べたものです。検定の値は43.5（自由度6）で、偶然と言えなくなる目安（有意水準1％の値）16.81を大きく上回ります。この目安は、偶然でこれだけずれることが100回に1回未満であることを表します。ただし比べた相手の母集団は調査①の母集団と一致しないため（次の注）、検定の値は分布の違いの大きさを確かめる参考として扱い、調査の集め方が違いを生んだことの証しとしては用いません。</w:t>
      </w:r>
    </w:p>
    <w:p>
      <w:pPr>
        <w:spacing w:after="80"/>
      </w:pPr>
      <w:r>
        <w:rPr>
          <w:rFonts w:ascii="游ゴシック" w:hAnsi="游ゴシック" w:eastAsia="游ゴシック"/>
          <w:b/>
          <w:sz w:val="21"/>
        </w:rPr>
        <w:t>調査①の結果は「在宅で困難を抱える方の状況」として引き、在宅の認定者全体の割合としては引きません。</w:t>
      </w:r>
      <w:r>
        <w:rPr>
          <w:rFonts w:ascii="游ゴシック" w:hAnsi="游ゴシック" w:eastAsia="游ゴシック"/>
          <w:b w:val="0"/>
          <w:sz w:val="21"/>
        </w:rPr>
        <w:t>従前は「課題のある利用者を抽出する設計である」という定性的な留保でしたが、偏りの大きさと向きを数値で示せるようになりました。</w:t>
      </w:r>
    </w:p>
    <w:p>
      <w:pPr>
        <w:ind w:left="227"/>
      </w:pPr>
      <w:r>
        <w:rPr>
          <w:rFonts w:ascii="游ゴシック" w:hAnsi="游ゴシック" w:eastAsia="游ゴシック"/>
          <w:b w:val="0"/>
          <w:sz w:val="18"/>
        </w:rPr>
        <w:t>※ 比べた相手（在宅の認定者1,503.8人）は、年報から求めた月平均の人数であり、</w:t>
      </w:r>
      <w:r>
        <w:rPr>
          <w:rFonts w:ascii="游ゴシック" w:hAnsi="游ゴシック" w:eastAsia="游ゴシック"/>
          <w:b/>
          <w:sz w:val="18"/>
        </w:rPr>
        <w:t>認定を受けてサービスを利用していない方（推計486人）を含みます</w:t>
      </w:r>
      <w:r>
        <w:rPr>
          <w:rFonts w:ascii="游ゴシック" w:hAnsi="游ゴシック" w:eastAsia="游ゴシック"/>
          <w:b w:val="0"/>
          <w:sz w:val="18"/>
        </w:rPr>
        <w:t>。調査①はケアプランのある方が対象であるため、両者の母集団は厳密には一致しません。要支援1が少ないことには、この母集団の差も効いていると考えられます。</w:t>
      </w:r>
    </w:p>
    <w:p>
      <w:pPr>
        <w:ind w:left="227"/>
      </w:pPr>
      <w:r>
        <w:rPr>
          <w:rFonts w:ascii="游ゴシック" w:hAnsi="游ゴシック" w:eastAsia="游ゴシック"/>
          <w:b w:val="0"/>
          <w:sz w:val="18"/>
        </w:rPr>
        <w:t>※ 代表KPI H12（区域内で提供できないサービスが必要と判断された利用者の割合）も同じ母集団の指標になります。計画本文では「調査対象となった99人のうち」と明記します。H12の分母はこの設問（より適切と思われるサービス）の有効回答99票であり（要介護度の有効回答98票ではありません）、基準値は99票中20票＝20.2％です。分子は、区域内に事業所が存在しない4サービス（夜間対応型訪問介護、定期巡回・随時対応型訪問介護看護、看護小規模多機能型居宅介護、介護医療院）のいずれかを挙げた</w:t>
      </w:r>
      <w:r>
        <w:rPr>
          <w:rFonts w:ascii="游ゴシック" w:hAnsi="游ゴシック" w:eastAsia="游ゴシック"/>
          <w:b/>
          <w:sz w:val="18"/>
        </w:rPr>
        <w:t>実人数20人</w:t>
      </w:r>
      <w:r>
        <w:rPr>
          <w:rFonts w:ascii="游ゴシック" w:hAnsi="游ゴシック" w:eastAsia="游ゴシック"/>
          <w:b w:val="0"/>
          <w:sz w:val="18"/>
        </w:rPr>
        <w:t>で、複数を選んでいても1人1票として数えています。別に掲げている</w:t>
      </w:r>
      <w:r>
        <w:rPr>
          <w:rFonts w:ascii="游ゴシック" w:hAnsi="游ゴシック" w:eastAsia="游ゴシック"/>
          <w:b/>
          <w:sz w:val="18"/>
        </w:rPr>
        <w:t>延べ26件</w:t>
      </w:r>
      <w:r>
        <w:rPr>
          <w:rFonts w:ascii="游ゴシック" w:hAnsi="游ゴシック" w:eastAsia="游ゴシック"/>
          <w:b w:val="0"/>
          <w:sz w:val="18"/>
        </w:rPr>
        <w:t>は、このうち24時間対応の3サービス（夜間対応型訪問介護7件、定期巡回・随時対応型訪問介護看護9件、看護小規模多機能型居宅介護10件）の選択件数の合計であり、数えているものが異なります。</w:t>
      </w:r>
    </w:p>
    <w:p>
      <w:pPr>
        <w:keepNext/>
        <w:spacing w:before="180" w:after="60"/>
      </w:pPr>
      <w:r>
        <w:rPr>
          <w:rFonts w:ascii="游ゴシック" w:hAnsi="游ゴシック" w:eastAsia="游ゴシック"/>
          <w:b/>
          <w:sz w:val="22"/>
        </w:rPr>
        <w:t>2　施設の在籍者と保険者の受給者は数える対象が異なります</w:t>
      </w:r>
    </w:p>
    <w:p>
      <w:pPr>
        <w:spacing w:after="80"/>
      </w:pPr>
      <w:r>
        <w:rPr>
          <w:rFonts w:ascii="游ゴシック" w:hAnsi="游ゴシック" w:eastAsia="游ゴシック"/>
          <w:b w:val="0"/>
          <w:sz w:val="21"/>
        </w:rPr>
        <w:t>年報は施設の所在地を問わず当広域連合の被保険者を数えます。調査②は保険者を問わず区域内の施設の在籍者を数えます。</w:t>
      </w:r>
      <w:r>
        <w:rPr>
          <w:rFonts w:ascii="游ゴシック" w:hAnsi="游ゴシック" w:eastAsia="游ゴシック"/>
          <w:b/>
          <w:sz w:val="21"/>
        </w:rPr>
        <w:t>数える対象が違うため一致しません。</w:t>
      </w:r>
    </w:p>
    <w:p>
      <w:pPr>
        <w:keepNext/>
        <w:spacing w:before="160" w:after="40"/>
      </w:pPr>
      <w:r>
        <w:rPr>
          <w:rFonts w:ascii="游ゴシック" w:hAnsi="游ゴシック" w:eastAsia="游ゴシック"/>
          <w:b/>
          <w:sz w:val="20"/>
        </w:rPr>
        <w:t>表7　施設の在籍者（調査②）と保険者の受給者（年報 令和7年度）</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1928"/>
            <w:shd w:val="clear" w:color="auto" w:fill="1F3864"/>
            <w:vAlign w:val="center"/>
          </w:tcPr>
          <w:p>
            <w:pPr>
              <w:keepNext/>
              <w:spacing w:after="0"/>
              <w:jc w:val="center"/>
            </w:pPr>
            <w:r>
              <w:rPr>
                <w:rFonts w:ascii="游ゴシック" w:hAnsi="游ゴシック" w:eastAsia="游ゴシック"/>
                <w:b/>
                <w:color w:val="FFFFFF"/>
                <w:sz w:val="18"/>
              </w:rPr>
              <w:t>区分</w:t>
            </w:r>
          </w:p>
        </w:tc>
        <w:tc>
          <w:tcPr>
            <w:tcW w:type="dxa" w:w="1247"/>
            <w:shd w:val="clear" w:color="auto" w:fill="1F3864"/>
            <w:vAlign w:val="center"/>
          </w:tcPr>
          <w:p>
            <w:pPr>
              <w:keepNext/>
              <w:spacing w:after="0"/>
              <w:jc w:val="center"/>
            </w:pPr>
            <w:r>
              <w:rPr>
                <w:rFonts w:ascii="游ゴシック" w:hAnsi="游ゴシック" w:eastAsia="游ゴシック"/>
                <w:b/>
                <w:color w:val="FFFFFF"/>
                <w:sz w:val="18"/>
              </w:rPr>
              <w:t>調査② 在籍（人）</w:t>
            </w:r>
          </w:p>
        </w:tc>
        <w:tc>
          <w:tcPr>
            <w:tcW w:type="dxa" w:w="1361"/>
            <w:shd w:val="clear" w:color="auto" w:fill="1F3864"/>
            <w:vAlign w:val="center"/>
          </w:tcPr>
          <w:p>
            <w:pPr>
              <w:keepNext/>
              <w:spacing w:after="0"/>
              <w:jc w:val="center"/>
            </w:pPr>
            <w:r>
              <w:rPr>
                <w:rFonts w:ascii="游ゴシック" w:hAnsi="游ゴシック" w:eastAsia="游ゴシック"/>
                <w:b/>
                <w:color w:val="FFFFFF"/>
                <w:sz w:val="18"/>
              </w:rPr>
              <w:t>年報 受給（人／月）</w:t>
            </w:r>
          </w:p>
        </w:tc>
        <w:tc>
          <w:tcPr>
            <w:tcW w:type="dxa" w:w="1247"/>
            <w:shd w:val="clear" w:color="auto" w:fill="1F3864"/>
            <w:vAlign w:val="center"/>
          </w:tcPr>
          <w:p>
            <w:pPr>
              <w:keepNext/>
              <w:spacing w:after="0"/>
              <w:jc w:val="center"/>
            </w:pPr>
            <w:r>
              <w:rPr>
                <w:rFonts w:ascii="游ゴシック" w:hAnsi="游ゴシック" w:eastAsia="游ゴシック"/>
                <w:b/>
                <w:color w:val="FFFFFF"/>
                <w:sz w:val="18"/>
              </w:rPr>
              <w:t>差（在籍−受給）</w:t>
            </w:r>
          </w:p>
        </w:tc>
        <w:tc>
          <w:tcPr>
            <w:tcW w:type="dxa" w:w="3969"/>
            <w:shd w:val="clear" w:color="auto" w:fill="1F3864"/>
            <w:vAlign w:val="center"/>
          </w:tcPr>
          <w:p>
            <w:pPr>
              <w:keepNext/>
              <w:spacing w:after="0"/>
              <w:jc w:val="center"/>
            </w:pPr>
            <w:r>
              <w:rPr>
                <w:rFonts w:ascii="游ゴシック" w:hAnsi="游ゴシック" w:eastAsia="游ゴシック"/>
                <w:b/>
                <w:color w:val="FFFFFF"/>
                <w:sz w:val="18"/>
              </w:rPr>
              <w:t>見方</w:t>
            </w:r>
          </w:p>
        </w:tc>
      </w:tr>
      <w:tr>
        <w:trPr>
          <w:cantSplit/>
        </w:trPr>
        <w:tc>
          <w:tcPr>
            <w:tcW w:type="dxa" w:w="1928"/>
            <w:vAlign w:val="center"/>
          </w:tcPr>
          <w:p>
            <w:pPr>
              <w:keepNext/>
              <w:spacing w:after="0"/>
            </w:pPr>
            <w:r>
              <w:rPr>
                <w:rFonts w:ascii="游ゴシック" w:hAnsi="游ゴシック" w:eastAsia="游ゴシック"/>
                <w:b/>
                <w:sz w:val="18"/>
              </w:rPr>
              <w:t>グループホーム</w:t>
            </w:r>
          </w:p>
        </w:tc>
        <w:tc>
          <w:tcPr>
            <w:tcW w:type="dxa" w:w="1247"/>
            <w:vAlign w:val="center"/>
          </w:tcPr>
          <w:p>
            <w:pPr>
              <w:keepNext/>
              <w:spacing w:after="0"/>
              <w:jc w:val="center"/>
            </w:pPr>
            <w:r>
              <w:rPr>
                <w:rFonts w:ascii="游ゴシック" w:hAnsi="游ゴシック" w:eastAsia="游ゴシック"/>
                <w:b w:val="0"/>
                <w:sz w:val="18"/>
              </w:rPr>
              <w:t>75</w:t>
            </w:r>
          </w:p>
        </w:tc>
        <w:tc>
          <w:tcPr>
            <w:tcW w:type="dxa" w:w="1361"/>
            <w:vAlign w:val="center"/>
          </w:tcPr>
          <w:p>
            <w:pPr>
              <w:keepNext/>
              <w:spacing w:after="0"/>
              <w:jc w:val="center"/>
            </w:pPr>
            <w:r>
              <w:rPr>
                <w:rFonts w:ascii="游ゴシック" w:hAnsi="游ゴシック" w:eastAsia="游ゴシック"/>
                <w:b w:val="0"/>
                <w:sz w:val="18"/>
              </w:rPr>
              <w:t>81.6</w:t>
            </w:r>
          </w:p>
        </w:tc>
        <w:tc>
          <w:tcPr>
            <w:tcW w:type="dxa" w:w="1247"/>
            <w:vAlign w:val="center"/>
          </w:tcPr>
          <w:p>
            <w:pPr>
              <w:keepNext/>
              <w:spacing w:after="0"/>
              <w:jc w:val="center"/>
            </w:pPr>
            <w:r>
              <w:rPr>
                <w:rFonts w:ascii="游ゴシック" w:hAnsi="游ゴシック" w:eastAsia="游ゴシック"/>
                <w:b/>
                <w:sz w:val="18"/>
              </w:rPr>
              <w:t>-6.6</w:t>
            </w:r>
          </w:p>
        </w:tc>
        <w:tc>
          <w:tcPr>
            <w:tcW w:type="dxa" w:w="3969"/>
            <w:vAlign w:val="center"/>
          </w:tcPr>
          <w:p>
            <w:pPr>
              <w:keepNext/>
              <w:spacing w:after="0"/>
            </w:pPr>
            <w:r>
              <w:rPr>
                <w:rFonts w:ascii="游ゴシック" w:hAnsi="游ゴシック" w:eastAsia="游ゴシック"/>
                <w:b w:val="0"/>
                <w:sz w:val="18"/>
              </w:rPr>
              <w:t>受給＞在籍。当広域連合の被保険者が区域外の施設を利用している。区域内の定員では説明できない</w:t>
            </w:r>
          </w:p>
        </w:tc>
      </w:tr>
      <w:tr>
        <w:trPr>
          <w:cantSplit/>
        </w:trPr>
        <w:tc>
          <w:tcPr>
            <w:tcW w:type="dxa" w:w="1928"/>
            <w:shd w:val="clear" w:color="auto" w:fill="F2F5FA"/>
            <w:vAlign w:val="center"/>
          </w:tcPr>
          <w:p>
            <w:pPr>
              <w:keepNext/>
              <w:spacing w:after="0"/>
            </w:pPr>
            <w:r>
              <w:rPr>
                <w:rFonts w:ascii="游ゴシック" w:hAnsi="游ゴシック" w:eastAsia="游ゴシック"/>
                <w:b/>
                <w:sz w:val="18"/>
              </w:rPr>
              <w:t>特定施設</w:t>
            </w:r>
          </w:p>
        </w:tc>
        <w:tc>
          <w:tcPr>
            <w:tcW w:type="dxa" w:w="1247"/>
            <w:shd w:val="clear" w:color="auto" w:fill="F2F5FA"/>
            <w:vAlign w:val="center"/>
          </w:tcPr>
          <w:p>
            <w:pPr>
              <w:keepNext/>
              <w:spacing w:after="0"/>
              <w:jc w:val="center"/>
            </w:pPr>
            <w:r>
              <w:rPr>
                <w:rFonts w:ascii="游ゴシック" w:hAnsi="游ゴシック" w:eastAsia="游ゴシック"/>
                <w:b w:val="0"/>
                <w:sz w:val="18"/>
              </w:rPr>
              <w:t>57</w:t>
            </w:r>
          </w:p>
        </w:tc>
        <w:tc>
          <w:tcPr>
            <w:tcW w:type="dxa" w:w="1361"/>
            <w:shd w:val="clear" w:color="auto" w:fill="F2F5FA"/>
            <w:vAlign w:val="center"/>
          </w:tcPr>
          <w:p>
            <w:pPr>
              <w:keepNext/>
              <w:spacing w:after="0"/>
              <w:jc w:val="center"/>
            </w:pPr>
            <w:r>
              <w:rPr>
                <w:rFonts w:ascii="游ゴシック" w:hAnsi="游ゴシック" w:eastAsia="游ゴシック"/>
                <w:b w:val="0"/>
                <w:sz w:val="18"/>
              </w:rPr>
              <w:t>61.5</w:t>
            </w:r>
          </w:p>
        </w:tc>
        <w:tc>
          <w:tcPr>
            <w:tcW w:type="dxa" w:w="1247"/>
            <w:shd w:val="clear" w:color="auto" w:fill="F2F5FA"/>
            <w:vAlign w:val="center"/>
          </w:tcPr>
          <w:p>
            <w:pPr>
              <w:keepNext/>
              <w:spacing w:after="0"/>
              <w:jc w:val="center"/>
            </w:pPr>
            <w:r>
              <w:rPr>
                <w:rFonts w:ascii="游ゴシック" w:hAnsi="游ゴシック" w:eastAsia="游ゴシック"/>
                <w:b/>
                <w:sz w:val="18"/>
              </w:rPr>
              <w:t>-4.5</w:t>
            </w:r>
          </w:p>
        </w:tc>
        <w:tc>
          <w:tcPr>
            <w:tcW w:type="dxa" w:w="3969"/>
            <w:shd w:val="clear" w:color="auto" w:fill="F2F5FA"/>
            <w:vAlign w:val="center"/>
          </w:tcPr>
          <w:p>
            <w:pPr>
              <w:keepNext/>
              <w:spacing w:after="0"/>
            </w:pPr>
            <w:r>
              <w:rPr>
                <w:rFonts w:ascii="游ゴシック" w:hAnsi="游ゴシック" w:eastAsia="游ゴシック"/>
                <w:b w:val="0"/>
                <w:sz w:val="18"/>
              </w:rPr>
              <w:t>受給＞在籍。当広域連合の被保険者が区域外の施設を利用している。区域内の定員では説明できない</w:t>
            </w:r>
          </w:p>
        </w:tc>
      </w:tr>
      <w:tr>
        <w:trPr>
          <w:cantSplit/>
        </w:trPr>
        <w:tc>
          <w:tcPr>
            <w:tcW w:type="dxa" w:w="1928"/>
            <w:vAlign w:val="center"/>
          </w:tcPr>
          <w:p>
            <w:pPr>
              <w:keepNext/>
              <w:spacing w:after="0"/>
            </w:pPr>
            <w:r>
              <w:rPr>
                <w:rFonts w:ascii="游ゴシック" w:hAnsi="游ゴシック" w:eastAsia="游ゴシック"/>
                <w:b/>
                <w:sz w:val="18"/>
              </w:rPr>
              <w:t>特養・地域密着型特養</w:t>
            </w:r>
          </w:p>
        </w:tc>
        <w:tc>
          <w:tcPr>
            <w:tcW w:type="dxa" w:w="1247"/>
            <w:vAlign w:val="center"/>
          </w:tcPr>
          <w:p>
            <w:pPr>
              <w:keepNext/>
              <w:spacing w:after="0"/>
              <w:jc w:val="center"/>
            </w:pPr>
            <w:r>
              <w:rPr>
                <w:rFonts w:ascii="游ゴシック" w:hAnsi="游ゴシック" w:eastAsia="游ゴシック"/>
                <w:b w:val="0"/>
                <w:sz w:val="18"/>
              </w:rPr>
              <w:t>146</w:t>
            </w:r>
          </w:p>
        </w:tc>
        <w:tc>
          <w:tcPr>
            <w:tcW w:type="dxa" w:w="1361"/>
            <w:vAlign w:val="center"/>
          </w:tcPr>
          <w:p>
            <w:pPr>
              <w:keepNext/>
              <w:spacing w:after="0"/>
              <w:jc w:val="center"/>
            </w:pPr>
            <w:r>
              <w:rPr>
                <w:rFonts w:ascii="游ゴシック" w:hAnsi="游ゴシック" w:eastAsia="游ゴシック"/>
                <w:b w:val="0"/>
                <w:sz w:val="18"/>
              </w:rPr>
              <w:t>197.5</w:t>
            </w:r>
          </w:p>
        </w:tc>
        <w:tc>
          <w:tcPr>
            <w:tcW w:type="dxa" w:w="1247"/>
            <w:vAlign w:val="center"/>
          </w:tcPr>
          <w:p>
            <w:pPr>
              <w:keepNext/>
              <w:spacing w:after="0"/>
              <w:jc w:val="center"/>
            </w:pPr>
            <w:r>
              <w:rPr>
                <w:rFonts w:ascii="游ゴシック" w:hAnsi="游ゴシック" w:eastAsia="游ゴシック"/>
                <w:b/>
                <w:sz w:val="18"/>
              </w:rPr>
              <w:t>-51.5</w:t>
            </w:r>
          </w:p>
        </w:tc>
        <w:tc>
          <w:tcPr>
            <w:tcW w:type="dxa" w:w="3969"/>
            <w:vAlign w:val="center"/>
          </w:tcPr>
          <w:p>
            <w:pPr>
              <w:keepNext/>
              <w:spacing w:after="0"/>
            </w:pPr>
            <w:r>
              <w:rPr>
                <w:rFonts w:ascii="游ゴシック" w:hAnsi="游ゴシック" w:eastAsia="游ゴシック"/>
                <w:b w:val="0"/>
                <w:sz w:val="18"/>
              </w:rPr>
              <w:t>受給＞在籍。当広域連合の被保険者が区域外の施設を利用している。区域内の定員では説明できない</w:t>
            </w:r>
          </w:p>
        </w:tc>
      </w:tr>
      <w:tr>
        <w:trPr>
          <w:cantSplit/>
        </w:trPr>
        <w:tc>
          <w:tcPr>
            <w:tcW w:type="dxa" w:w="1928"/>
            <w:shd w:val="clear" w:color="auto" w:fill="F2F5FA"/>
            <w:vAlign w:val="center"/>
          </w:tcPr>
          <w:p>
            <w:pPr>
              <w:spacing w:after="0"/>
            </w:pPr>
            <w:r>
              <w:rPr>
                <w:rFonts w:ascii="游ゴシック" w:hAnsi="游ゴシック" w:eastAsia="游ゴシック"/>
                <w:b/>
                <w:sz w:val="18"/>
              </w:rPr>
              <w:t>介護老人保健施設</w:t>
            </w:r>
          </w:p>
        </w:tc>
        <w:tc>
          <w:tcPr>
            <w:tcW w:type="dxa" w:w="1247"/>
            <w:shd w:val="clear" w:color="auto" w:fill="F2F5FA"/>
            <w:vAlign w:val="center"/>
          </w:tcPr>
          <w:p>
            <w:pPr>
              <w:spacing w:after="0"/>
              <w:jc w:val="center"/>
            </w:pPr>
            <w:r>
              <w:rPr>
                <w:rFonts w:ascii="游ゴシック" w:hAnsi="游ゴシック" w:eastAsia="游ゴシック"/>
                <w:b w:val="0"/>
                <w:sz w:val="18"/>
              </w:rPr>
              <w:t>206</w:t>
            </w:r>
          </w:p>
        </w:tc>
        <w:tc>
          <w:tcPr>
            <w:tcW w:type="dxa" w:w="1361"/>
            <w:shd w:val="clear" w:color="auto" w:fill="F2F5FA"/>
            <w:vAlign w:val="center"/>
          </w:tcPr>
          <w:p>
            <w:pPr>
              <w:spacing w:after="0"/>
              <w:jc w:val="center"/>
            </w:pPr>
            <w:r>
              <w:rPr>
                <w:rFonts w:ascii="游ゴシック" w:hAnsi="游ゴシック" w:eastAsia="游ゴシック"/>
                <w:b w:val="0"/>
                <w:sz w:val="18"/>
              </w:rPr>
              <w:t>134.1</w:t>
            </w:r>
          </w:p>
        </w:tc>
        <w:tc>
          <w:tcPr>
            <w:tcW w:type="dxa" w:w="1247"/>
            <w:shd w:val="clear" w:color="auto" w:fill="F2F5FA"/>
            <w:vAlign w:val="center"/>
          </w:tcPr>
          <w:p>
            <w:pPr>
              <w:spacing w:after="0"/>
              <w:jc w:val="center"/>
            </w:pPr>
            <w:r>
              <w:rPr>
                <w:rFonts w:ascii="游ゴシック" w:hAnsi="游ゴシック" w:eastAsia="游ゴシック"/>
                <w:b/>
                <w:sz w:val="18"/>
              </w:rPr>
              <w:t>71.9</w:t>
            </w:r>
          </w:p>
        </w:tc>
        <w:tc>
          <w:tcPr>
            <w:tcW w:type="dxa" w:w="3969"/>
            <w:shd w:val="clear" w:color="auto" w:fill="F2F5FA"/>
            <w:vAlign w:val="center"/>
          </w:tcPr>
          <w:p>
            <w:pPr>
              <w:spacing w:after="0"/>
            </w:pPr>
            <w:r>
              <w:rPr>
                <w:rFonts w:ascii="游ゴシック" w:hAnsi="游ゴシック" w:eastAsia="游ゴシック"/>
                <w:b w:val="0"/>
                <w:sz w:val="18"/>
              </w:rPr>
              <w:t>在籍＞受給。区域内の施設に他の保険者の被保険者が入居している（住所地特例を含む）</w:t>
            </w:r>
          </w:p>
        </w:tc>
      </w:tr>
    </w:tbl>
    <w:p>
      <w:pPr>
        <w:spacing w:after="80"/>
      </w:pPr>
      <w:r>
        <w:rPr>
          <w:rFonts w:ascii="游ゴシック" w:hAnsi="游ゴシック" w:eastAsia="游ゴシック"/>
          <w:b/>
          <w:sz w:val="21"/>
        </w:rPr>
        <w:t>介護老人保健施設だけが在籍が受給を上回ります。</w:t>
      </w:r>
      <w:r>
        <w:rPr>
          <w:rFonts w:ascii="游ゴシック" w:hAnsi="游ゴシック" w:eastAsia="游ゴシック"/>
          <w:b w:val="0"/>
          <w:sz w:val="21"/>
        </w:rPr>
        <w:t>他保険者の被保険者を受け入れているためです（新規205人・退去213人で回転が速いことも確かめました）。特別養護老人ホーム等は逆に受給（197.5人／月）が回答施設の定員（152人）を上回ります（区域外の施設の利用と、未回答13施設によるものです）。</w:t>
      </w:r>
    </w:p>
    <w:p>
      <w:pPr>
        <w:spacing w:after="80"/>
      </w:pPr>
      <w:r>
        <w:rPr>
          <w:rFonts w:ascii="游ゴシック" w:hAnsi="游ゴシック" w:eastAsia="游ゴシック"/>
          <w:b w:val="0"/>
          <w:sz w:val="21"/>
        </w:rPr>
        <w:t>このことから、</w:t>
      </w:r>
      <w:r>
        <w:rPr>
          <w:rFonts w:ascii="游ゴシック" w:hAnsi="游ゴシック" w:eastAsia="游ゴシック"/>
          <w:b/>
          <w:sz w:val="21"/>
        </w:rPr>
        <w:t>必要利用定員総数は区域内の施設の定員とは別に整理する必要があります</w:t>
      </w:r>
      <w:r>
        <w:rPr>
          <w:rFonts w:ascii="游ゴシック" w:hAnsi="游ゴシック" w:eastAsia="游ゴシック"/>
          <w:b w:val="0"/>
          <w:sz w:val="21"/>
        </w:rPr>
        <w:t>（確認事項No.88・No.141）。区域内の定員は当広域連合の被保険者にとっての上限ではありません。</w:t>
      </w:r>
    </w:p>
    <w:p>
      <w:pPr>
        <w:ind w:left="227"/>
      </w:pPr>
      <w:r>
        <w:rPr>
          <w:rFonts w:ascii="游ゴシック" w:hAnsi="游ゴシック" w:eastAsia="游ゴシック"/>
          <w:b w:val="0"/>
          <w:sz w:val="18"/>
        </w:rPr>
        <w:t>※ 在籍は要介護度が判明した方の数です。調査②は13施設が未回答であり（把握率58.1％）、区域内の施設の在籍者の全部ではありません。</w:t>
      </w:r>
    </w:p>
    <w:p>
      <w:pPr>
        <w:keepNext/>
        <w:spacing w:before="180" w:after="60"/>
      </w:pPr>
      <w:r>
        <w:rPr>
          <w:rFonts w:ascii="游ゴシック" w:hAnsi="游ゴシック" w:eastAsia="游ゴシック"/>
          <w:b/>
          <w:sz w:val="22"/>
        </w:rPr>
        <w:t>3　施設・居住系サービスの見込量</w:t>
      </w:r>
    </w:p>
    <w:p>
      <w:pPr>
        <w:spacing w:after="80"/>
      </w:pPr>
      <w:r>
        <w:rPr>
          <w:rFonts w:ascii="游ゴシック" w:hAnsi="游ゴシック" w:eastAsia="游ゴシック"/>
          <w:b w:val="0"/>
          <w:sz w:val="21"/>
        </w:rPr>
        <w:t>報告書に載せていた見込量を、計画素案 第6章（サービス見込量の算定 第1次概算）の値に改めました。</w:t>
      </w:r>
      <w:r>
        <w:rPr>
          <w:rFonts w:ascii="游ゴシック" w:hAnsi="游ゴシック" w:eastAsia="游ゴシック"/>
          <w:b/>
          <w:sz w:val="21"/>
        </w:rPr>
        <w:t>従前は将来推計 第2段階の値のままで、素案と別の答えが並んでいました。</w:t>
      </w:r>
      <w:r>
        <w:rPr>
          <w:rFonts w:ascii="游ゴシック" w:hAnsi="游ゴシック" w:eastAsia="游ゴシック"/>
          <w:b w:val="0"/>
          <w:sz w:val="21"/>
        </w:rPr>
        <w:t>現在は計画素案と同じ値です。</w:t>
      </w:r>
    </w:p>
    <w:p>
      <w:pPr>
        <w:keepNext/>
        <w:spacing w:before="160" w:after="40"/>
      </w:pPr>
      <w:r>
        <w:rPr>
          <w:rFonts w:ascii="游ゴシック" w:hAnsi="游ゴシック" w:eastAsia="游ゴシック"/>
          <w:b/>
          <w:sz w:val="20"/>
        </w:rPr>
        <w:t>表8　施設・居住系サービスの見込量と区域内定員（人／月）</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1928"/>
            <w:shd w:val="clear" w:color="auto" w:fill="1F3864"/>
            <w:vAlign w:val="center"/>
          </w:tcPr>
          <w:p>
            <w:pPr>
              <w:keepNext/>
              <w:spacing w:after="0"/>
              <w:jc w:val="center"/>
            </w:pPr>
            <w:r>
              <w:rPr>
                <w:rFonts w:ascii="游ゴシック" w:hAnsi="游ゴシック" w:eastAsia="游ゴシック"/>
                <w:b/>
                <w:color w:val="FFFFFF"/>
                <w:sz w:val="18"/>
              </w:rPr>
              <w:t>区分</w:t>
            </w:r>
          </w:p>
        </w:tc>
        <w:tc>
          <w:tcPr>
            <w:tcW w:type="dxa" w:w="1814"/>
            <w:shd w:val="clear" w:color="auto" w:fill="1F3864"/>
            <w:vAlign w:val="center"/>
          </w:tcPr>
          <w:p>
            <w:pPr>
              <w:keepNext/>
              <w:spacing w:after="0"/>
              <w:jc w:val="center"/>
            </w:pPr>
            <w:r>
              <w:rPr>
                <w:rFonts w:ascii="游ゴシック" w:hAnsi="游ゴシック" w:eastAsia="游ゴシック"/>
                <w:b/>
                <w:color w:val="FFFFFF"/>
                <w:sz w:val="18"/>
              </w:rPr>
              <w:t>令和7年度（実績）</w:t>
            </w:r>
          </w:p>
        </w:tc>
        <w:tc>
          <w:tcPr>
            <w:tcW w:type="dxa" w:w="1928"/>
            <w:shd w:val="clear" w:color="auto" w:fill="1F3864"/>
            <w:vAlign w:val="center"/>
          </w:tcPr>
          <w:p>
            <w:pPr>
              <w:keepNext/>
              <w:spacing w:after="0"/>
              <w:jc w:val="center"/>
            </w:pPr>
            <w:r>
              <w:rPr>
                <w:rFonts w:ascii="游ゴシック" w:hAnsi="游ゴシック" w:eastAsia="游ゴシック"/>
                <w:b/>
                <w:color w:val="FFFFFF"/>
                <w:sz w:val="18"/>
              </w:rPr>
              <w:t>令和11年度（見込み）</w:t>
            </w:r>
          </w:p>
        </w:tc>
        <w:tc>
          <w:tcPr>
            <w:tcW w:type="dxa" w:w="1361"/>
            <w:shd w:val="clear" w:color="auto" w:fill="1F3864"/>
            <w:vAlign w:val="center"/>
          </w:tcPr>
          <w:p>
            <w:pPr>
              <w:keepNext/>
              <w:spacing w:after="0"/>
              <w:jc w:val="center"/>
            </w:pPr>
            <w:r>
              <w:rPr>
                <w:rFonts w:ascii="游ゴシック" w:hAnsi="游ゴシック" w:eastAsia="游ゴシック"/>
                <w:b/>
                <w:color w:val="FFFFFF"/>
                <w:sz w:val="18"/>
              </w:rPr>
              <w:t>区域内定員</w:t>
            </w:r>
          </w:p>
        </w:tc>
        <w:tc>
          <w:tcPr>
            <w:tcW w:type="dxa" w:w="1701"/>
            <w:shd w:val="clear" w:color="auto" w:fill="1F3864"/>
            <w:vAlign w:val="center"/>
          </w:tcPr>
          <w:p>
            <w:pPr>
              <w:keepNext/>
              <w:spacing w:after="0"/>
              <w:jc w:val="center"/>
            </w:pPr>
            <w:r>
              <w:rPr>
                <w:rFonts w:ascii="游ゴシック" w:hAnsi="游ゴシック" w:eastAsia="游ゴシック"/>
                <w:b/>
                <w:color w:val="FFFFFF"/>
                <w:sz w:val="18"/>
              </w:rPr>
              <w:t>定員に対する割合</w:t>
            </w:r>
          </w:p>
        </w:tc>
      </w:tr>
      <w:tr>
        <w:trPr>
          <w:cantSplit/>
        </w:trPr>
        <w:tc>
          <w:tcPr>
            <w:tcW w:type="dxa" w:w="1928"/>
            <w:vAlign w:val="center"/>
          </w:tcPr>
          <w:p>
            <w:pPr>
              <w:keepNext/>
              <w:spacing w:after="0"/>
            </w:pPr>
            <w:r>
              <w:rPr>
                <w:rFonts w:ascii="游ゴシック" w:hAnsi="游ゴシック" w:eastAsia="游ゴシック"/>
                <w:b/>
                <w:sz w:val="18"/>
              </w:rPr>
              <w:t>施設サービス</w:t>
            </w:r>
          </w:p>
        </w:tc>
        <w:tc>
          <w:tcPr>
            <w:tcW w:type="dxa" w:w="1814"/>
            <w:vAlign w:val="center"/>
          </w:tcPr>
          <w:p>
            <w:pPr>
              <w:keepNext/>
              <w:spacing w:after="0"/>
              <w:jc w:val="center"/>
            </w:pPr>
            <w:r>
              <w:rPr>
                <w:rFonts w:ascii="游ゴシック" w:hAnsi="游ゴシック" w:eastAsia="游ゴシック"/>
                <w:b w:val="0"/>
                <w:sz w:val="18"/>
              </w:rPr>
              <w:t>337.1</w:t>
            </w:r>
          </w:p>
        </w:tc>
        <w:tc>
          <w:tcPr>
            <w:tcW w:type="dxa" w:w="1928"/>
            <w:vAlign w:val="center"/>
          </w:tcPr>
          <w:p>
            <w:pPr>
              <w:keepNext/>
              <w:spacing w:after="0"/>
              <w:jc w:val="center"/>
            </w:pPr>
            <w:r>
              <w:rPr>
                <w:rFonts w:ascii="游ゴシック" w:hAnsi="游ゴシック" w:eastAsia="游ゴシック"/>
                <w:b w:val="0"/>
                <w:sz w:val="18"/>
              </w:rPr>
              <w:t>352.3</w:t>
            </w:r>
          </w:p>
        </w:tc>
        <w:tc>
          <w:tcPr>
            <w:tcW w:type="dxa" w:w="1361"/>
            <w:vAlign w:val="center"/>
          </w:tcPr>
          <w:p>
            <w:pPr>
              <w:keepNext/>
              <w:spacing w:after="0"/>
              <w:jc w:val="center"/>
            </w:pPr>
            <w:r>
              <w:rPr>
                <w:rFonts w:ascii="游ゴシック" w:hAnsi="游ゴシック" w:eastAsia="游ゴシック"/>
                <w:b w:val="0"/>
                <w:sz w:val="18"/>
              </w:rPr>
              <w:t>462</w:t>
            </w:r>
          </w:p>
        </w:tc>
        <w:tc>
          <w:tcPr>
            <w:tcW w:type="dxa" w:w="1701"/>
            <w:vAlign w:val="center"/>
          </w:tcPr>
          <w:p>
            <w:pPr>
              <w:keepNext/>
              <w:spacing w:after="0"/>
              <w:jc w:val="center"/>
            </w:pPr>
            <w:r>
              <w:rPr>
                <w:rFonts w:ascii="游ゴシック" w:hAnsi="游ゴシック" w:eastAsia="游ゴシック"/>
                <w:b/>
                <w:sz w:val="18"/>
              </w:rPr>
              <w:t>76.3％</w:t>
            </w:r>
          </w:p>
        </w:tc>
      </w:tr>
      <w:tr>
        <w:trPr>
          <w:cantSplit/>
        </w:trPr>
        <w:tc>
          <w:tcPr>
            <w:tcW w:type="dxa" w:w="1928"/>
            <w:shd w:val="clear" w:color="auto" w:fill="F2F5FA"/>
            <w:vAlign w:val="center"/>
          </w:tcPr>
          <w:p>
            <w:pPr>
              <w:keepNext/>
              <w:spacing w:after="0"/>
            </w:pPr>
            <w:r>
              <w:rPr>
                <w:rFonts w:ascii="游ゴシック" w:hAnsi="游ゴシック" w:eastAsia="游ゴシック"/>
                <w:b/>
                <w:sz w:val="18"/>
              </w:rPr>
              <w:t>居住系サービス</w:t>
            </w:r>
          </w:p>
        </w:tc>
        <w:tc>
          <w:tcPr>
            <w:tcW w:type="dxa" w:w="1814"/>
            <w:shd w:val="clear" w:color="auto" w:fill="F2F5FA"/>
            <w:vAlign w:val="center"/>
          </w:tcPr>
          <w:p>
            <w:pPr>
              <w:keepNext/>
              <w:spacing w:after="0"/>
              <w:jc w:val="center"/>
            </w:pPr>
            <w:r>
              <w:rPr>
                <w:rFonts w:ascii="游ゴシック" w:hAnsi="游ゴシック" w:eastAsia="游ゴシック"/>
                <w:b w:val="0"/>
                <w:sz w:val="18"/>
              </w:rPr>
              <w:t>143.1</w:t>
            </w:r>
          </w:p>
        </w:tc>
        <w:tc>
          <w:tcPr>
            <w:tcW w:type="dxa" w:w="1928"/>
            <w:shd w:val="clear" w:color="auto" w:fill="F2F5FA"/>
            <w:vAlign w:val="center"/>
          </w:tcPr>
          <w:p>
            <w:pPr>
              <w:keepNext/>
              <w:spacing w:after="0"/>
              <w:jc w:val="center"/>
            </w:pPr>
            <w:r>
              <w:rPr>
                <w:rFonts w:ascii="游ゴシック" w:hAnsi="游ゴシック" w:eastAsia="游ゴシック"/>
                <w:b w:val="0"/>
                <w:sz w:val="18"/>
              </w:rPr>
              <w:t>149.4</w:t>
            </w:r>
          </w:p>
        </w:tc>
        <w:tc>
          <w:tcPr>
            <w:tcW w:type="dxa" w:w="1361"/>
            <w:shd w:val="clear" w:color="auto" w:fill="F2F5FA"/>
            <w:vAlign w:val="center"/>
          </w:tcPr>
          <w:p>
            <w:pPr>
              <w:keepNext/>
              <w:spacing w:after="0"/>
              <w:jc w:val="center"/>
            </w:pPr>
            <w:r>
              <w:rPr>
                <w:rFonts w:ascii="游ゴシック" w:hAnsi="游ゴシック" w:eastAsia="游ゴシック"/>
                <w:b w:val="0"/>
                <w:sz w:val="18"/>
              </w:rPr>
              <w:t>255</w:t>
            </w:r>
          </w:p>
        </w:tc>
        <w:tc>
          <w:tcPr>
            <w:tcW w:type="dxa" w:w="1701"/>
            <w:shd w:val="clear" w:color="auto" w:fill="F2F5FA"/>
            <w:vAlign w:val="center"/>
          </w:tcPr>
          <w:p>
            <w:pPr>
              <w:keepNext/>
              <w:spacing w:after="0"/>
              <w:jc w:val="center"/>
            </w:pPr>
            <w:r>
              <w:rPr>
                <w:rFonts w:ascii="游ゴシック" w:hAnsi="游ゴシック" w:eastAsia="游ゴシック"/>
                <w:b/>
                <w:sz w:val="18"/>
              </w:rPr>
              <w:t>58.6％</w:t>
            </w:r>
          </w:p>
        </w:tc>
      </w:tr>
      <w:tr>
        <w:trPr>
          <w:cantSplit/>
        </w:trPr>
        <w:tc>
          <w:tcPr>
            <w:tcW w:type="dxa" w:w="1928"/>
            <w:vAlign w:val="center"/>
          </w:tcPr>
          <w:p>
            <w:pPr>
              <w:spacing w:after="0"/>
            </w:pPr>
            <w:r>
              <w:rPr>
                <w:rFonts w:ascii="游ゴシック" w:hAnsi="游ゴシック" w:eastAsia="游ゴシック"/>
                <w:b/>
                <w:sz w:val="18"/>
              </w:rPr>
              <w:t>施設・居住系　計</w:t>
            </w:r>
          </w:p>
        </w:tc>
        <w:tc>
          <w:tcPr>
            <w:tcW w:type="dxa" w:w="1814"/>
            <w:vAlign w:val="center"/>
          </w:tcPr>
          <w:p>
            <w:pPr>
              <w:spacing w:after="0"/>
              <w:jc w:val="center"/>
            </w:pPr>
            <w:r>
              <w:rPr>
                <w:rFonts w:ascii="游ゴシック" w:hAnsi="游ゴシック" w:eastAsia="游ゴシック"/>
                <w:b w:val="0"/>
                <w:sz w:val="18"/>
              </w:rPr>
              <w:t>480.2</w:t>
            </w:r>
          </w:p>
        </w:tc>
        <w:tc>
          <w:tcPr>
            <w:tcW w:type="dxa" w:w="1928"/>
            <w:vAlign w:val="center"/>
          </w:tcPr>
          <w:p>
            <w:pPr>
              <w:spacing w:after="0"/>
              <w:jc w:val="center"/>
            </w:pPr>
            <w:r>
              <w:rPr>
                <w:rFonts w:ascii="游ゴシック" w:hAnsi="游ゴシック" w:eastAsia="游ゴシック"/>
                <w:b w:val="0"/>
                <w:sz w:val="18"/>
              </w:rPr>
              <w:t>501.7</w:t>
            </w:r>
          </w:p>
        </w:tc>
        <w:tc>
          <w:tcPr>
            <w:tcW w:type="dxa" w:w="1361"/>
            <w:vAlign w:val="center"/>
          </w:tcPr>
          <w:p>
            <w:pPr>
              <w:spacing w:after="0"/>
              <w:jc w:val="center"/>
            </w:pPr>
            <w:r>
              <w:rPr>
                <w:rFonts w:ascii="游ゴシック" w:hAnsi="游ゴシック" w:eastAsia="游ゴシック"/>
                <w:b w:val="0"/>
                <w:sz w:val="18"/>
              </w:rPr>
              <w:t>717</w:t>
            </w:r>
          </w:p>
        </w:tc>
        <w:tc>
          <w:tcPr>
            <w:tcW w:type="dxa" w:w="1701"/>
            <w:vAlign w:val="center"/>
          </w:tcPr>
          <w:p>
            <w:pPr>
              <w:spacing w:after="0"/>
              <w:jc w:val="center"/>
            </w:pPr>
            <w:r>
              <w:rPr>
                <w:rFonts w:ascii="游ゴシック" w:hAnsi="游ゴシック" w:eastAsia="游ゴシック"/>
                <w:b/>
                <w:sz w:val="18"/>
              </w:rPr>
              <w:t>70.0％</w:t>
            </w:r>
          </w:p>
        </w:tc>
      </w:tr>
    </w:tbl>
    <w:p>
      <w:pPr>
        <w:spacing w:after="80"/>
      </w:pPr>
      <w:r>
        <w:rPr>
          <w:rFonts w:ascii="游ゴシック" w:hAnsi="游ゴシック" w:eastAsia="游ゴシック"/>
          <w:b/>
          <w:sz w:val="21"/>
        </w:rPr>
        <w:t>合計では定員に収まる見込みですが、種別ごとに見ると様子が違います。</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地域密着型介護老人福祉施設入所者生活介護は令和11年度に定員62人の99.9％に達する見込みです。</w:t>
      </w:r>
      <w:r>
        <w:rPr>
          <w:rFonts w:ascii="游ゴシック" w:hAnsi="游ゴシック" w:eastAsia="游ゴシック"/>
          <w:b w:val="0"/>
          <w:sz w:val="21"/>
        </w:rPr>
        <w:t>中長期の推計では、定員を超えるのは令和12年度と見込まれます。いずれも令和7年度の利用率を固定した算定による見込値です。</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特定施設は区域内3施設とも入居率が高くなっています</w:t>
      </w:r>
      <w:r>
        <w:rPr>
          <w:rFonts w:ascii="游ゴシック" w:hAnsi="游ゴシック" w:eastAsia="游ゴシック"/>
          <w:b w:val="0"/>
          <w:sz w:val="21"/>
        </w:rPr>
        <w:t>（回答2施設98.3％・令和7年4月1日現在、公表データによる1施設97.0％・令和7年10月6日現在。所見20）。時点が異なるため、合計の入居率（定員156人に対し入居者154人・98.7％）は参考値です。一方、当広域連合の被保険者の受給は令和7年度で61.5人／月であり、定員の39.4％にとどまります。</w:t>
      </w:r>
      <w:r>
        <w:rPr>
          <w:rFonts w:ascii="游ゴシック" w:hAnsi="游ゴシック" w:eastAsia="游ゴシック"/>
          <w:b/>
          <w:sz w:val="21"/>
        </w:rPr>
        <w:t>区域内の施設の高い入居率と、当広域連合の被保険者にとっての充足は別のことです。</w:t>
      </w:r>
      <w:r>
        <w:rPr>
          <w:rFonts w:ascii="游ゴシック" w:hAnsi="游ゴシック" w:eastAsia="游ゴシック"/>
          <w:b w:val="0"/>
          <w:sz w:val="21"/>
        </w:rPr>
        <w:t>なお入居者154人のうち97人は未回答の1施設（定員100人）の値であり、令和7年10月6日現在の別時点のものです（所見19・確認事項No.32）。</w:t>
      </w:r>
    </w:p>
    <w:p>
      <w:pPr>
        <w:spacing w:after="60"/>
        <w:ind w:left="340" w:hanging="340"/>
      </w:pPr>
      <w:r>
        <w:rPr>
          <w:rFonts w:ascii="游ゴシック" w:hAnsi="游ゴシック" w:eastAsia="游ゴシック"/>
          <w:b w:val="0"/>
          <w:sz w:val="21"/>
        </w:rPr>
        <w:t>・介護老人保健施設・介護老人福祉施設は令和11年度に定員内に収まる見込みです。ただし特別養護老人ホームの待機者は別に存在します（所見17）。</w:t>
      </w:r>
    </w:p>
    <w:p>
      <w:pPr>
        <w:ind w:left="227"/>
      </w:pPr>
      <w:r>
        <w:rPr>
          <w:rFonts w:ascii="游ゴシック" w:hAnsi="游ゴシック" w:eastAsia="游ゴシック"/>
          <w:b w:val="0"/>
          <w:sz w:val="18"/>
        </w:rPr>
        <w:t>※ 見込量は別冊「サービス見込量の算定 第1次概算」によるものであり、計画素案 第6章と同じ値です。</w:t>
      </w:r>
    </w:p>
    <w:p>
      <w:pPr>
        <w:keepNext/>
        <w:pageBreakBefore w:val="0"/>
        <w:spacing w:before="280" w:after="120"/>
      </w:pPr>
      <w:r>
        <w:rPr>
          <w:rFonts w:ascii="游ゴシック" w:hAnsi="游ゴシック" w:eastAsia="游ゴシック"/>
          <w:b/>
          <w:color w:val="1F3864"/>
          <w:sz w:val="26"/>
        </w:rPr>
        <w:t>第7節　調査から把握した地域課題</w:t>
      </w:r>
    </w:p>
    <w:p>
      <w:pPr>
        <w:spacing w:after="80"/>
      </w:pPr>
      <w:r>
        <w:rPr>
          <w:rFonts w:ascii="游ゴシック" w:hAnsi="游ゴシック" w:eastAsia="游ゴシック"/>
          <w:b w:val="0"/>
          <w:sz w:val="21"/>
        </w:rPr>
        <w:t>仕様書４（3）は集計・分析に加えて</w:t>
      </w:r>
      <w:r>
        <w:rPr>
          <w:rFonts w:ascii="游ゴシック" w:hAnsi="游ゴシック" w:eastAsia="游ゴシック"/>
          <w:b/>
          <w:sz w:val="21"/>
        </w:rPr>
        <w:t>課題整理</w:t>
      </w:r>
      <w:r>
        <w:rPr>
          <w:rFonts w:ascii="游ゴシック" w:hAnsi="游ゴシック" w:eastAsia="游ゴシック"/>
          <w:b w:val="0"/>
          <w:sz w:val="21"/>
        </w:rPr>
        <w:t>を求めています。調査から把握した課題を、供給の側から見えることと突き合わせて整理しました。</w:t>
      </w:r>
    </w:p>
    <w:p>
      <w:pPr>
        <w:keepNext/>
        <w:spacing w:before="180" w:after="60"/>
      </w:pPr>
      <w:r>
        <w:rPr>
          <w:rFonts w:ascii="游ゴシック" w:hAnsi="游ゴシック" w:eastAsia="游ゴシック"/>
          <w:b/>
          <w:sz w:val="22"/>
        </w:rPr>
        <w:t>1　認定者の利用状況</w:t>
      </w:r>
    </w:p>
    <w:p>
      <w:pPr>
        <w:spacing w:after="80"/>
      </w:pPr>
      <w:r>
        <w:rPr>
          <w:rFonts w:ascii="游ゴシック" w:hAnsi="游ゴシック" w:eastAsia="游ゴシック"/>
          <w:b w:val="0"/>
          <w:sz w:val="21"/>
        </w:rPr>
        <w:t>認定者1,984人（令和7年度末）がどのサービスを使っているかを</w:t>
      </w:r>
      <w:r>
        <w:rPr>
          <w:rFonts w:ascii="游ゴシック" w:hAnsi="游ゴシック" w:eastAsia="游ゴシック"/>
          <w:b/>
          <w:sz w:val="21"/>
        </w:rPr>
        <w:t>推計</w:t>
      </w:r>
      <w:r>
        <w:rPr>
          <w:rFonts w:ascii="游ゴシック" w:hAnsi="游ゴシック" w:eastAsia="游ゴシック"/>
          <w:b w:val="0"/>
          <w:sz w:val="21"/>
        </w:rPr>
        <w:t>しました。年報の認定者数に、令和7年度の利用率（地域包括ケア「見える化」システム D45系列）を乗じたものです。</w:t>
      </w:r>
      <w:r>
        <w:rPr>
          <w:rFonts w:ascii="游ゴシック" w:hAnsi="游ゴシック" w:eastAsia="游ゴシック"/>
          <w:b/>
          <w:sz w:val="21"/>
        </w:rPr>
        <w:t>受給者の実人数を数えたものではありません。</w:t>
      </w:r>
    </w:p>
    <w:p>
      <w:pPr>
        <w:keepNext/>
        <w:spacing w:before="160" w:after="40"/>
      </w:pPr>
      <w:r>
        <w:rPr>
          <w:rFonts w:ascii="游ゴシック" w:hAnsi="游ゴシック" w:eastAsia="游ゴシック"/>
          <w:b/>
          <w:sz w:val="20"/>
        </w:rPr>
        <w:t>表9　認定者の利用状況（令和7年度）　推計</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041"/>
            <w:shd w:val="clear" w:color="auto" w:fill="1F3864"/>
            <w:vAlign w:val="center"/>
          </w:tcPr>
          <w:p>
            <w:pPr>
              <w:keepNext/>
              <w:spacing w:after="0"/>
              <w:jc w:val="center"/>
            </w:pPr>
            <w:r>
              <w:rPr>
                <w:rFonts w:ascii="游ゴシック" w:hAnsi="游ゴシック" w:eastAsia="游ゴシック"/>
                <w:b/>
                <w:color w:val="FFFFFF"/>
                <w:sz w:val="18"/>
              </w:rPr>
              <w:t>区分</w:t>
            </w:r>
          </w:p>
        </w:tc>
        <w:tc>
          <w:tcPr>
            <w:tcW w:type="dxa" w:w="1247"/>
            <w:shd w:val="clear" w:color="auto" w:fill="1F3864"/>
            <w:vAlign w:val="center"/>
          </w:tcPr>
          <w:p>
            <w:pPr>
              <w:keepNext/>
              <w:spacing w:after="0"/>
              <w:jc w:val="center"/>
            </w:pPr>
            <w:r>
              <w:rPr>
                <w:rFonts w:ascii="游ゴシック" w:hAnsi="游ゴシック" w:eastAsia="游ゴシック"/>
                <w:b/>
                <w:color w:val="FFFFFF"/>
                <w:sz w:val="18"/>
              </w:rPr>
              <w:t>推計人数</w:t>
            </w:r>
          </w:p>
        </w:tc>
        <w:tc>
          <w:tcPr>
            <w:tcW w:type="dxa" w:w="1701"/>
            <w:shd w:val="clear" w:color="auto" w:fill="1F3864"/>
            <w:vAlign w:val="center"/>
          </w:tcPr>
          <w:p>
            <w:pPr>
              <w:keepNext/>
              <w:spacing w:after="0"/>
              <w:jc w:val="center"/>
            </w:pPr>
            <w:r>
              <w:rPr>
                <w:rFonts w:ascii="游ゴシック" w:hAnsi="游ゴシック" w:eastAsia="游ゴシック"/>
                <w:b/>
                <w:color w:val="FFFFFF"/>
                <w:sz w:val="18"/>
              </w:rPr>
              <w:t>認定者に対する割合</w:t>
            </w:r>
          </w:p>
        </w:tc>
        <w:tc>
          <w:tcPr>
            <w:tcW w:type="dxa" w:w="4649"/>
            <w:shd w:val="clear" w:color="auto" w:fill="1F3864"/>
            <w:vAlign w:val="center"/>
          </w:tcPr>
          <w:p>
            <w:pPr>
              <w:keepNext/>
              <w:spacing w:after="0"/>
              <w:jc w:val="center"/>
            </w:pPr>
            <w:r>
              <w:rPr>
                <w:rFonts w:ascii="游ゴシック" w:hAnsi="游ゴシック" w:eastAsia="游ゴシック"/>
                <w:b/>
                <w:color w:val="FFFFFF"/>
                <w:sz w:val="18"/>
              </w:rPr>
              <w:t>見方</w:t>
            </w:r>
          </w:p>
        </w:tc>
      </w:tr>
      <w:tr>
        <w:trPr>
          <w:cantSplit/>
        </w:trPr>
        <w:tc>
          <w:tcPr>
            <w:tcW w:type="dxa" w:w="2041"/>
            <w:vAlign w:val="center"/>
          </w:tcPr>
          <w:p>
            <w:pPr>
              <w:keepNext/>
              <w:spacing w:after="0"/>
            </w:pPr>
            <w:r>
              <w:rPr>
                <w:rFonts w:ascii="游ゴシック" w:hAnsi="游ゴシック" w:eastAsia="游ゴシック"/>
                <w:b/>
                <w:sz w:val="18"/>
              </w:rPr>
              <w:t>在宅サービス</w:t>
            </w:r>
          </w:p>
        </w:tc>
        <w:tc>
          <w:tcPr>
            <w:tcW w:type="dxa" w:w="1247"/>
            <w:vAlign w:val="center"/>
          </w:tcPr>
          <w:p>
            <w:pPr>
              <w:keepNext/>
              <w:spacing w:after="0"/>
              <w:jc w:val="center"/>
            </w:pPr>
            <w:r>
              <w:rPr>
                <w:rFonts w:ascii="游ゴシック" w:hAnsi="游ゴシック" w:eastAsia="游ゴシック"/>
                <w:b w:val="0"/>
                <w:sz w:val="18"/>
              </w:rPr>
              <w:t>1,016人</w:t>
            </w:r>
          </w:p>
        </w:tc>
        <w:tc>
          <w:tcPr>
            <w:tcW w:type="dxa" w:w="1701"/>
            <w:vAlign w:val="center"/>
          </w:tcPr>
          <w:p>
            <w:pPr>
              <w:keepNext/>
              <w:spacing w:after="0"/>
              <w:jc w:val="center"/>
            </w:pPr>
            <w:r>
              <w:rPr>
                <w:rFonts w:ascii="游ゴシック" w:hAnsi="游ゴシック" w:eastAsia="游ゴシック"/>
                <w:b/>
                <w:sz w:val="18"/>
              </w:rPr>
              <w:t>51.2％</w:t>
            </w:r>
          </w:p>
        </w:tc>
        <w:tc>
          <w:tcPr>
            <w:tcW w:type="dxa" w:w="4649"/>
            <w:vAlign w:val="center"/>
          </w:tcPr>
          <w:p>
            <w:pPr>
              <w:keepNext/>
              <w:spacing w:after="0"/>
            </w:pPr>
            <w:r>
              <w:rPr>
                <w:rFonts w:ascii="游ゴシック" w:hAnsi="游ゴシック" w:eastAsia="游ゴシック"/>
                <w:b w:val="0"/>
                <w:sz w:val="18"/>
              </w:rPr>
              <w:t>訪問・通所・短期入所等</w:t>
            </w:r>
          </w:p>
        </w:tc>
      </w:tr>
      <w:tr>
        <w:trPr>
          <w:cantSplit/>
        </w:trPr>
        <w:tc>
          <w:tcPr>
            <w:tcW w:type="dxa" w:w="2041"/>
            <w:shd w:val="clear" w:color="auto" w:fill="F2F5FA"/>
            <w:vAlign w:val="center"/>
          </w:tcPr>
          <w:p>
            <w:pPr>
              <w:keepNext/>
              <w:spacing w:after="0"/>
            </w:pPr>
            <w:r>
              <w:rPr>
                <w:rFonts w:ascii="游ゴシック" w:hAnsi="游ゴシック" w:eastAsia="游ゴシック"/>
                <w:b/>
                <w:sz w:val="18"/>
              </w:rPr>
              <w:t>居住系サービス</w:t>
            </w:r>
          </w:p>
        </w:tc>
        <w:tc>
          <w:tcPr>
            <w:tcW w:type="dxa" w:w="1247"/>
            <w:shd w:val="clear" w:color="auto" w:fill="F2F5FA"/>
            <w:vAlign w:val="center"/>
          </w:tcPr>
          <w:p>
            <w:pPr>
              <w:keepNext/>
              <w:spacing w:after="0"/>
              <w:jc w:val="center"/>
            </w:pPr>
            <w:r>
              <w:rPr>
                <w:rFonts w:ascii="游ゴシック" w:hAnsi="游ゴシック" w:eastAsia="游ゴシック"/>
                <w:b w:val="0"/>
                <w:sz w:val="18"/>
              </w:rPr>
              <w:t>145人</w:t>
            </w:r>
          </w:p>
        </w:tc>
        <w:tc>
          <w:tcPr>
            <w:tcW w:type="dxa" w:w="1701"/>
            <w:shd w:val="clear" w:color="auto" w:fill="F2F5FA"/>
            <w:vAlign w:val="center"/>
          </w:tcPr>
          <w:p>
            <w:pPr>
              <w:keepNext/>
              <w:spacing w:after="0"/>
              <w:jc w:val="center"/>
            </w:pPr>
            <w:r>
              <w:rPr>
                <w:rFonts w:ascii="游ゴシック" w:hAnsi="游ゴシック" w:eastAsia="游ゴシック"/>
                <w:b/>
                <w:sz w:val="18"/>
              </w:rPr>
              <w:t>7.3％</w:t>
            </w:r>
          </w:p>
        </w:tc>
        <w:tc>
          <w:tcPr>
            <w:tcW w:type="dxa" w:w="4649"/>
            <w:shd w:val="clear" w:color="auto" w:fill="F2F5FA"/>
            <w:vAlign w:val="center"/>
          </w:tcPr>
          <w:p>
            <w:pPr>
              <w:keepNext/>
              <w:spacing w:after="0"/>
            </w:pPr>
            <w:r>
              <w:rPr>
                <w:rFonts w:ascii="游ゴシック" w:hAnsi="游ゴシック" w:eastAsia="游ゴシック"/>
                <w:b w:val="0"/>
                <w:sz w:val="18"/>
              </w:rPr>
              <w:t>グループホーム・特定施設</w:t>
            </w:r>
          </w:p>
        </w:tc>
      </w:tr>
      <w:tr>
        <w:trPr>
          <w:cantSplit/>
        </w:trPr>
        <w:tc>
          <w:tcPr>
            <w:tcW w:type="dxa" w:w="2041"/>
            <w:vAlign w:val="center"/>
          </w:tcPr>
          <w:p>
            <w:pPr>
              <w:keepNext/>
              <w:spacing w:after="0"/>
            </w:pPr>
            <w:r>
              <w:rPr>
                <w:rFonts w:ascii="游ゴシック" w:hAnsi="游ゴシック" w:eastAsia="游ゴシック"/>
                <w:b/>
                <w:sz w:val="18"/>
              </w:rPr>
              <w:t>施設サービス</w:t>
            </w:r>
          </w:p>
        </w:tc>
        <w:tc>
          <w:tcPr>
            <w:tcW w:type="dxa" w:w="1247"/>
            <w:vAlign w:val="center"/>
          </w:tcPr>
          <w:p>
            <w:pPr>
              <w:keepNext/>
              <w:spacing w:after="0"/>
              <w:jc w:val="center"/>
            </w:pPr>
            <w:r>
              <w:rPr>
                <w:rFonts w:ascii="游ゴシック" w:hAnsi="游ゴシック" w:eastAsia="游ゴシック"/>
                <w:b w:val="0"/>
                <w:sz w:val="18"/>
              </w:rPr>
              <w:t>337人</w:t>
            </w:r>
          </w:p>
        </w:tc>
        <w:tc>
          <w:tcPr>
            <w:tcW w:type="dxa" w:w="1701"/>
            <w:vAlign w:val="center"/>
          </w:tcPr>
          <w:p>
            <w:pPr>
              <w:keepNext/>
              <w:spacing w:after="0"/>
              <w:jc w:val="center"/>
            </w:pPr>
            <w:r>
              <w:rPr>
                <w:rFonts w:ascii="游ゴシック" w:hAnsi="游ゴシック" w:eastAsia="游ゴシック"/>
                <w:b/>
                <w:sz w:val="18"/>
              </w:rPr>
              <w:t>17.0％</w:t>
            </w:r>
          </w:p>
        </w:tc>
        <w:tc>
          <w:tcPr>
            <w:tcW w:type="dxa" w:w="4649"/>
            <w:vAlign w:val="center"/>
          </w:tcPr>
          <w:p>
            <w:pPr>
              <w:keepNext/>
              <w:spacing w:after="0"/>
            </w:pPr>
            <w:r>
              <w:rPr>
                <w:rFonts w:ascii="游ゴシック" w:hAnsi="游ゴシック" w:eastAsia="游ゴシック"/>
                <w:b w:val="0"/>
                <w:sz w:val="18"/>
              </w:rPr>
              <w:t>特養・老健・地域密着型特養</w:t>
            </w:r>
          </w:p>
        </w:tc>
      </w:tr>
      <w:tr>
        <w:trPr>
          <w:cantSplit/>
        </w:trPr>
        <w:tc>
          <w:tcPr>
            <w:tcW w:type="dxa" w:w="2041"/>
            <w:shd w:val="clear" w:color="auto" w:fill="F2F5FA"/>
            <w:vAlign w:val="center"/>
          </w:tcPr>
          <w:p>
            <w:pPr>
              <w:spacing w:after="0"/>
            </w:pPr>
            <w:r>
              <w:rPr>
                <w:rFonts w:ascii="游ゴシック" w:hAnsi="游ゴシック" w:eastAsia="游ゴシック"/>
                <w:b/>
                <w:sz w:val="18"/>
              </w:rPr>
              <w:t>いずれも利用していない</w:t>
            </w:r>
          </w:p>
        </w:tc>
        <w:tc>
          <w:tcPr>
            <w:tcW w:type="dxa" w:w="1247"/>
            <w:shd w:val="clear" w:color="auto" w:fill="F2F5FA"/>
            <w:vAlign w:val="center"/>
          </w:tcPr>
          <w:p>
            <w:pPr>
              <w:spacing w:after="0"/>
              <w:jc w:val="center"/>
            </w:pPr>
            <w:r>
              <w:rPr>
                <w:rFonts w:ascii="游ゴシック" w:hAnsi="游ゴシック" w:eastAsia="游ゴシック"/>
                <w:b w:val="0"/>
                <w:sz w:val="18"/>
              </w:rPr>
              <w:t>486人</w:t>
            </w:r>
          </w:p>
        </w:tc>
        <w:tc>
          <w:tcPr>
            <w:tcW w:type="dxa" w:w="1701"/>
            <w:shd w:val="clear" w:color="auto" w:fill="F2F5FA"/>
            <w:vAlign w:val="center"/>
          </w:tcPr>
          <w:p>
            <w:pPr>
              <w:spacing w:after="0"/>
              <w:jc w:val="center"/>
            </w:pPr>
            <w:r>
              <w:rPr>
                <w:rFonts w:ascii="游ゴシック" w:hAnsi="游ゴシック" w:eastAsia="游ゴシック"/>
                <w:b/>
                <w:sz w:val="18"/>
              </w:rPr>
              <w:t>24.5％</w:t>
            </w:r>
          </w:p>
        </w:tc>
        <w:tc>
          <w:tcPr>
            <w:tcW w:type="dxa" w:w="4649"/>
            <w:shd w:val="clear" w:color="auto" w:fill="F2F5FA"/>
            <w:vAlign w:val="center"/>
          </w:tcPr>
          <w:p>
            <w:pPr>
              <w:spacing w:after="0"/>
            </w:pPr>
            <w:r>
              <w:rPr>
                <w:rFonts w:ascii="游ゴシック" w:hAnsi="游ゴシック" w:eastAsia="游ゴシック"/>
                <w:b w:val="0"/>
                <w:sz w:val="18"/>
              </w:rPr>
              <w:t>認定者1,984人の4分の1。健康とくらしの調査の「介護・介助が必要だが受けていない7.0％」とは別の集団であり、合算しない。内訳（資料依頼No.8）の受領後に要因を分解する</w:t>
            </w:r>
          </w:p>
        </w:tc>
      </w:tr>
    </w:tbl>
    <w:p>
      <w:pPr>
        <w:spacing w:after="80"/>
      </w:pPr>
      <w:r>
        <w:rPr>
          <w:rFonts w:ascii="游ゴシック" w:hAnsi="游ゴシック" w:eastAsia="游ゴシック"/>
          <w:b/>
          <w:sz w:val="21"/>
        </w:rPr>
        <w:t>推計では、認定を受けながらいずれのサービスも利用していない方が認定者の4分の1を占めます。</w:t>
      </w:r>
      <w:r>
        <w:rPr>
          <w:rFonts w:ascii="游ゴシック" w:hAnsi="游ゴシック" w:eastAsia="游ゴシック"/>
          <w:b w:val="0"/>
          <w:sz w:val="21"/>
        </w:rPr>
        <w:t>この方々の内訳（区分支給限度額の範囲内で使っていないのか、入院中なのか、給付管理の時点の差なのか）は年報からは分かれません。内訳の資料をいただければ要因を分解できます（資料提供依頼No.8）。</w:t>
      </w:r>
    </w:p>
    <w:p>
      <w:pPr>
        <w:ind w:left="227"/>
      </w:pPr>
      <w:r>
        <w:rPr>
          <w:rFonts w:ascii="游ゴシック" w:hAnsi="游ゴシック" w:eastAsia="游ゴシック"/>
          <w:b w:val="0"/>
          <w:sz w:val="18"/>
        </w:rPr>
        <w:t>※ 上表は利用率を乗じた推計値であり、月平均の受給者実績（在宅1,013人ほか）とは算定の方法が異なるため一致しません。区分ごとの人数を確定した値としては用いません。</w:t>
      </w:r>
    </w:p>
    <w:p>
      <w:pPr>
        <w:ind w:left="227"/>
      </w:pPr>
      <w:r>
        <w:rPr>
          <w:rFonts w:ascii="游ゴシック" w:hAnsi="游ゴシック" w:eastAsia="游ゴシック"/>
          <w:b w:val="0"/>
          <w:sz w:val="18"/>
        </w:rPr>
        <w:t>※ 健康とくらしの調査の「介護・介助が必要だが受けていない」（7.0％）とは</w:t>
      </w:r>
      <w:r>
        <w:rPr>
          <w:rFonts w:ascii="游ゴシック" w:hAnsi="游ゴシック" w:eastAsia="游ゴシック"/>
          <w:b/>
          <w:sz w:val="18"/>
        </w:rPr>
        <w:t>別の集団です</w:t>
      </w:r>
      <w:r>
        <w:rPr>
          <w:rFonts w:ascii="游ゴシック" w:hAnsi="游ゴシック" w:eastAsia="游ゴシック"/>
          <w:b w:val="0"/>
          <w:sz w:val="18"/>
        </w:rPr>
        <w:t>（同調査は要支援者・要介護者を含みません）。合算しません。</w:t>
      </w:r>
    </w:p>
    <w:p>
      <w:pPr>
        <w:keepNext/>
        <w:spacing w:before="180" w:after="60"/>
      </w:pPr>
      <w:r>
        <w:rPr>
          <w:rFonts w:ascii="游ゴシック" w:hAnsi="游ゴシック" w:eastAsia="游ゴシック"/>
          <w:b/>
          <w:sz w:val="22"/>
        </w:rPr>
        <w:t>2　調査で示されたことと、供給構造の側から見えること</w:t>
      </w:r>
    </w:p>
    <w:p>
      <w:pPr>
        <w:keepNext/>
        <w:spacing w:before="160" w:after="40"/>
      </w:pPr>
      <w:r>
        <w:rPr>
          <w:rFonts w:ascii="游ゴシック" w:hAnsi="游ゴシック" w:eastAsia="游ゴシック"/>
          <w:b/>
          <w:sz w:val="20"/>
        </w:rPr>
        <w:t>表10　調査結果と供給構造の接続</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835"/>
            <w:shd w:val="clear" w:color="auto" w:fill="1F3864"/>
            <w:vAlign w:val="center"/>
          </w:tcPr>
          <w:p>
            <w:pPr>
              <w:keepNext/>
              <w:spacing w:after="0"/>
              <w:jc w:val="center"/>
            </w:pPr>
            <w:r>
              <w:rPr>
                <w:rFonts w:ascii="游ゴシック" w:hAnsi="游ゴシック" w:eastAsia="游ゴシック"/>
                <w:b/>
                <w:color w:val="FFFFFF"/>
                <w:sz w:val="18"/>
              </w:rPr>
              <w:t>調査で示されたこと</w:t>
            </w:r>
          </w:p>
        </w:tc>
        <w:tc>
          <w:tcPr>
            <w:tcW w:type="dxa" w:w="3061"/>
            <w:shd w:val="clear" w:color="auto" w:fill="1F3864"/>
            <w:vAlign w:val="center"/>
          </w:tcPr>
          <w:p>
            <w:pPr>
              <w:keepNext/>
              <w:spacing w:after="0"/>
              <w:jc w:val="center"/>
            </w:pPr>
            <w:r>
              <w:rPr>
                <w:rFonts w:ascii="游ゴシック" w:hAnsi="游ゴシック" w:eastAsia="游ゴシック"/>
                <w:b/>
                <w:color w:val="FFFFFF"/>
                <w:sz w:val="18"/>
              </w:rPr>
              <w:t>供給構造の側から見えること</w:t>
            </w:r>
          </w:p>
        </w:tc>
        <w:tc>
          <w:tcPr>
            <w:tcW w:type="dxa" w:w="3855"/>
            <w:shd w:val="clear" w:color="auto" w:fill="1F3864"/>
            <w:vAlign w:val="center"/>
          </w:tcPr>
          <w:p>
            <w:pPr>
              <w:keepNext/>
              <w:spacing w:after="0"/>
              <w:jc w:val="center"/>
            </w:pPr>
            <w:r>
              <w:rPr>
                <w:rFonts w:ascii="游ゴシック" w:hAnsi="游ゴシック" w:eastAsia="游ゴシック"/>
                <w:b/>
                <w:color w:val="FFFFFF"/>
                <w:sz w:val="18"/>
              </w:rPr>
              <w:t>計画での扱い</w:t>
            </w:r>
          </w:p>
        </w:tc>
      </w:tr>
      <w:tr>
        <w:trPr>
          <w:cantSplit/>
        </w:trPr>
        <w:tc>
          <w:tcPr>
            <w:tcW w:type="dxa" w:w="2835"/>
            <w:vAlign w:val="center"/>
          </w:tcPr>
          <w:p>
            <w:pPr>
              <w:keepNext/>
              <w:spacing w:after="0"/>
            </w:pPr>
            <w:r>
              <w:rPr>
                <w:rFonts w:ascii="游ゴシック" w:hAnsi="游ゴシック" w:eastAsia="游ゴシック"/>
                <w:b w:val="0"/>
                <w:sz w:val="18"/>
              </w:rPr>
              <w:t>利用者票で必要とされた生活支援の最多は外出同行（51件・51.5％）である</w:t>
            </w:r>
          </w:p>
        </w:tc>
        <w:tc>
          <w:tcPr>
            <w:tcW w:type="dxa" w:w="3061"/>
            <w:vAlign w:val="center"/>
          </w:tcPr>
          <w:p>
            <w:pPr>
              <w:keepNext/>
              <w:spacing w:after="0"/>
            </w:pPr>
            <w:r>
              <w:rPr>
                <w:rFonts w:ascii="游ゴシック" w:hAnsi="游ゴシック" w:eastAsia="游ゴシック"/>
                <w:b w:val="0"/>
                <w:sz w:val="18"/>
              </w:rPr>
              <w:t>訪問系13事業所のうち美瑛町を実施地域とするのは4事業所である。健康とくらしの調査では自力移動の手段がない層が20％台にある。</w:t>
            </w:r>
          </w:p>
        </w:tc>
        <w:tc>
          <w:tcPr>
            <w:tcW w:type="dxa" w:w="3855"/>
            <w:vAlign w:val="center"/>
          </w:tcPr>
          <w:p>
            <w:pPr>
              <w:keepNext/>
              <w:spacing w:after="0"/>
            </w:pPr>
            <w:r>
              <w:rPr>
                <w:rFonts w:ascii="游ゴシック" w:hAnsi="游ゴシック" w:eastAsia="游ゴシック"/>
                <w:b/>
                <w:sz w:val="18"/>
              </w:rPr>
              <w:t>移動の確保を第5章基本目標2の重点に位置づける。介護保険の給付では担えない部分は生活支援体制整備事業による</w:t>
            </w:r>
          </w:p>
        </w:tc>
      </w:tr>
      <w:tr>
        <w:trPr>
          <w:cantSplit/>
        </w:trPr>
        <w:tc>
          <w:tcPr>
            <w:tcW w:type="dxa" w:w="2835"/>
            <w:shd w:val="clear" w:color="auto" w:fill="F2F5FA"/>
            <w:vAlign w:val="center"/>
          </w:tcPr>
          <w:p>
            <w:pPr>
              <w:keepNext/>
              <w:spacing w:after="0"/>
            </w:pPr>
            <w:r>
              <w:rPr>
                <w:rFonts w:ascii="游ゴシック" w:hAnsi="游ゴシック" w:eastAsia="游ゴシック"/>
                <w:b w:val="0"/>
                <w:sz w:val="18"/>
              </w:rPr>
              <w:t>利用者票で夜間対応型・定期巡回・看多機が計26件挙げられた</w:t>
            </w:r>
          </w:p>
        </w:tc>
        <w:tc>
          <w:tcPr>
            <w:tcW w:type="dxa" w:w="3061"/>
            <w:shd w:val="clear" w:color="auto" w:fill="F2F5FA"/>
            <w:vAlign w:val="center"/>
          </w:tcPr>
          <w:p>
            <w:pPr>
              <w:keepNext/>
              <w:spacing w:after="0"/>
            </w:pPr>
            <w:r>
              <w:rPr>
                <w:rFonts w:ascii="游ゴシック" w:hAnsi="游ゴシック" w:eastAsia="游ゴシック"/>
                <w:b w:val="0"/>
                <w:sz w:val="18"/>
              </w:rPr>
              <w:t>この3サービスは区域内に事業所がなく、受給率も0.0％である。</w:t>
            </w:r>
          </w:p>
        </w:tc>
        <w:tc>
          <w:tcPr>
            <w:tcW w:type="dxa" w:w="3855"/>
            <w:shd w:val="clear" w:color="auto" w:fill="F2F5FA"/>
            <w:vAlign w:val="center"/>
          </w:tcPr>
          <w:p>
            <w:pPr>
              <w:keepNext/>
              <w:spacing w:after="0"/>
            </w:pPr>
            <w:r>
              <w:rPr>
                <w:rFonts w:ascii="游ゴシック" w:hAnsi="游ゴシック" w:eastAsia="游ゴシック"/>
                <w:b/>
                <w:sz w:val="18"/>
              </w:rPr>
              <w:t>第6章第4節（24時間対応サービスの確保方策）の根拠とする。整備するか、既存の訪問介護・訪問看護の連携で代替するかを決める</w:t>
            </w:r>
          </w:p>
        </w:tc>
      </w:tr>
      <w:tr>
        <w:trPr>
          <w:cantSplit/>
        </w:trPr>
        <w:tc>
          <w:tcPr>
            <w:tcW w:type="dxa" w:w="2835"/>
            <w:vAlign w:val="center"/>
          </w:tcPr>
          <w:p>
            <w:pPr>
              <w:keepNext/>
              <w:spacing w:after="0"/>
            </w:pPr>
            <w:r>
              <w:rPr>
                <w:rFonts w:ascii="游ゴシック" w:hAnsi="游ゴシック" w:eastAsia="游ゴシック"/>
                <w:b w:val="0"/>
                <w:sz w:val="18"/>
              </w:rPr>
              <w:t>居所変更実態調査で新規入所の57.0％が病院・診療所からである</w:t>
            </w:r>
          </w:p>
        </w:tc>
        <w:tc>
          <w:tcPr>
            <w:tcW w:type="dxa" w:w="3061"/>
            <w:vAlign w:val="center"/>
          </w:tcPr>
          <w:p>
            <w:pPr>
              <w:keepNext/>
              <w:spacing w:after="0"/>
            </w:pPr>
            <w:r>
              <w:rPr>
                <w:rFonts w:ascii="游ゴシック" w:hAnsi="游ゴシック" w:eastAsia="游ゴシック"/>
                <w:b w:val="0"/>
                <w:sz w:val="18"/>
              </w:rPr>
              <w:t>老健3施設240人が区域内の中間施設として機能している。在宅への復帰か施設入所かの分岐点が医療機関にある。</w:t>
            </w:r>
          </w:p>
        </w:tc>
        <w:tc>
          <w:tcPr>
            <w:tcW w:type="dxa" w:w="3855"/>
            <w:vAlign w:val="center"/>
          </w:tcPr>
          <w:p>
            <w:pPr>
              <w:keepNext/>
              <w:spacing w:after="0"/>
            </w:pPr>
            <w:r>
              <w:rPr>
                <w:rFonts w:ascii="游ゴシック" w:hAnsi="游ゴシック" w:eastAsia="游ゴシック"/>
                <w:b/>
                <w:sz w:val="18"/>
              </w:rPr>
              <w:t>第6章第5節（医療と介護の連携）の根拠とする</w:t>
            </w:r>
          </w:p>
        </w:tc>
      </w:tr>
      <w:tr>
        <w:trPr>
          <w:cantSplit/>
        </w:trPr>
        <w:tc>
          <w:tcPr>
            <w:tcW w:type="dxa" w:w="2835"/>
            <w:shd w:val="clear" w:color="auto" w:fill="F2F5FA"/>
            <w:vAlign w:val="center"/>
          </w:tcPr>
          <w:p>
            <w:pPr>
              <w:keepNext/>
              <w:spacing w:after="0"/>
            </w:pPr>
            <w:r>
              <w:rPr>
                <w:rFonts w:ascii="游ゴシック" w:hAnsi="游ゴシック" w:eastAsia="游ゴシック"/>
                <w:b w:val="0"/>
                <w:sz w:val="18"/>
              </w:rPr>
              <w:t>介護人材実態調査で介護職員の33.3％が見える化で把握できないサービスに従事している</w:t>
            </w:r>
          </w:p>
        </w:tc>
        <w:tc>
          <w:tcPr>
            <w:tcW w:type="dxa" w:w="3061"/>
            <w:shd w:val="clear" w:color="auto" w:fill="F2F5FA"/>
            <w:vAlign w:val="center"/>
          </w:tcPr>
          <w:p>
            <w:pPr>
              <w:keepNext/>
              <w:spacing w:after="0"/>
            </w:pPr>
            <w:r>
              <w:rPr>
                <w:rFonts w:ascii="游ゴシック" w:hAnsi="游ゴシック" w:eastAsia="游ゴシック"/>
                <w:b w:val="0"/>
                <w:sz w:val="18"/>
              </w:rPr>
              <w:t>グループホーム7・特定施設3・住宅型有料9・サ高住2・軽費1の22施設が該当する。うち調査に回答したのは一部にとどまる。</w:t>
            </w:r>
          </w:p>
        </w:tc>
        <w:tc>
          <w:tcPr>
            <w:tcW w:type="dxa" w:w="3855"/>
            <w:shd w:val="clear" w:color="auto" w:fill="F2F5FA"/>
            <w:vAlign w:val="center"/>
          </w:tcPr>
          <w:p>
            <w:pPr>
              <w:keepNext/>
              <w:spacing w:after="0"/>
            </w:pPr>
            <w:r>
              <w:rPr>
                <w:rFonts w:ascii="游ゴシック" w:hAnsi="游ゴシック" w:eastAsia="游ゴシック"/>
                <w:b/>
                <w:sz w:val="18"/>
              </w:rPr>
              <w:t>第2章第6節では、把握範囲を明記したうえで記述する。本調査を継続する意義を第10期に位置づける</w:t>
            </w:r>
          </w:p>
        </w:tc>
      </w:tr>
      <w:tr>
        <w:trPr>
          <w:cantSplit/>
        </w:trPr>
        <w:tc>
          <w:tcPr>
            <w:tcW w:type="dxa" w:w="2835"/>
            <w:vAlign w:val="center"/>
          </w:tcPr>
          <w:p>
            <w:pPr>
              <w:spacing w:after="0"/>
            </w:pPr>
            <w:r>
              <w:rPr>
                <w:rFonts w:ascii="游ゴシック" w:hAnsi="游ゴシック" w:eastAsia="游ゴシック"/>
                <w:b w:val="0"/>
                <w:sz w:val="18"/>
              </w:rPr>
              <w:t>利用者票で小規模多機能が最多（44件）に挙げられた</w:t>
            </w:r>
          </w:p>
        </w:tc>
        <w:tc>
          <w:tcPr>
            <w:tcW w:type="dxa" w:w="3061"/>
            <w:vAlign w:val="center"/>
          </w:tcPr>
          <w:p>
            <w:pPr>
              <w:spacing w:after="0"/>
            </w:pPr>
            <w:r>
              <w:rPr>
                <w:rFonts w:ascii="游ゴシック" w:hAnsi="游ゴシック" w:eastAsia="游ゴシック"/>
                <w:b w:val="0"/>
                <w:sz w:val="18"/>
              </w:rPr>
              <w:t>区域内の小規模多機能5事業所はすべて1法人が美瑛町で運営し、東川町・東神楽町を実施地域とするのは1事業所のみである。</w:t>
            </w:r>
          </w:p>
        </w:tc>
        <w:tc>
          <w:tcPr>
            <w:tcW w:type="dxa" w:w="3855"/>
            <w:vAlign w:val="center"/>
          </w:tcPr>
          <w:p>
            <w:pPr>
              <w:spacing w:after="0"/>
            </w:pPr>
            <w:r>
              <w:rPr>
                <w:rFonts w:ascii="游ゴシック" w:hAnsi="游ゴシック" w:eastAsia="游ゴシック"/>
                <w:b/>
                <w:sz w:val="18"/>
              </w:rPr>
              <w:t>第6章第2節の見込量は町別の実施地域を踏まえて設定する。件数をそのまま需要の強さと読まない</w:t>
            </w:r>
          </w:p>
        </w:tc>
      </w:tr>
    </w:tbl>
    <w:p>
      <w:pPr>
        <w:spacing w:after="80"/>
      </w:pPr>
      <w:r>
        <w:rPr>
          <w:rFonts w:ascii="游ゴシック" w:hAnsi="游ゴシック" w:eastAsia="游ゴシック"/>
          <w:sz w:val="21"/>
        </w:rPr>
      </w:r>
    </w:p>
    <w:p>
      <w:pPr>
        <w:spacing w:after="80"/>
      </w:pPr>
      <w:r>
        <w:rPr>
          <w:rFonts w:ascii="游ゴシック" w:hAnsi="游ゴシック" w:eastAsia="游ゴシック"/>
          <w:b/>
          <w:sz w:val="21"/>
        </w:rPr>
        <w:t>課題は、量の不足だけではなく、供給の偏りと担い手の把握範囲にあります。</w:t>
      </w:r>
      <w:r>
        <w:rPr>
          <w:rFonts w:ascii="游ゴシック" w:hAnsi="游ゴシック" w:eastAsia="游ゴシック"/>
          <w:b w:val="0"/>
          <w:sz w:val="21"/>
        </w:rPr>
        <w:t>24時間対応の3サービスは区域内に事業所がなく、小規模多機能は5事業所すべてを1法人が運営し、訪問系13事業所のうち美瑛町を実施地域とするのは4事業所です。介護職員の33.3％は見える化システムでは把握できないサービスに従事しています。</w:t>
      </w:r>
    </w:p>
    <w:p>
      <w:pPr>
        <w:keepNext/>
        <w:spacing w:before="180" w:after="60"/>
      </w:pPr>
      <w:r>
        <w:rPr>
          <w:rFonts w:ascii="游ゴシック" w:hAnsi="游ゴシック" w:eastAsia="游ゴシック"/>
          <w:b/>
          <w:sz w:val="22"/>
        </w:rPr>
        <w:t>3　課題と第5章 基本目標の対応</w:t>
      </w:r>
    </w:p>
    <w:p>
      <w:pPr>
        <w:keepNext/>
        <w:spacing w:before="160" w:after="40"/>
      </w:pPr>
      <w:r>
        <w:rPr>
          <w:rFonts w:ascii="游ゴシック" w:hAnsi="游ゴシック" w:eastAsia="游ゴシック"/>
          <w:b/>
          <w:sz w:val="20"/>
        </w:rPr>
        <w:t>表11　調査から把握した課題と反映先</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1814"/>
            <w:shd w:val="clear" w:color="auto" w:fill="1F3864"/>
            <w:vAlign w:val="center"/>
          </w:tcPr>
          <w:p>
            <w:pPr>
              <w:keepNext/>
              <w:spacing w:after="0"/>
              <w:jc w:val="center"/>
            </w:pPr>
            <w:r>
              <w:rPr>
                <w:rFonts w:ascii="游ゴシック" w:hAnsi="游ゴシック" w:eastAsia="游ゴシック"/>
                <w:b/>
                <w:color w:val="FFFFFF"/>
                <w:sz w:val="18"/>
              </w:rPr>
              <w:t>課題</w:t>
            </w:r>
          </w:p>
        </w:tc>
        <w:tc>
          <w:tcPr>
            <w:tcW w:type="dxa" w:w="680"/>
            <w:shd w:val="clear" w:color="auto" w:fill="1F3864"/>
            <w:vAlign w:val="center"/>
          </w:tcPr>
          <w:p>
            <w:pPr>
              <w:keepNext/>
              <w:spacing w:after="0"/>
              <w:jc w:val="center"/>
            </w:pPr>
            <w:r>
              <w:rPr>
                <w:rFonts w:ascii="游ゴシック" w:hAnsi="游ゴシック" w:eastAsia="游ゴシック"/>
                <w:b/>
                <w:color w:val="FFFFFF"/>
                <w:sz w:val="18"/>
              </w:rPr>
              <w:t>所見</w:t>
            </w:r>
          </w:p>
        </w:tc>
        <w:tc>
          <w:tcPr>
            <w:tcW w:type="dxa" w:w="3628"/>
            <w:shd w:val="clear" w:color="auto" w:fill="1F3864"/>
            <w:vAlign w:val="center"/>
          </w:tcPr>
          <w:p>
            <w:pPr>
              <w:keepNext/>
              <w:spacing w:after="0"/>
              <w:jc w:val="center"/>
            </w:pPr>
            <w:r>
              <w:rPr>
                <w:rFonts w:ascii="游ゴシック" w:hAnsi="游ゴシック" w:eastAsia="游ゴシック"/>
                <w:b/>
                <w:color w:val="FFFFFF"/>
                <w:sz w:val="18"/>
              </w:rPr>
              <w:t>根拠（数値）</w:t>
            </w:r>
          </w:p>
        </w:tc>
        <w:tc>
          <w:tcPr>
            <w:tcW w:type="dxa" w:w="2041"/>
            <w:shd w:val="clear" w:color="auto" w:fill="1F3864"/>
            <w:vAlign w:val="center"/>
          </w:tcPr>
          <w:p>
            <w:pPr>
              <w:keepNext/>
              <w:spacing w:after="0"/>
              <w:jc w:val="center"/>
            </w:pPr>
            <w:r>
              <w:rPr>
                <w:rFonts w:ascii="游ゴシック" w:hAnsi="游ゴシック" w:eastAsia="游ゴシック"/>
                <w:b/>
                <w:color w:val="FFFFFF"/>
                <w:sz w:val="18"/>
              </w:rPr>
              <w:t>計画素案の反映先</w:t>
            </w:r>
          </w:p>
        </w:tc>
        <w:tc>
          <w:tcPr>
            <w:tcW w:type="dxa" w:w="907"/>
            <w:shd w:val="clear" w:color="auto" w:fill="1F3864"/>
            <w:vAlign w:val="center"/>
          </w:tcPr>
          <w:p>
            <w:pPr>
              <w:keepNext/>
              <w:spacing w:after="0"/>
              <w:jc w:val="center"/>
            </w:pPr>
            <w:r>
              <w:rPr>
                <w:rFonts w:ascii="游ゴシック" w:hAnsi="游ゴシック" w:eastAsia="游ゴシック"/>
                <w:b/>
                <w:color w:val="FFFFFF"/>
                <w:sz w:val="18"/>
              </w:rPr>
              <w:t>状態</w:t>
            </w:r>
          </w:p>
        </w:tc>
      </w:tr>
      <w:tr>
        <w:trPr>
          <w:cantSplit/>
        </w:trPr>
        <w:tc>
          <w:tcPr>
            <w:tcW w:type="dxa" w:w="1814"/>
            <w:vAlign w:val="center"/>
          </w:tcPr>
          <w:p>
            <w:pPr>
              <w:keepNext/>
              <w:spacing w:after="0"/>
            </w:pPr>
            <w:r>
              <w:rPr>
                <w:rFonts w:ascii="游ゴシック" w:hAnsi="游ゴシック" w:eastAsia="游ゴシック"/>
                <w:b/>
                <w:sz w:val="18"/>
              </w:rPr>
              <w:t>移動と外出の確保（生活支援）</w:t>
            </w:r>
          </w:p>
        </w:tc>
        <w:tc>
          <w:tcPr>
            <w:tcW w:type="dxa" w:w="680"/>
            <w:vAlign w:val="center"/>
          </w:tcPr>
          <w:p>
            <w:pPr>
              <w:keepNext/>
              <w:spacing w:after="0"/>
              <w:jc w:val="center"/>
            </w:pPr>
            <w:r>
              <w:rPr>
                <w:rFonts w:ascii="游ゴシック" w:hAnsi="游ゴシック" w:eastAsia="游ゴシック"/>
                <w:b w:val="0"/>
                <w:sz w:val="18"/>
              </w:rPr>
              <w:t>No.7</w:t>
            </w:r>
          </w:p>
        </w:tc>
        <w:tc>
          <w:tcPr>
            <w:tcW w:type="dxa" w:w="3628"/>
            <w:vAlign w:val="center"/>
          </w:tcPr>
          <w:p>
            <w:pPr>
              <w:keepNext/>
              <w:spacing w:after="0"/>
            </w:pPr>
            <w:r>
              <w:rPr>
                <w:rFonts w:ascii="游ゴシック" w:hAnsi="游ゴシック" w:eastAsia="游ゴシック"/>
                <w:b w:val="0"/>
                <w:sz w:val="18"/>
              </w:rPr>
              <w:t>利用者票99票のうち外出同行51件（51.5％）、見守り34件、通いの場34件。</w:t>
            </w:r>
          </w:p>
        </w:tc>
        <w:tc>
          <w:tcPr>
            <w:tcW w:type="dxa" w:w="2041"/>
            <w:vAlign w:val="center"/>
          </w:tcPr>
          <w:p>
            <w:pPr>
              <w:keepNext/>
              <w:spacing w:after="0"/>
            </w:pPr>
            <w:r>
              <w:rPr>
                <w:rFonts w:ascii="游ゴシック" w:hAnsi="游ゴシック" w:eastAsia="游ゴシック"/>
                <w:b w:val="0"/>
                <w:sz w:val="18"/>
              </w:rPr>
              <w:t>第2章第5節・第5章 基本目標2</w:t>
            </w:r>
          </w:p>
        </w:tc>
        <w:tc>
          <w:tcPr>
            <w:tcW w:type="dxa" w:w="907"/>
            <w:vAlign w:val="center"/>
          </w:tcPr>
          <w:p>
            <w:pPr>
              <w:keepNext/>
              <w:spacing w:after="0"/>
              <w:jc w:val="center"/>
            </w:pPr>
            <w:r>
              <w:rPr>
                <w:rFonts w:ascii="游ゴシック" w:hAnsi="游ゴシック" w:eastAsia="游ゴシック"/>
                <w:b/>
                <w:sz w:val="18"/>
              </w:rPr>
              <w:t>反映済</w:t>
            </w:r>
          </w:p>
        </w:tc>
      </w:tr>
      <w:tr>
        <w:trPr>
          <w:cantSplit/>
        </w:trPr>
        <w:tc>
          <w:tcPr>
            <w:tcW w:type="dxa" w:w="1814"/>
            <w:shd w:val="clear" w:color="auto" w:fill="F2F5FA"/>
            <w:vAlign w:val="center"/>
          </w:tcPr>
          <w:p>
            <w:pPr>
              <w:keepNext/>
              <w:spacing w:after="0"/>
            </w:pPr>
            <w:r>
              <w:rPr>
                <w:rFonts w:ascii="游ゴシック" w:hAnsi="游ゴシック" w:eastAsia="游ゴシック"/>
                <w:b/>
                <w:sz w:val="18"/>
              </w:rPr>
              <w:t>外出と社会参加（他保険者との比較）</w:t>
            </w:r>
          </w:p>
        </w:tc>
        <w:tc>
          <w:tcPr>
            <w:tcW w:type="dxa" w:w="680"/>
            <w:shd w:val="clear" w:color="auto" w:fill="F2F5FA"/>
            <w:vAlign w:val="center"/>
          </w:tcPr>
          <w:p>
            <w:pPr>
              <w:keepNext/>
              <w:spacing w:after="0"/>
              <w:jc w:val="center"/>
            </w:pPr>
            <w:r>
              <w:rPr>
                <w:rFonts w:ascii="游ゴシック" w:hAnsi="游ゴシック" w:eastAsia="游ゴシック"/>
                <w:b w:val="0"/>
                <w:sz w:val="18"/>
              </w:rPr>
              <w:t>No.9</w:t>
            </w:r>
          </w:p>
        </w:tc>
        <w:tc>
          <w:tcPr>
            <w:tcW w:type="dxa" w:w="3628"/>
            <w:shd w:val="clear" w:color="auto" w:fill="F2F5FA"/>
            <w:vAlign w:val="center"/>
          </w:tcPr>
          <w:p>
            <w:pPr>
              <w:keepNext/>
              <w:spacing w:after="0"/>
            </w:pPr>
            <w:r>
              <w:rPr>
                <w:rFonts w:ascii="游ゴシック" w:hAnsi="游ゴシック" w:eastAsia="游ゴシック"/>
                <w:b w:val="0"/>
                <w:sz w:val="18"/>
              </w:rPr>
              <w:t>友人知人と会う頻度が高い者63.0％（同規模71.2％）。転倒35.5％（同30.0％）、口腔機能低下24.7％（同21.8％）。</w:t>
            </w:r>
          </w:p>
        </w:tc>
        <w:tc>
          <w:tcPr>
            <w:tcW w:type="dxa" w:w="2041"/>
            <w:shd w:val="clear" w:color="auto" w:fill="F2F5FA"/>
            <w:vAlign w:val="center"/>
          </w:tcPr>
          <w:p>
            <w:pPr>
              <w:keepNext/>
              <w:spacing w:after="0"/>
            </w:pPr>
            <w:r>
              <w:rPr>
                <w:rFonts w:ascii="游ゴシック" w:hAnsi="游ゴシック" w:eastAsia="游ゴシック"/>
                <w:b w:val="0"/>
                <w:sz w:val="18"/>
              </w:rPr>
              <w:t>第2章第4節・第5章 基本目標1・2</w:t>
            </w:r>
          </w:p>
        </w:tc>
        <w:tc>
          <w:tcPr>
            <w:tcW w:type="dxa" w:w="907"/>
            <w:shd w:val="clear" w:color="auto" w:fill="F2F5FA"/>
            <w:vAlign w:val="center"/>
          </w:tcPr>
          <w:p>
            <w:pPr>
              <w:keepNext/>
              <w:spacing w:after="0"/>
              <w:jc w:val="center"/>
            </w:pPr>
            <w:r>
              <w:rPr>
                <w:rFonts w:ascii="游ゴシック" w:hAnsi="游ゴシック" w:eastAsia="游ゴシック"/>
                <w:b/>
                <w:sz w:val="18"/>
              </w:rPr>
              <w:t>反映済</w:t>
            </w:r>
          </w:p>
        </w:tc>
      </w:tr>
      <w:tr>
        <w:trPr>
          <w:cantSplit/>
        </w:trPr>
        <w:tc>
          <w:tcPr>
            <w:tcW w:type="dxa" w:w="1814"/>
            <w:vAlign w:val="center"/>
          </w:tcPr>
          <w:p>
            <w:pPr>
              <w:keepNext/>
              <w:spacing w:after="0"/>
            </w:pPr>
            <w:r>
              <w:rPr>
                <w:rFonts w:ascii="游ゴシック" w:hAnsi="游ゴシック" w:eastAsia="游ゴシック"/>
                <w:b/>
                <w:sz w:val="18"/>
              </w:rPr>
              <w:t>除雪（介護保険の給付対象外）</w:t>
            </w:r>
          </w:p>
        </w:tc>
        <w:tc>
          <w:tcPr>
            <w:tcW w:type="dxa" w:w="680"/>
            <w:vAlign w:val="center"/>
          </w:tcPr>
          <w:p>
            <w:pPr>
              <w:keepNext/>
              <w:spacing w:after="0"/>
              <w:jc w:val="center"/>
            </w:pPr>
            <w:r>
              <w:rPr>
                <w:rFonts w:ascii="游ゴシック" w:hAnsi="游ゴシック" w:eastAsia="游ゴシック"/>
                <w:b w:val="0"/>
                <w:sz w:val="18"/>
              </w:rPr>
              <w:t>No.8</w:t>
            </w:r>
          </w:p>
        </w:tc>
        <w:tc>
          <w:tcPr>
            <w:tcW w:type="dxa" w:w="3628"/>
            <w:vAlign w:val="center"/>
          </w:tcPr>
          <w:p>
            <w:pPr>
              <w:keepNext/>
              <w:spacing w:after="0"/>
            </w:pPr>
            <w:r>
              <w:rPr>
                <w:rFonts w:ascii="游ゴシック" w:hAnsi="游ゴシック" w:eastAsia="游ゴシック"/>
                <w:b w:val="0"/>
                <w:sz w:val="18"/>
              </w:rPr>
              <w:t>健康とくらしの調査の回答者4,128人のうち24.3％（1,002人）。生活動作の困りごとの最上位。介護保険の給付対象外。</w:t>
            </w:r>
          </w:p>
        </w:tc>
        <w:tc>
          <w:tcPr>
            <w:tcW w:type="dxa" w:w="2041"/>
            <w:vAlign w:val="center"/>
          </w:tcPr>
          <w:p>
            <w:pPr>
              <w:keepNext/>
              <w:spacing w:after="0"/>
            </w:pPr>
            <w:r>
              <w:rPr>
                <w:rFonts w:ascii="游ゴシック" w:hAnsi="游ゴシック" w:eastAsia="游ゴシック"/>
                <w:b w:val="0"/>
                <w:sz w:val="18"/>
              </w:rPr>
              <w:t>第2章第4節・第5章 基本目標2</w:t>
            </w:r>
          </w:p>
        </w:tc>
        <w:tc>
          <w:tcPr>
            <w:tcW w:type="dxa" w:w="907"/>
            <w:vAlign w:val="center"/>
          </w:tcPr>
          <w:p>
            <w:pPr>
              <w:keepNext/>
              <w:spacing w:after="0"/>
              <w:jc w:val="center"/>
            </w:pPr>
            <w:r>
              <w:rPr>
                <w:rFonts w:ascii="游ゴシック" w:hAnsi="游ゴシック" w:eastAsia="游ゴシック"/>
                <w:b/>
                <w:sz w:val="18"/>
              </w:rPr>
              <w:t>反映済</w:t>
            </w:r>
          </w:p>
        </w:tc>
      </w:tr>
      <w:tr>
        <w:trPr>
          <w:cantSplit/>
        </w:trPr>
        <w:tc>
          <w:tcPr>
            <w:tcW w:type="dxa" w:w="1814"/>
            <w:shd w:val="clear" w:color="auto" w:fill="F2F5FA"/>
            <w:vAlign w:val="center"/>
          </w:tcPr>
          <w:p>
            <w:pPr>
              <w:keepNext/>
              <w:spacing w:after="0"/>
            </w:pPr>
            <w:r>
              <w:rPr>
                <w:rFonts w:ascii="游ゴシック" w:hAnsi="游ゴシック" w:eastAsia="游ゴシック"/>
                <w:b/>
                <w:sz w:val="18"/>
              </w:rPr>
              <w:t>24時間対応サービスの不在</w:t>
            </w:r>
          </w:p>
        </w:tc>
        <w:tc>
          <w:tcPr>
            <w:tcW w:type="dxa" w:w="680"/>
            <w:shd w:val="clear" w:color="auto" w:fill="F2F5FA"/>
            <w:vAlign w:val="center"/>
          </w:tcPr>
          <w:p>
            <w:pPr>
              <w:keepNext/>
              <w:spacing w:after="0"/>
              <w:jc w:val="center"/>
            </w:pPr>
            <w:r>
              <w:rPr>
                <w:rFonts w:ascii="游ゴシック" w:hAnsi="游ゴシック" w:eastAsia="游ゴシック"/>
                <w:b w:val="0"/>
                <w:sz w:val="18"/>
              </w:rPr>
              <w:t>No.3</w:t>
            </w:r>
          </w:p>
        </w:tc>
        <w:tc>
          <w:tcPr>
            <w:tcW w:type="dxa" w:w="3628"/>
            <w:shd w:val="clear" w:color="auto" w:fill="F2F5FA"/>
            <w:vAlign w:val="center"/>
          </w:tcPr>
          <w:p>
            <w:pPr>
              <w:keepNext/>
              <w:spacing w:after="0"/>
            </w:pPr>
            <w:r>
              <w:rPr>
                <w:rFonts w:ascii="游ゴシック" w:hAnsi="游ゴシック" w:eastAsia="游ゴシック"/>
                <w:b w:val="0"/>
                <w:sz w:val="18"/>
              </w:rPr>
              <w:t>定期巡回・夜間対応・看多機の事業所数0、受給率0.0％。利用者票では計26件が必要と回答されている。</w:t>
            </w:r>
          </w:p>
        </w:tc>
        <w:tc>
          <w:tcPr>
            <w:tcW w:type="dxa" w:w="2041"/>
            <w:shd w:val="clear" w:color="auto" w:fill="F2F5FA"/>
            <w:vAlign w:val="center"/>
          </w:tcPr>
          <w:p>
            <w:pPr>
              <w:keepNext/>
              <w:spacing w:after="0"/>
            </w:pPr>
            <w:r>
              <w:rPr>
                <w:rFonts w:ascii="游ゴシック" w:hAnsi="游ゴシック" w:eastAsia="游ゴシック"/>
                <w:b w:val="0"/>
                <w:sz w:val="18"/>
              </w:rPr>
              <w:t>第6章第4節</w:t>
            </w:r>
          </w:p>
        </w:tc>
        <w:tc>
          <w:tcPr>
            <w:tcW w:type="dxa" w:w="907"/>
            <w:shd w:val="clear" w:color="auto" w:fill="F2F5FA"/>
            <w:vAlign w:val="center"/>
          </w:tcPr>
          <w:p>
            <w:pPr>
              <w:keepNext/>
              <w:spacing w:after="0"/>
              <w:jc w:val="center"/>
            </w:pPr>
            <w:r>
              <w:rPr>
                <w:rFonts w:ascii="游ゴシック" w:hAnsi="游ゴシック" w:eastAsia="游ゴシック"/>
                <w:b/>
                <w:sz w:val="18"/>
              </w:rPr>
              <w:t>反映済</w:t>
            </w:r>
          </w:p>
        </w:tc>
      </w:tr>
      <w:tr>
        <w:trPr>
          <w:cantSplit/>
        </w:trPr>
        <w:tc>
          <w:tcPr>
            <w:tcW w:type="dxa" w:w="1814"/>
            <w:vAlign w:val="center"/>
          </w:tcPr>
          <w:p>
            <w:pPr>
              <w:keepNext/>
              <w:spacing w:after="0"/>
            </w:pPr>
            <w:r>
              <w:rPr>
                <w:rFonts w:ascii="游ゴシック" w:hAnsi="游ゴシック" w:eastAsia="游ゴシック"/>
                <w:b/>
                <w:sz w:val="18"/>
              </w:rPr>
              <w:t>医療機関からの施設入所という経路</w:t>
            </w:r>
          </w:p>
        </w:tc>
        <w:tc>
          <w:tcPr>
            <w:tcW w:type="dxa" w:w="680"/>
            <w:vAlign w:val="center"/>
          </w:tcPr>
          <w:p>
            <w:pPr>
              <w:keepNext/>
              <w:spacing w:after="0"/>
              <w:jc w:val="center"/>
            </w:pPr>
            <w:r>
              <w:rPr>
                <w:rFonts w:ascii="游ゴシック" w:hAnsi="游ゴシック" w:eastAsia="游ゴシック"/>
                <w:b w:val="0"/>
                <w:sz w:val="18"/>
              </w:rPr>
              <w:t>No.1</w:t>
            </w:r>
          </w:p>
        </w:tc>
        <w:tc>
          <w:tcPr>
            <w:tcW w:type="dxa" w:w="3628"/>
            <w:vAlign w:val="center"/>
          </w:tcPr>
          <w:p>
            <w:pPr>
              <w:keepNext/>
              <w:spacing w:after="0"/>
            </w:pPr>
            <w:r>
              <w:rPr>
                <w:rFonts w:ascii="游ゴシック" w:hAnsi="游ゴシック" w:eastAsia="游ゴシック"/>
                <w:b w:val="0"/>
                <w:sz w:val="18"/>
              </w:rPr>
              <w:t>新規入所335人の入所前の居場所は病院・診療所57.0％・自宅27.5％。退去349人の退去先は病院・診療所47.0％・死亡27.2％・自宅12.3％。</w:t>
            </w:r>
          </w:p>
        </w:tc>
        <w:tc>
          <w:tcPr>
            <w:tcW w:type="dxa" w:w="2041"/>
            <w:vAlign w:val="center"/>
          </w:tcPr>
          <w:p>
            <w:pPr>
              <w:keepNext/>
              <w:spacing w:after="0"/>
            </w:pPr>
            <w:r>
              <w:rPr>
                <w:rFonts w:ascii="游ゴシック" w:hAnsi="游ゴシック" w:eastAsia="游ゴシック"/>
                <w:b w:val="0"/>
                <w:sz w:val="18"/>
              </w:rPr>
              <w:t>第2章第3節・第6章第5節</w:t>
            </w:r>
          </w:p>
        </w:tc>
        <w:tc>
          <w:tcPr>
            <w:tcW w:type="dxa" w:w="907"/>
            <w:vAlign w:val="center"/>
          </w:tcPr>
          <w:p>
            <w:pPr>
              <w:keepNext/>
              <w:spacing w:after="0"/>
              <w:jc w:val="center"/>
            </w:pPr>
            <w:r>
              <w:rPr>
                <w:rFonts w:ascii="游ゴシック" w:hAnsi="游ゴシック" w:eastAsia="游ゴシック"/>
                <w:b/>
                <w:sz w:val="18"/>
              </w:rPr>
              <w:t>反映済</w:t>
            </w:r>
          </w:p>
        </w:tc>
      </w:tr>
      <w:tr>
        <w:trPr>
          <w:cantSplit/>
        </w:trPr>
        <w:tc>
          <w:tcPr>
            <w:tcW w:type="dxa" w:w="1814"/>
            <w:shd w:val="clear" w:color="auto" w:fill="F2F5FA"/>
            <w:vAlign w:val="center"/>
          </w:tcPr>
          <w:p>
            <w:pPr>
              <w:keepNext/>
              <w:spacing w:after="0"/>
            </w:pPr>
            <w:r>
              <w:rPr>
                <w:rFonts w:ascii="游ゴシック" w:hAnsi="游ゴシック" w:eastAsia="游ゴシック"/>
                <w:b/>
                <w:sz w:val="18"/>
              </w:rPr>
              <w:t>介護人材の把握範囲</w:t>
            </w:r>
          </w:p>
        </w:tc>
        <w:tc>
          <w:tcPr>
            <w:tcW w:type="dxa" w:w="680"/>
            <w:shd w:val="clear" w:color="auto" w:fill="F2F5FA"/>
            <w:vAlign w:val="center"/>
          </w:tcPr>
          <w:p>
            <w:pPr>
              <w:keepNext/>
              <w:spacing w:after="0"/>
              <w:jc w:val="center"/>
            </w:pPr>
            <w:r>
              <w:rPr>
                <w:rFonts w:ascii="游ゴシック" w:hAnsi="游ゴシック" w:eastAsia="游ゴシック"/>
                <w:b w:val="0"/>
                <w:sz w:val="18"/>
              </w:rPr>
              <w:t>No.6</w:t>
            </w:r>
          </w:p>
        </w:tc>
        <w:tc>
          <w:tcPr>
            <w:tcW w:type="dxa" w:w="3628"/>
            <w:shd w:val="clear" w:color="auto" w:fill="F2F5FA"/>
            <w:vAlign w:val="center"/>
          </w:tcPr>
          <w:p>
            <w:pPr>
              <w:keepNext/>
              <w:spacing w:after="0"/>
            </w:pPr>
            <w:r>
              <w:rPr>
                <w:rFonts w:ascii="游ゴシック" w:hAnsi="游ゴシック" w:eastAsia="游ゴシック"/>
                <w:b w:val="0"/>
                <w:sz w:val="18"/>
              </w:rPr>
              <w:t>グループホーム・特定施設・住宅型有料・サ高住の介護職員116人。</w:t>
            </w:r>
          </w:p>
        </w:tc>
        <w:tc>
          <w:tcPr>
            <w:tcW w:type="dxa" w:w="2041"/>
            <w:shd w:val="clear" w:color="auto" w:fill="F2F5FA"/>
            <w:vAlign w:val="center"/>
          </w:tcPr>
          <w:p>
            <w:pPr>
              <w:keepNext/>
              <w:spacing w:after="0"/>
            </w:pPr>
            <w:r>
              <w:rPr>
                <w:rFonts w:ascii="游ゴシック" w:hAnsi="游ゴシック" w:eastAsia="游ゴシック"/>
                <w:b w:val="0"/>
                <w:sz w:val="18"/>
              </w:rPr>
              <w:t>第2章第6節</w:t>
            </w:r>
          </w:p>
        </w:tc>
        <w:tc>
          <w:tcPr>
            <w:tcW w:type="dxa" w:w="907"/>
            <w:shd w:val="clear" w:color="auto" w:fill="F2F5FA"/>
            <w:vAlign w:val="center"/>
          </w:tcPr>
          <w:p>
            <w:pPr>
              <w:keepNext/>
              <w:spacing w:after="0"/>
              <w:jc w:val="center"/>
            </w:pPr>
            <w:r>
              <w:rPr>
                <w:rFonts w:ascii="游ゴシック" w:hAnsi="游ゴシック" w:eastAsia="游ゴシック"/>
                <w:b/>
                <w:sz w:val="18"/>
              </w:rPr>
              <w:t>反映済</w:t>
            </w:r>
          </w:p>
        </w:tc>
      </w:tr>
      <w:tr>
        <w:trPr>
          <w:cantSplit/>
        </w:trPr>
        <w:tc>
          <w:tcPr>
            <w:tcW w:type="dxa" w:w="1814"/>
            <w:vAlign w:val="center"/>
          </w:tcPr>
          <w:p>
            <w:pPr>
              <w:keepNext/>
              <w:spacing w:after="0"/>
            </w:pPr>
            <w:r>
              <w:rPr>
                <w:rFonts w:ascii="游ゴシック" w:hAnsi="游ゴシック" w:eastAsia="游ゴシック"/>
                <w:b/>
                <w:sz w:val="18"/>
              </w:rPr>
              <w:t>介護人材の定着</w:t>
            </w:r>
          </w:p>
        </w:tc>
        <w:tc>
          <w:tcPr>
            <w:tcW w:type="dxa" w:w="680"/>
            <w:vAlign w:val="center"/>
          </w:tcPr>
          <w:p>
            <w:pPr>
              <w:keepNext/>
              <w:spacing w:after="0"/>
              <w:jc w:val="center"/>
            </w:pPr>
            <w:r>
              <w:rPr>
                <w:rFonts w:ascii="游ゴシック" w:hAnsi="游ゴシック" w:eastAsia="游ゴシック"/>
                <w:b w:val="0"/>
                <w:sz w:val="18"/>
              </w:rPr>
              <w:t>No.11</w:t>
            </w:r>
          </w:p>
        </w:tc>
        <w:tc>
          <w:tcPr>
            <w:tcW w:type="dxa" w:w="3628"/>
            <w:vAlign w:val="center"/>
          </w:tcPr>
          <w:p>
            <w:pPr>
              <w:keepNext/>
              <w:spacing w:after="0"/>
            </w:pPr>
            <w:r>
              <w:rPr>
                <w:rFonts w:ascii="游ゴシック" w:hAnsi="游ゴシック" w:eastAsia="游ゴシック"/>
                <w:b w:val="0"/>
                <w:sz w:val="18"/>
              </w:rPr>
              <w:t>介護福祉士67.1％、勤続1年未満19.9％、常勤の18.6％・非常勤の25.4％が勤続1年未満。令和6年度の採用83人・離職65人。</w:t>
            </w:r>
          </w:p>
        </w:tc>
        <w:tc>
          <w:tcPr>
            <w:tcW w:type="dxa" w:w="2041"/>
            <w:vAlign w:val="center"/>
          </w:tcPr>
          <w:p>
            <w:pPr>
              <w:keepNext/>
              <w:spacing w:after="0"/>
            </w:pPr>
            <w:r>
              <w:rPr>
                <w:rFonts w:ascii="游ゴシック" w:hAnsi="游ゴシック" w:eastAsia="游ゴシック"/>
                <w:b w:val="0"/>
                <w:sz w:val="18"/>
              </w:rPr>
              <w:t>第2章第6節・第5章 基本目標4</w:t>
            </w:r>
          </w:p>
        </w:tc>
        <w:tc>
          <w:tcPr>
            <w:tcW w:type="dxa" w:w="907"/>
            <w:vAlign w:val="center"/>
          </w:tcPr>
          <w:p>
            <w:pPr>
              <w:keepNext/>
              <w:spacing w:after="0"/>
              <w:jc w:val="center"/>
            </w:pPr>
            <w:r>
              <w:rPr>
                <w:rFonts w:ascii="游ゴシック" w:hAnsi="游ゴシック" w:eastAsia="游ゴシック"/>
                <w:b/>
                <w:sz w:val="18"/>
              </w:rPr>
              <w:t>決定待ち</w:t>
            </w:r>
          </w:p>
        </w:tc>
      </w:tr>
      <w:tr>
        <w:trPr>
          <w:cantSplit/>
        </w:trPr>
        <w:tc>
          <w:tcPr>
            <w:tcW w:type="dxa" w:w="1814"/>
            <w:shd w:val="clear" w:color="auto" w:fill="F2F5FA"/>
            <w:vAlign w:val="center"/>
          </w:tcPr>
          <w:p>
            <w:pPr>
              <w:spacing w:after="0"/>
            </w:pPr>
            <w:r>
              <w:rPr>
                <w:rFonts w:ascii="游ゴシック" w:hAnsi="游ゴシック" w:eastAsia="游ゴシック"/>
                <w:b/>
                <w:sz w:val="18"/>
              </w:rPr>
              <w:t>在宅生活の継続が困難な層の存在</w:t>
            </w:r>
          </w:p>
        </w:tc>
        <w:tc>
          <w:tcPr>
            <w:tcW w:type="dxa" w:w="680"/>
            <w:shd w:val="clear" w:color="auto" w:fill="F2F5FA"/>
            <w:vAlign w:val="center"/>
          </w:tcPr>
          <w:p>
            <w:pPr>
              <w:spacing w:after="0"/>
              <w:jc w:val="center"/>
            </w:pPr>
            <w:r>
              <w:rPr>
                <w:rFonts w:ascii="游ゴシック" w:hAnsi="游ゴシック" w:eastAsia="游ゴシック"/>
                <w:b w:val="0"/>
                <w:sz w:val="18"/>
              </w:rPr>
              <w:t>No.15</w:t>
            </w:r>
          </w:p>
        </w:tc>
        <w:tc>
          <w:tcPr>
            <w:tcW w:type="dxa" w:w="3628"/>
            <w:shd w:val="clear" w:color="auto" w:fill="F2F5FA"/>
            <w:vAlign w:val="center"/>
          </w:tcPr>
          <w:p>
            <w:pPr>
              <w:spacing w:after="0"/>
            </w:pPr>
            <w:r>
              <w:rPr>
                <w:rFonts w:ascii="游ゴシック" w:hAnsi="游ゴシック" w:eastAsia="游ゴシック"/>
                <w:b w:val="0"/>
                <w:sz w:val="18"/>
              </w:rPr>
              <w:t>利用者票99票のうち、この設問の有効回答98票において在宅生活の維持が困難72人（73.5％）。</w:t>
            </w:r>
          </w:p>
        </w:tc>
        <w:tc>
          <w:tcPr>
            <w:tcW w:type="dxa" w:w="2041"/>
            <w:shd w:val="clear" w:color="auto" w:fill="F2F5FA"/>
            <w:vAlign w:val="center"/>
          </w:tcPr>
          <w:p>
            <w:pPr>
              <w:spacing w:after="0"/>
            </w:pPr>
            <w:r>
              <w:rPr>
                <w:rFonts w:ascii="游ゴシック" w:hAnsi="游ゴシック" w:eastAsia="游ゴシック"/>
                <w:b w:val="0"/>
                <w:sz w:val="18"/>
              </w:rPr>
              <w:t>第2章第4節</w:t>
            </w:r>
          </w:p>
        </w:tc>
        <w:tc>
          <w:tcPr>
            <w:tcW w:type="dxa" w:w="907"/>
            <w:shd w:val="clear" w:color="auto" w:fill="F2F5FA"/>
            <w:vAlign w:val="center"/>
          </w:tcPr>
          <w:p>
            <w:pPr>
              <w:spacing w:after="0"/>
              <w:jc w:val="center"/>
            </w:pPr>
            <w:r>
              <w:rPr>
                <w:rFonts w:ascii="游ゴシック" w:hAnsi="游ゴシック" w:eastAsia="游ゴシック"/>
                <w:b/>
                <w:sz w:val="18"/>
              </w:rPr>
              <w:t>決定待ち</w:t>
            </w:r>
          </w:p>
        </w:tc>
      </w:tr>
    </w:tbl>
    <w:p>
      <w:pPr>
        <w:ind w:left="227"/>
      </w:pPr>
      <w:r>
        <w:rPr>
          <w:rFonts w:ascii="游ゴシック" w:hAnsi="游ゴシック" w:eastAsia="游ゴシック"/>
          <w:b w:val="0"/>
          <w:sz w:val="18"/>
        </w:rPr>
        <w:t>※ 所見・根拠・反映先・状態は集計分析報告書 12シートによります。課題の名は本報告で付けたものです。「決定待ち」は点検事項の取扱いのご決定（確認事項No.8）を待つものです。</w:t>
      </w:r>
      <w:r>
        <w:rPr>
          <w:rFonts w:ascii="游ゴシック" w:hAnsi="游ゴシック" w:eastAsia="游ゴシック"/>
          <w:b/>
          <w:sz w:val="18"/>
        </w:rPr>
        <w:t>在宅生活の継続が困難な層の割合は、母集団が「在宅で困難を抱える方」であることを明示して引きます</w:t>
      </w:r>
      <w:r>
        <w:rPr>
          <w:rFonts w:ascii="游ゴシック" w:hAnsi="游ゴシック" w:eastAsia="游ゴシック"/>
          <w:b w:val="0"/>
          <w:sz w:val="18"/>
        </w:rPr>
        <w:t>（第6節1）。</w:t>
      </w:r>
    </w:p>
    <w:p>
      <w:pPr>
        <w:ind w:left="227"/>
      </w:pPr>
      <w:r>
        <w:rPr>
          <w:rFonts w:ascii="游ゴシック" w:hAnsi="游ゴシック" w:eastAsia="游ゴシック"/>
          <w:b w:val="0"/>
          <w:sz w:val="18"/>
        </w:rPr>
        <w:t>※ 課題の一覧は集計分析報告書 12シート（主要所見20件）及び調査クロス集計・分析 13シート（第9期の課題・第10期の施策への対応レビュー）に掲げています。</w:t>
      </w:r>
    </w:p>
    <w:p>
      <w:pPr>
        <w:keepNext/>
        <w:pageBreakBefore/>
        <w:spacing w:before="0" w:after="120"/>
      </w:pPr>
      <w:r>
        <w:rPr>
          <w:rFonts w:ascii="游ゴシック" w:hAnsi="游ゴシック" w:eastAsia="游ゴシック"/>
          <w:b/>
          <w:color w:val="1F3864"/>
          <w:sz w:val="26"/>
        </w:rPr>
        <w:t>第8節　主要所見と計画素案への反映状況</w:t>
      </w:r>
    </w:p>
    <w:p>
      <w:pPr>
        <w:spacing w:after="80"/>
      </w:pPr>
      <w:r>
        <w:rPr>
          <w:rFonts w:ascii="游ゴシック" w:hAnsi="游ゴシック" w:eastAsia="游ゴシック"/>
          <w:b w:val="0"/>
          <w:sz w:val="21"/>
        </w:rPr>
        <w:t>調査から得た主要所見は20件です。計画素案への反映状況は次のとおりです。</w:t>
      </w:r>
    </w:p>
    <w:p>
      <w:pPr>
        <w:keepNext/>
        <w:spacing w:before="160" w:after="40"/>
      </w:pPr>
      <w:r>
        <w:rPr>
          <w:rFonts w:ascii="游ゴシック" w:hAnsi="游ゴシック" w:eastAsia="游ゴシック"/>
          <w:b/>
          <w:sz w:val="20"/>
        </w:rPr>
        <w:t>表12　主要所見の反映状況</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247"/>
            <w:shd w:val="clear" w:color="auto" w:fill="1F3864"/>
            <w:vAlign w:val="center"/>
          </w:tcPr>
          <w:p>
            <w:pPr>
              <w:keepNext/>
              <w:spacing w:after="0"/>
              <w:jc w:val="center"/>
            </w:pPr>
            <w:r>
              <w:rPr>
                <w:rFonts w:ascii="游ゴシック" w:hAnsi="游ゴシック" w:eastAsia="游ゴシック"/>
                <w:b/>
                <w:color w:val="FFFFFF"/>
                <w:sz w:val="18"/>
              </w:rPr>
              <w:t>状態</w:t>
            </w:r>
          </w:p>
        </w:tc>
        <w:tc>
          <w:tcPr>
            <w:tcW w:type="dxa" w:w="1134"/>
            <w:shd w:val="clear" w:color="auto" w:fill="1F3864"/>
            <w:vAlign w:val="center"/>
          </w:tcPr>
          <w:p>
            <w:pPr>
              <w:keepNext/>
              <w:spacing w:after="0"/>
              <w:jc w:val="center"/>
            </w:pPr>
            <w:r>
              <w:rPr>
                <w:rFonts w:ascii="游ゴシック" w:hAnsi="游ゴシック" w:eastAsia="游ゴシック"/>
                <w:b/>
                <w:color w:val="FFFFFF"/>
                <w:sz w:val="18"/>
              </w:rPr>
              <w:t>件数</w:t>
            </w:r>
          </w:p>
        </w:tc>
        <w:tc>
          <w:tcPr>
            <w:tcW w:type="dxa" w:w="6236"/>
            <w:shd w:val="clear" w:color="auto" w:fill="1F3864"/>
            <w:vAlign w:val="center"/>
          </w:tcPr>
          <w:p>
            <w:pPr>
              <w:keepNext/>
              <w:spacing w:after="0"/>
              <w:jc w:val="center"/>
            </w:pPr>
            <w:r>
              <w:rPr>
                <w:rFonts w:ascii="游ゴシック" w:hAnsi="游ゴシック" w:eastAsia="游ゴシック"/>
                <w:b/>
                <w:color w:val="FFFFFF"/>
                <w:sz w:val="18"/>
              </w:rPr>
              <w:t>内容</w:t>
            </w:r>
          </w:p>
        </w:tc>
      </w:tr>
      <w:tr>
        <w:trPr>
          <w:cantSplit/>
        </w:trPr>
        <w:tc>
          <w:tcPr>
            <w:tcW w:type="dxa" w:w="1247"/>
            <w:vAlign w:val="center"/>
          </w:tcPr>
          <w:p>
            <w:pPr>
              <w:keepNext/>
              <w:spacing w:after="0"/>
              <w:jc w:val="center"/>
            </w:pPr>
            <w:r>
              <w:rPr>
                <w:rFonts w:ascii="游ゴシック" w:hAnsi="游ゴシック" w:eastAsia="游ゴシック"/>
                <w:b/>
                <w:sz w:val="18"/>
              </w:rPr>
              <w:t>反映済</w:t>
            </w:r>
          </w:p>
        </w:tc>
        <w:tc>
          <w:tcPr>
            <w:tcW w:type="dxa" w:w="1134"/>
            <w:vAlign w:val="center"/>
          </w:tcPr>
          <w:p>
            <w:pPr>
              <w:keepNext/>
              <w:spacing w:after="0"/>
              <w:jc w:val="center"/>
            </w:pPr>
            <w:r>
              <w:rPr>
                <w:rFonts w:ascii="游ゴシック" w:hAnsi="游ゴシック" w:eastAsia="游ゴシック"/>
                <w:b/>
                <w:sz w:val="18"/>
              </w:rPr>
              <w:t>11件</w:t>
            </w:r>
          </w:p>
        </w:tc>
        <w:tc>
          <w:tcPr>
            <w:tcW w:type="dxa" w:w="6236"/>
            <w:vAlign w:val="center"/>
          </w:tcPr>
          <w:p>
            <w:pPr>
              <w:keepNext/>
              <w:spacing w:after="0"/>
            </w:pPr>
            <w:r>
              <w:rPr>
                <w:rFonts w:ascii="游ゴシック" w:hAnsi="游ゴシック" w:eastAsia="游ゴシック"/>
                <w:b w:val="0"/>
                <w:sz w:val="18"/>
              </w:rPr>
              <w:t>計画素案の本文に反映しました。第1章第7節、第2章第3節から第6節、第5章、第6章第2節・第4節・第5節にわたります</w:t>
            </w:r>
          </w:p>
        </w:tc>
      </w:tr>
      <w:tr>
        <w:trPr>
          <w:cantSplit/>
        </w:trPr>
        <w:tc>
          <w:tcPr>
            <w:tcW w:type="dxa" w:w="1247"/>
            <w:shd w:val="clear" w:color="auto" w:fill="F2F5FA"/>
            <w:vAlign w:val="center"/>
          </w:tcPr>
          <w:p>
            <w:pPr>
              <w:keepNext/>
              <w:spacing w:after="0"/>
              <w:jc w:val="center"/>
            </w:pPr>
            <w:r>
              <w:rPr>
                <w:rFonts w:ascii="游ゴシック" w:hAnsi="游ゴシック" w:eastAsia="游ゴシック"/>
                <w:b/>
                <w:sz w:val="18"/>
              </w:rPr>
              <w:t>着手可</w:t>
            </w:r>
          </w:p>
        </w:tc>
        <w:tc>
          <w:tcPr>
            <w:tcW w:type="dxa" w:w="1134"/>
            <w:shd w:val="clear" w:color="auto" w:fill="F2F5FA"/>
            <w:vAlign w:val="center"/>
          </w:tcPr>
          <w:p>
            <w:pPr>
              <w:keepNext/>
              <w:spacing w:after="0"/>
              <w:jc w:val="center"/>
            </w:pPr>
            <w:r>
              <w:rPr>
                <w:rFonts w:ascii="游ゴシック" w:hAnsi="游ゴシック" w:eastAsia="游ゴシック"/>
                <w:b/>
                <w:sz w:val="18"/>
              </w:rPr>
              <w:t>0件</w:t>
            </w:r>
          </w:p>
        </w:tc>
        <w:tc>
          <w:tcPr>
            <w:tcW w:type="dxa" w:w="6236"/>
            <w:shd w:val="clear" w:color="auto" w:fill="F2F5FA"/>
            <w:vAlign w:val="center"/>
          </w:tcPr>
          <w:p>
            <w:pPr>
              <w:keepNext/>
              <w:spacing w:after="0"/>
            </w:pPr>
            <w:r>
              <w:rPr>
                <w:rFonts w:ascii="游ゴシック" w:hAnsi="游ゴシック" w:eastAsia="游ゴシック"/>
                <w:b w:val="0"/>
                <w:sz w:val="18"/>
              </w:rPr>
              <w:t>点検事項の取扱いの決定を要しないもの。決定を要しないものはすべて反映しました</w:t>
            </w:r>
          </w:p>
        </w:tc>
      </w:tr>
      <w:tr>
        <w:trPr>
          <w:cantSplit/>
        </w:trPr>
        <w:tc>
          <w:tcPr>
            <w:tcW w:type="dxa" w:w="1247"/>
            <w:vAlign w:val="center"/>
          </w:tcPr>
          <w:p>
            <w:pPr>
              <w:spacing w:after="0"/>
              <w:jc w:val="center"/>
            </w:pPr>
            <w:r>
              <w:rPr>
                <w:rFonts w:ascii="游ゴシック" w:hAnsi="游ゴシック" w:eastAsia="游ゴシック"/>
                <w:b/>
                <w:sz w:val="18"/>
              </w:rPr>
              <w:t>決定待ち</w:t>
            </w:r>
          </w:p>
        </w:tc>
        <w:tc>
          <w:tcPr>
            <w:tcW w:type="dxa" w:w="1134"/>
            <w:vAlign w:val="center"/>
          </w:tcPr>
          <w:p>
            <w:pPr>
              <w:spacing w:after="0"/>
              <w:jc w:val="center"/>
            </w:pPr>
            <w:r>
              <w:rPr>
                <w:rFonts w:ascii="游ゴシック" w:hAnsi="游ゴシック" w:eastAsia="游ゴシック"/>
                <w:b/>
                <w:sz w:val="18"/>
              </w:rPr>
              <w:t>9件</w:t>
            </w:r>
          </w:p>
        </w:tc>
        <w:tc>
          <w:tcPr>
            <w:tcW w:type="dxa" w:w="6236"/>
            <w:vAlign w:val="center"/>
          </w:tcPr>
          <w:p>
            <w:pPr>
              <w:spacing w:after="0"/>
            </w:pPr>
            <w:r>
              <w:rPr>
                <w:rFonts w:ascii="游ゴシック" w:hAnsi="游ゴシック" w:eastAsia="游ゴシック"/>
                <w:b w:val="0"/>
                <w:sz w:val="18"/>
              </w:rPr>
              <w:t>点検事項No.1・No.2・No.13・No.25・No.31・No.32の取扱いが決まってから反映します（確認事項No.8）</w:t>
            </w:r>
          </w:p>
        </w:tc>
      </w:tr>
    </w:tbl>
    <w:p>
      <w:pPr>
        <w:spacing w:after="80"/>
      </w:pPr>
      <w:r>
        <w:rPr>
          <w:rFonts w:ascii="游ゴシック" w:hAnsi="游ゴシック" w:eastAsia="游ゴシック"/>
          <w:sz w:val="21"/>
        </w:rPr>
      </w:r>
    </w:p>
    <w:p>
      <w:pPr>
        <w:spacing w:after="80"/>
      </w:pPr>
      <w:r>
        <w:rPr>
          <w:rFonts w:ascii="游ゴシック" w:hAnsi="游ゴシック" w:eastAsia="游ゴシック"/>
          <w:b/>
          <w:sz w:val="21"/>
        </w:rPr>
        <w:t>点検事項の取扱いの決定を要しない所見は、すべて計画素案へ反映しました。</w:t>
      </w:r>
      <w:r>
        <w:rPr>
          <w:rFonts w:ascii="游ゴシック" w:hAnsi="游ゴシック" w:eastAsia="游ゴシック"/>
          <w:b w:val="0"/>
          <w:sz w:val="21"/>
        </w:rPr>
        <w:t>残る9件は確認事項No.8のご決定を待っています（第10節）。</w:t>
      </w:r>
    </w:p>
    <w:p>
      <w:pPr>
        <w:keepNext/>
        <w:spacing w:before="180" w:after="60"/>
      </w:pPr>
      <w:r>
        <w:rPr>
          <w:rFonts w:ascii="游ゴシック" w:hAnsi="游ゴシック" w:eastAsia="游ゴシック"/>
          <w:b/>
          <w:sz w:val="22"/>
        </w:rPr>
        <w:t>反映済みの所見</w:t>
      </w:r>
    </w:p>
    <w:p>
      <w:pPr>
        <w:spacing w:after="60"/>
        <w:ind w:left="340" w:hanging="340"/>
      </w:pPr>
      <w:r>
        <w:rPr>
          <w:rFonts w:ascii="游ゴシック" w:hAnsi="游ゴシック" w:eastAsia="游ゴシック"/>
          <w:b w:val="0"/>
          <w:sz w:val="21"/>
        </w:rPr>
        <w:t>・所見1　医療機関からの入所が施設入所の主要な経路である（反映先　第2章第3節・第6章第5節）</w:t>
      </w:r>
    </w:p>
    <w:p>
      <w:pPr>
        <w:spacing w:after="60"/>
        <w:ind w:left="340" w:hanging="340"/>
      </w:pPr>
      <w:r>
        <w:rPr>
          <w:rFonts w:ascii="游ゴシック" w:hAnsi="游ゴシック" w:eastAsia="游ゴシック"/>
          <w:b w:val="0"/>
          <w:sz w:val="21"/>
        </w:rPr>
        <w:t>・所見2　施設・住まいの供給量が確定した（反映先　第2章第3節）</w:t>
      </w:r>
    </w:p>
    <w:p>
      <w:pPr>
        <w:spacing w:after="60"/>
        <w:ind w:left="340" w:hanging="340"/>
      </w:pPr>
      <w:r>
        <w:rPr>
          <w:rFonts w:ascii="游ゴシック" w:hAnsi="游ゴシック" w:eastAsia="游ゴシック"/>
          <w:b w:val="0"/>
          <w:sz w:val="21"/>
        </w:rPr>
        <w:t>・所見3　24時間対応の3サービスが区域内に存在しない（反映先　第6章第4節）</w:t>
      </w:r>
    </w:p>
    <w:p>
      <w:pPr>
        <w:spacing w:after="60"/>
        <w:ind w:left="340" w:hanging="340"/>
      </w:pPr>
      <w:r>
        <w:rPr>
          <w:rFonts w:ascii="游ゴシック" w:hAnsi="游ゴシック" w:eastAsia="游ゴシック"/>
          <w:b w:val="0"/>
          <w:sz w:val="21"/>
        </w:rPr>
        <w:t>・所見4　訪問・通所困難地域の判定材料がそろった（反映先　第1章第7節）</w:t>
      </w:r>
    </w:p>
    <w:p>
      <w:pPr>
        <w:spacing w:after="60"/>
        <w:ind w:left="340" w:hanging="340"/>
      </w:pPr>
      <w:r>
        <w:rPr>
          <w:rFonts w:ascii="游ゴシック" w:hAnsi="游ゴシック" w:eastAsia="游ゴシック"/>
          <w:b w:val="0"/>
          <w:sz w:val="21"/>
        </w:rPr>
        <w:t>・所見5　運営法人の集中が供給構造の特徴である（反映先　第2章第3節・第6章第4節）</w:t>
      </w:r>
    </w:p>
    <w:p>
      <w:pPr>
        <w:spacing w:after="60"/>
        <w:ind w:left="340" w:hanging="340"/>
      </w:pPr>
      <w:r>
        <w:rPr>
          <w:rFonts w:ascii="游ゴシック" w:hAnsi="游ゴシック" w:eastAsia="游ゴシック"/>
          <w:b w:val="0"/>
          <w:sz w:val="21"/>
        </w:rPr>
        <w:t>・所見6　介護職員の33.3％は見える化で把握できないサービスに従事している（反映先　第2章第6節）</w:t>
      </w:r>
    </w:p>
    <w:p>
      <w:pPr>
        <w:spacing w:after="60"/>
        <w:ind w:left="340" w:hanging="340"/>
      </w:pPr>
      <w:r>
        <w:rPr>
          <w:rFonts w:ascii="游ゴシック" w:hAnsi="游ゴシック" w:eastAsia="游ゴシック"/>
          <w:b w:val="0"/>
          <w:sz w:val="21"/>
        </w:rPr>
        <w:t>・所見7　外出同行が最も必要とされる生活支援である（反映先　第2章第5節・第5章 基本目標2）</w:t>
      </w:r>
    </w:p>
    <w:p>
      <w:pPr>
        <w:spacing w:after="60"/>
        <w:ind w:left="340" w:hanging="340"/>
      </w:pPr>
      <w:r>
        <w:rPr>
          <w:rFonts w:ascii="游ゴシック" w:hAnsi="游ゴシック" w:eastAsia="游ゴシック"/>
          <w:b w:val="0"/>
          <w:sz w:val="21"/>
        </w:rPr>
        <w:t>・所見8　除雪が生活動作の困りごとの最上位である（反映先　第2章第4節・第5章 基本目標2）</w:t>
      </w:r>
    </w:p>
    <w:p>
      <w:pPr>
        <w:spacing w:after="60"/>
        <w:ind w:left="340" w:hanging="340"/>
      </w:pPr>
      <w:r>
        <w:rPr>
          <w:rFonts w:ascii="游ゴシック" w:hAnsi="游ゴシック" w:eastAsia="游ゴシック"/>
          <w:b w:val="0"/>
          <w:sz w:val="21"/>
        </w:rPr>
        <w:t>・所見9　外出と社会参加が同規模保険者との比較で最大の課題である（反映先　第2章第4節・第5章 基本目標1・2）</w:t>
      </w:r>
    </w:p>
    <w:p>
      <w:pPr>
        <w:spacing w:after="60"/>
        <w:ind w:left="340" w:hanging="340"/>
      </w:pPr>
      <w:r>
        <w:rPr>
          <w:rFonts w:ascii="游ゴシック" w:hAnsi="游ゴシック" w:eastAsia="游ゴシック"/>
          <w:b w:val="0"/>
          <w:sz w:val="21"/>
        </w:rPr>
        <w:t>・所見18　地区別・圏域別の分析（反映先　第1章第7節・第2章第4節）</w:t>
      </w:r>
    </w:p>
    <w:p>
      <w:pPr>
        <w:spacing w:after="60"/>
        <w:ind w:left="340" w:hanging="340"/>
      </w:pPr>
      <w:r>
        <w:rPr>
          <w:rFonts w:ascii="游ゴシック" w:hAnsi="游ゴシック" w:eastAsia="游ゴシック"/>
          <w:b w:val="0"/>
          <w:sz w:val="21"/>
        </w:rPr>
        <w:t>・所見20　特定施設は施設ごとにみると高い入居率である（反映先　第2章第3節・第6章第4節）</w:t>
      </w:r>
    </w:p>
    <w:p>
      <w:pPr>
        <w:keepNext/>
        <w:spacing w:before="180" w:after="60"/>
      </w:pPr>
      <w:r>
        <w:rPr>
          <w:rFonts w:ascii="游ゴシック" w:hAnsi="游ゴシック" w:eastAsia="游ゴシック"/>
          <w:b/>
          <w:sz w:val="22"/>
        </w:rPr>
        <w:t>ご決定を待っている所見</w:t>
      </w:r>
    </w:p>
    <w:p>
      <w:pPr>
        <w:spacing w:after="60"/>
        <w:ind w:left="340" w:hanging="340"/>
      </w:pPr>
      <w:r>
        <w:rPr>
          <w:rFonts w:ascii="游ゴシック" w:hAnsi="游ゴシック" w:eastAsia="游ゴシック"/>
          <w:b w:val="0"/>
          <w:sz w:val="21"/>
        </w:rPr>
        <w:t>・所見10　介護職員の総数（点検No.1の決定）</w:t>
      </w:r>
    </w:p>
    <w:p>
      <w:pPr>
        <w:spacing w:after="60"/>
        <w:ind w:left="340" w:hanging="340"/>
      </w:pPr>
      <w:r>
        <w:rPr>
          <w:rFonts w:ascii="游ゴシック" w:hAnsi="游ゴシック" w:eastAsia="游ゴシック"/>
          <w:b w:val="0"/>
          <w:sz w:val="21"/>
        </w:rPr>
        <w:t>・所見11　介護人材の定着の状況（点検No.1の決定）</w:t>
      </w:r>
    </w:p>
    <w:p>
      <w:pPr>
        <w:spacing w:after="60"/>
        <w:ind w:left="340" w:hanging="340"/>
      </w:pPr>
      <w:r>
        <w:rPr>
          <w:rFonts w:ascii="游ゴシック" w:hAnsi="游ゴシック" w:eastAsia="游ゴシック"/>
          <w:b w:val="0"/>
          <w:sz w:val="21"/>
        </w:rPr>
        <w:t>・所見12　老健・通所リハの従事者数を見える化で記述できるか（点検No.31の決定）</w:t>
      </w:r>
    </w:p>
    <w:p>
      <w:pPr>
        <w:spacing w:after="60"/>
        <w:ind w:left="340" w:hanging="340"/>
      </w:pPr>
      <w:r>
        <w:rPr>
          <w:rFonts w:ascii="游ゴシック" w:hAnsi="游ゴシック" w:eastAsia="游ゴシック"/>
          <w:b w:val="0"/>
          <w:sz w:val="21"/>
        </w:rPr>
        <w:t>・所見13　施設等の入所者数と入所率（点検No.32の決定）</w:t>
      </w:r>
    </w:p>
    <w:p>
      <w:pPr>
        <w:spacing w:after="60"/>
        <w:ind w:left="340" w:hanging="340"/>
      </w:pPr>
      <w:r>
        <w:rPr>
          <w:rFonts w:ascii="游ゴシック" w:hAnsi="游ゴシック" w:eastAsia="游ゴシック"/>
          <w:b w:val="0"/>
          <w:sz w:val="21"/>
        </w:rPr>
        <w:t>・所見14　区域外からの入所の構造（点検No.25・No.32の決定）</w:t>
      </w:r>
    </w:p>
    <w:p>
      <w:pPr>
        <w:spacing w:after="60"/>
        <w:ind w:left="340" w:hanging="340"/>
      </w:pPr>
      <w:r>
        <w:rPr>
          <w:rFonts w:ascii="游ゴシック" w:hAnsi="游ゴシック" w:eastAsia="游ゴシック"/>
          <w:b w:val="0"/>
          <w:sz w:val="21"/>
        </w:rPr>
        <w:t>・所見15　在宅生活の継続が困難な理由（母集団の記述の確認）</w:t>
      </w:r>
    </w:p>
    <w:p>
      <w:pPr>
        <w:spacing w:after="60"/>
        <w:ind w:left="340" w:hanging="340"/>
      </w:pPr>
      <w:r>
        <w:rPr>
          <w:rFonts w:ascii="游ゴシック" w:hAnsi="游ゴシック" w:eastAsia="游ゴシック"/>
          <w:b w:val="0"/>
          <w:sz w:val="21"/>
        </w:rPr>
        <w:t>・所見16　より適切と思われるサービス（点検No.2の決定）</w:t>
      </w:r>
    </w:p>
    <w:p>
      <w:pPr>
        <w:spacing w:after="60"/>
        <w:ind w:left="340" w:hanging="340"/>
      </w:pPr>
      <w:r>
        <w:rPr>
          <w:rFonts w:ascii="游ゴシック" w:hAnsi="游ゴシック" w:eastAsia="游ゴシック"/>
          <w:b w:val="0"/>
          <w:sz w:val="21"/>
        </w:rPr>
        <w:t>・所見17　特別養護老人ホームの待機者（点検No.13の決定）</w:t>
      </w:r>
    </w:p>
    <w:p>
      <w:pPr>
        <w:spacing w:after="60"/>
        <w:ind w:left="340" w:hanging="340"/>
      </w:pPr>
      <w:r>
        <w:rPr>
          <w:rFonts w:ascii="游ゴシック" w:hAnsi="游ゴシック" w:eastAsia="游ゴシック"/>
          <w:b w:val="0"/>
          <w:sz w:val="21"/>
        </w:rPr>
        <w:t>・所見19　【参考・時点混在】特定施設の入居者の要介護度構成（同一時点の3施設データ）</w:t>
      </w:r>
    </w:p>
    <w:p>
      <w:pPr>
        <w:ind w:left="227"/>
      </w:pPr>
      <w:r>
        <w:rPr>
          <w:rFonts w:ascii="游ゴシック" w:hAnsi="游ゴシック" w:eastAsia="游ゴシック"/>
          <w:b w:val="0"/>
          <w:sz w:val="18"/>
        </w:rPr>
        <w:t>※ 計画本文には確認事項の注記を書きません（発注者のご指示）。反映の管理は計画素案の別管理表と業務工程管理表で行います。</w:t>
      </w:r>
    </w:p>
    <w:p>
      <w:pPr>
        <w:keepNext/>
        <w:pageBreakBefore/>
        <w:spacing w:before="0" w:after="120"/>
      </w:pPr>
      <w:r>
        <w:rPr>
          <w:rFonts w:ascii="游ゴシック" w:hAnsi="游ゴシック" w:eastAsia="游ゴシック"/>
          <w:b/>
          <w:color w:val="1F3864"/>
          <w:sz w:val="26"/>
        </w:rPr>
        <w:t>第9節　調査結果の限界と留保</w:t>
      </w:r>
    </w:p>
    <w:p>
      <w:pPr>
        <w:spacing w:after="80"/>
      </w:pPr>
      <w:r>
        <w:rPr>
          <w:rFonts w:ascii="游ゴシック" w:hAnsi="游ゴシック" w:eastAsia="游ゴシック"/>
          <w:b w:val="0"/>
          <w:sz w:val="21"/>
        </w:rPr>
        <w:t>本報告書の数値を計画本文に用いる際の留保は16件です。うち11件は計画本文に数値を載せる際に必ず付すもの（必須）、4件は点検事項の取扱いの決定を待つものです。</w:t>
      </w:r>
    </w:p>
    <w:p>
      <w:pPr>
        <w:keepNext/>
        <w:spacing w:before="160" w:after="40"/>
      </w:pPr>
      <w:r>
        <w:rPr>
          <w:rFonts w:ascii="游ゴシック" w:hAnsi="游ゴシック" w:eastAsia="游ゴシック"/>
          <w:b/>
          <w:sz w:val="20"/>
        </w:rPr>
        <w:t>表13　留保の区分</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701"/>
            <w:shd w:val="clear" w:color="auto" w:fill="1F3864"/>
            <w:vAlign w:val="center"/>
          </w:tcPr>
          <w:p>
            <w:pPr>
              <w:keepNext/>
              <w:spacing w:after="0"/>
              <w:jc w:val="center"/>
            </w:pPr>
            <w:r>
              <w:rPr>
                <w:rFonts w:ascii="游ゴシック" w:hAnsi="游ゴシック" w:eastAsia="游ゴシック"/>
                <w:b/>
                <w:color w:val="FFFFFF"/>
                <w:sz w:val="18"/>
              </w:rPr>
              <w:t>区分</w:t>
            </w:r>
          </w:p>
        </w:tc>
        <w:tc>
          <w:tcPr>
            <w:tcW w:type="dxa" w:w="1247"/>
            <w:shd w:val="clear" w:color="auto" w:fill="1F3864"/>
            <w:vAlign w:val="center"/>
          </w:tcPr>
          <w:p>
            <w:pPr>
              <w:keepNext/>
              <w:spacing w:after="0"/>
              <w:jc w:val="center"/>
            </w:pPr>
            <w:r>
              <w:rPr>
                <w:rFonts w:ascii="游ゴシック" w:hAnsi="游ゴシック" w:eastAsia="游ゴシック"/>
                <w:b/>
                <w:color w:val="FFFFFF"/>
                <w:sz w:val="18"/>
              </w:rPr>
              <w:t>件数</w:t>
            </w:r>
          </w:p>
        </w:tc>
        <w:tc>
          <w:tcPr>
            <w:tcW w:type="dxa" w:w="5102"/>
            <w:shd w:val="clear" w:color="auto" w:fill="1F3864"/>
            <w:vAlign w:val="center"/>
          </w:tcPr>
          <w:p>
            <w:pPr>
              <w:keepNext/>
              <w:spacing w:after="0"/>
              <w:jc w:val="center"/>
            </w:pPr>
            <w:r>
              <w:rPr>
                <w:rFonts w:ascii="游ゴシック" w:hAnsi="游ゴシック" w:eastAsia="游ゴシック"/>
                <w:b/>
                <w:color w:val="FFFFFF"/>
                <w:sz w:val="18"/>
              </w:rPr>
              <w:t>意味</w:t>
            </w:r>
          </w:p>
        </w:tc>
      </w:tr>
      <w:tr>
        <w:trPr>
          <w:cantSplit/>
        </w:trPr>
        <w:tc>
          <w:tcPr>
            <w:tcW w:type="dxa" w:w="1701"/>
            <w:vAlign w:val="center"/>
          </w:tcPr>
          <w:p>
            <w:pPr>
              <w:keepNext/>
              <w:spacing w:after="0"/>
              <w:jc w:val="center"/>
            </w:pPr>
            <w:r>
              <w:rPr>
                <w:rFonts w:ascii="游ゴシック" w:hAnsi="游ゴシック" w:eastAsia="游ゴシック"/>
                <w:b/>
                <w:sz w:val="18"/>
              </w:rPr>
              <w:t>必須</w:t>
            </w:r>
          </w:p>
        </w:tc>
        <w:tc>
          <w:tcPr>
            <w:tcW w:type="dxa" w:w="1247"/>
            <w:vAlign w:val="center"/>
          </w:tcPr>
          <w:p>
            <w:pPr>
              <w:keepNext/>
              <w:spacing w:after="0"/>
              <w:jc w:val="center"/>
            </w:pPr>
            <w:r>
              <w:rPr>
                <w:rFonts w:ascii="游ゴシック" w:hAnsi="游ゴシック" w:eastAsia="游ゴシック"/>
                <w:b/>
                <w:sz w:val="18"/>
              </w:rPr>
              <w:t>11件</w:t>
            </w:r>
          </w:p>
        </w:tc>
        <w:tc>
          <w:tcPr>
            <w:tcW w:type="dxa" w:w="5102"/>
            <w:vAlign w:val="center"/>
          </w:tcPr>
          <w:p>
            <w:pPr>
              <w:keepNext/>
              <w:spacing w:after="0"/>
            </w:pPr>
            <w:r>
              <w:rPr>
                <w:rFonts w:ascii="游ゴシック" w:hAnsi="游ゴシック" w:eastAsia="游ゴシック"/>
                <w:b w:val="0"/>
                <w:sz w:val="18"/>
              </w:rPr>
              <w:t>計画本文に数値を載せる際に必ず付す</w:t>
            </w:r>
          </w:p>
        </w:tc>
      </w:tr>
      <w:tr>
        <w:trPr>
          <w:cantSplit/>
        </w:trPr>
        <w:tc>
          <w:tcPr>
            <w:tcW w:type="dxa" w:w="1701"/>
            <w:shd w:val="clear" w:color="auto" w:fill="F2F5FA"/>
            <w:vAlign w:val="center"/>
          </w:tcPr>
          <w:p>
            <w:pPr>
              <w:keepNext/>
              <w:spacing w:after="0"/>
              <w:jc w:val="center"/>
            </w:pPr>
            <w:r>
              <w:rPr>
                <w:rFonts w:ascii="游ゴシック" w:hAnsi="游ゴシック" w:eastAsia="游ゴシック"/>
                <w:b/>
                <w:sz w:val="18"/>
              </w:rPr>
              <w:t>決定待ち</w:t>
            </w:r>
          </w:p>
        </w:tc>
        <w:tc>
          <w:tcPr>
            <w:tcW w:type="dxa" w:w="1247"/>
            <w:shd w:val="clear" w:color="auto" w:fill="F2F5FA"/>
            <w:vAlign w:val="center"/>
          </w:tcPr>
          <w:p>
            <w:pPr>
              <w:keepNext/>
              <w:spacing w:after="0"/>
              <w:jc w:val="center"/>
            </w:pPr>
            <w:r>
              <w:rPr>
                <w:rFonts w:ascii="游ゴシック" w:hAnsi="游ゴシック" w:eastAsia="游ゴシック"/>
                <w:b/>
                <w:sz w:val="18"/>
              </w:rPr>
              <w:t>4件</w:t>
            </w:r>
          </w:p>
        </w:tc>
        <w:tc>
          <w:tcPr>
            <w:tcW w:type="dxa" w:w="5102"/>
            <w:shd w:val="clear" w:color="auto" w:fill="F2F5FA"/>
            <w:vAlign w:val="center"/>
          </w:tcPr>
          <w:p>
            <w:pPr>
              <w:keepNext/>
              <w:spacing w:after="0"/>
            </w:pPr>
            <w:r>
              <w:rPr>
                <w:rFonts w:ascii="游ゴシック" w:hAnsi="游ゴシック" w:eastAsia="游ゴシック"/>
                <w:b w:val="0"/>
                <w:sz w:val="18"/>
              </w:rPr>
              <w:t>点検事項の取扱いの決定による</w:t>
            </w:r>
          </w:p>
        </w:tc>
      </w:tr>
      <w:tr>
        <w:trPr>
          <w:cantSplit/>
        </w:trPr>
        <w:tc>
          <w:tcPr>
            <w:tcW w:type="dxa" w:w="1701"/>
            <w:vAlign w:val="center"/>
          </w:tcPr>
          <w:p>
            <w:pPr>
              <w:spacing w:after="0"/>
              <w:jc w:val="center"/>
            </w:pPr>
            <w:r>
              <w:rPr>
                <w:rFonts w:ascii="游ゴシック" w:hAnsi="游ゴシック" w:eastAsia="游ゴシック"/>
                <w:b/>
                <w:sz w:val="18"/>
              </w:rPr>
              <w:t>決定済</w:t>
            </w:r>
          </w:p>
        </w:tc>
        <w:tc>
          <w:tcPr>
            <w:tcW w:type="dxa" w:w="1247"/>
            <w:vAlign w:val="center"/>
          </w:tcPr>
          <w:p>
            <w:pPr>
              <w:spacing w:after="0"/>
              <w:jc w:val="center"/>
            </w:pPr>
            <w:r>
              <w:rPr>
                <w:rFonts w:ascii="游ゴシック" w:hAnsi="游ゴシック" w:eastAsia="游ゴシック"/>
                <w:b/>
                <w:sz w:val="18"/>
              </w:rPr>
              <w:t>1件</w:t>
            </w:r>
          </w:p>
        </w:tc>
        <w:tc>
          <w:tcPr>
            <w:tcW w:type="dxa" w:w="5102"/>
            <w:vAlign w:val="center"/>
          </w:tcPr>
          <w:p>
            <w:pPr>
              <w:spacing w:after="0"/>
            </w:pPr>
            <w:r>
              <w:rPr>
                <w:rFonts w:ascii="游ゴシック" w:hAnsi="游ゴシック" w:eastAsia="游ゴシック"/>
                <w:b w:val="0"/>
                <w:sz w:val="18"/>
              </w:rPr>
              <w:t>取扱いが決まっており記述しない</w:t>
            </w:r>
          </w:p>
        </w:tc>
      </w:tr>
    </w:tbl>
    <w:p>
      <w:pPr>
        <w:keepNext/>
        <w:spacing w:before="180" w:after="60"/>
      </w:pPr>
      <w:r>
        <w:rPr>
          <w:rFonts w:ascii="游ゴシック" w:hAnsi="游ゴシック" w:eastAsia="游ゴシック"/>
          <w:b/>
          <w:sz w:val="22"/>
        </w:rPr>
        <w:t>留保のうち、解消したものと大きさを数値で示せたもの</w:t>
      </w:r>
    </w:p>
    <w:p>
      <w:pPr>
        <w:spacing w:after="80"/>
      </w:pPr>
      <w:r>
        <w:rPr>
          <w:rFonts w:ascii="游ゴシック" w:hAnsi="游ゴシック" w:eastAsia="游ゴシック"/>
          <w:b w:val="0"/>
          <w:sz w:val="21"/>
        </w:rPr>
        <w:t>介護サービス情報公表システム・国勢調査・北海道の名簿・年報（令和7年度）の要介護度別の明細により、留保の一部を解消し、又は大きさを測定しました。</w:t>
      </w:r>
    </w:p>
    <w:p>
      <w:pPr>
        <w:keepNext/>
        <w:spacing w:before="160" w:after="40"/>
      </w:pPr>
      <w:r>
        <w:rPr>
          <w:rFonts w:ascii="游ゴシック" w:hAnsi="游ゴシック" w:eastAsia="游ゴシック"/>
          <w:b/>
          <w:sz w:val="20"/>
        </w:rPr>
        <w:t>表14　留保の解消と測定の状況</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701"/>
            <w:shd w:val="clear" w:color="auto" w:fill="1F3864"/>
            <w:vAlign w:val="center"/>
          </w:tcPr>
          <w:p>
            <w:pPr>
              <w:keepNext/>
              <w:spacing w:after="0"/>
              <w:jc w:val="center"/>
            </w:pPr>
            <w:r>
              <w:rPr>
                <w:rFonts w:ascii="游ゴシック" w:hAnsi="游ゴシック" w:eastAsia="游ゴシック"/>
                <w:b/>
                <w:color w:val="FFFFFF"/>
                <w:sz w:val="18"/>
              </w:rPr>
              <w:t>状態</w:t>
            </w:r>
          </w:p>
        </w:tc>
        <w:tc>
          <w:tcPr>
            <w:tcW w:type="dxa" w:w="1247"/>
            <w:shd w:val="clear" w:color="auto" w:fill="1F3864"/>
            <w:vAlign w:val="center"/>
          </w:tcPr>
          <w:p>
            <w:pPr>
              <w:keepNext/>
              <w:spacing w:after="0"/>
              <w:jc w:val="center"/>
            </w:pPr>
            <w:r>
              <w:rPr>
                <w:rFonts w:ascii="游ゴシック" w:hAnsi="游ゴシック" w:eastAsia="游ゴシック"/>
                <w:b/>
                <w:color w:val="FFFFFF"/>
                <w:sz w:val="18"/>
              </w:rPr>
              <w:t>件数</w:t>
            </w:r>
          </w:p>
        </w:tc>
        <w:tc>
          <w:tcPr>
            <w:tcW w:type="dxa" w:w="5102"/>
            <w:shd w:val="clear" w:color="auto" w:fill="1F3864"/>
            <w:vAlign w:val="center"/>
          </w:tcPr>
          <w:p>
            <w:pPr>
              <w:keepNext/>
              <w:spacing w:after="0"/>
              <w:jc w:val="center"/>
            </w:pPr>
            <w:r>
              <w:rPr>
                <w:rFonts w:ascii="游ゴシック" w:hAnsi="游ゴシック" w:eastAsia="游ゴシック"/>
                <w:b/>
                <w:color w:val="FFFFFF"/>
                <w:sz w:val="18"/>
              </w:rPr>
              <w:t>内容</w:t>
            </w:r>
          </w:p>
        </w:tc>
      </w:tr>
      <w:tr>
        <w:trPr>
          <w:cantSplit/>
        </w:trPr>
        <w:tc>
          <w:tcPr>
            <w:tcW w:type="dxa" w:w="1701"/>
            <w:vAlign w:val="center"/>
          </w:tcPr>
          <w:p>
            <w:pPr>
              <w:keepNext/>
              <w:spacing w:after="0"/>
              <w:jc w:val="center"/>
            </w:pPr>
            <w:r>
              <w:rPr>
                <w:rFonts w:ascii="游ゴシック" w:hAnsi="游ゴシック" w:eastAsia="游ゴシック"/>
                <w:b/>
                <w:sz w:val="18"/>
              </w:rPr>
              <w:t>解消</w:t>
            </w:r>
          </w:p>
        </w:tc>
        <w:tc>
          <w:tcPr>
            <w:tcW w:type="dxa" w:w="1247"/>
            <w:vAlign w:val="center"/>
          </w:tcPr>
          <w:p>
            <w:pPr>
              <w:keepNext/>
              <w:spacing w:after="0"/>
              <w:jc w:val="center"/>
            </w:pPr>
            <w:r>
              <w:rPr>
                <w:rFonts w:ascii="游ゴシック" w:hAnsi="游ゴシック" w:eastAsia="游ゴシック"/>
                <w:b/>
                <w:sz w:val="18"/>
              </w:rPr>
              <w:t>6件</w:t>
            </w:r>
          </w:p>
        </w:tc>
        <w:tc>
          <w:tcPr>
            <w:tcW w:type="dxa" w:w="5102"/>
            <w:vAlign w:val="center"/>
          </w:tcPr>
          <w:p>
            <w:pPr>
              <w:keepNext/>
              <w:spacing w:after="0"/>
            </w:pPr>
            <w:r>
              <w:rPr>
                <w:rFonts w:ascii="游ゴシック" w:hAnsi="游ゴシック" w:eastAsia="游ゴシック"/>
                <w:b w:val="0"/>
                <w:sz w:val="18"/>
              </w:rPr>
              <w:t>公表データにより母数又は数値が確定した</w:t>
            </w:r>
          </w:p>
        </w:tc>
      </w:tr>
      <w:tr>
        <w:trPr>
          <w:cantSplit/>
        </w:trPr>
        <w:tc>
          <w:tcPr>
            <w:tcW w:type="dxa" w:w="1701"/>
            <w:shd w:val="clear" w:color="auto" w:fill="F2F5FA"/>
            <w:vAlign w:val="center"/>
          </w:tcPr>
          <w:p>
            <w:pPr>
              <w:keepNext/>
              <w:spacing w:after="0"/>
              <w:jc w:val="center"/>
            </w:pPr>
            <w:r>
              <w:rPr>
                <w:rFonts w:ascii="游ゴシック" w:hAnsi="游ゴシック" w:eastAsia="游ゴシック"/>
                <w:b/>
                <w:sz w:val="18"/>
              </w:rPr>
              <w:t>測定済み</w:t>
            </w:r>
          </w:p>
        </w:tc>
        <w:tc>
          <w:tcPr>
            <w:tcW w:type="dxa" w:w="1247"/>
            <w:shd w:val="clear" w:color="auto" w:fill="F2F5FA"/>
            <w:vAlign w:val="center"/>
          </w:tcPr>
          <w:p>
            <w:pPr>
              <w:keepNext/>
              <w:spacing w:after="0"/>
              <w:jc w:val="center"/>
            </w:pPr>
            <w:r>
              <w:rPr>
                <w:rFonts w:ascii="游ゴシック" w:hAnsi="游ゴシック" w:eastAsia="游ゴシック"/>
                <w:b/>
                <w:sz w:val="18"/>
              </w:rPr>
              <w:t>3件</w:t>
            </w:r>
          </w:p>
        </w:tc>
        <w:tc>
          <w:tcPr>
            <w:tcW w:type="dxa" w:w="5102"/>
            <w:shd w:val="clear" w:color="auto" w:fill="F2F5FA"/>
            <w:vAlign w:val="center"/>
          </w:tcPr>
          <w:p>
            <w:pPr>
              <w:keepNext/>
              <w:spacing w:after="0"/>
            </w:pPr>
            <w:r>
              <w:rPr>
                <w:rFonts w:ascii="游ゴシック" w:hAnsi="游ゴシック" w:eastAsia="游ゴシック"/>
                <w:b w:val="0"/>
                <w:sz w:val="18"/>
              </w:rPr>
              <w:t>留保そのものは残るが、大きさと向きを数値で示せる</w:t>
            </w:r>
          </w:p>
        </w:tc>
      </w:tr>
      <w:tr>
        <w:trPr>
          <w:cantSplit/>
        </w:trPr>
        <w:tc>
          <w:tcPr>
            <w:tcW w:type="dxa" w:w="1701"/>
            <w:vAlign w:val="center"/>
          </w:tcPr>
          <w:p>
            <w:pPr>
              <w:keepNext/>
              <w:spacing w:after="0"/>
              <w:jc w:val="center"/>
            </w:pPr>
            <w:r>
              <w:rPr>
                <w:rFonts w:ascii="游ゴシック" w:hAnsi="游ゴシック" w:eastAsia="游ゴシック"/>
                <w:b/>
                <w:sz w:val="18"/>
              </w:rPr>
              <w:t>未解消</w:t>
            </w:r>
          </w:p>
        </w:tc>
        <w:tc>
          <w:tcPr>
            <w:tcW w:type="dxa" w:w="1247"/>
            <w:vAlign w:val="center"/>
          </w:tcPr>
          <w:p>
            <w:pPr>
              <w:keepNext/>
              <w:spacing w:after="0"/>
              <w:jc w:val="center"/>
            </w:pPr>
            <w:r>
              <w:rPr>
                <w:rFonts w:ascii="游ゴシック" w:hAnsi="游ゴシック" w:eastAsia="游ゴシック"/>
                <w:b/>
                <w:sz w:val="18"/>
              </w:rPr>
              <w:t>2件</w:t>
            </w:r>
          </w:p>
        </w:tc>
        <w:tc>
          <w:tcPr>
            <w:tcW w:type="dxa" w:w="5102"/>
            <w:vAlign w:val="center"/>
          </w:tcPr>
          <w:p>
            <w:pPr>
              <w:keepNext/>
              <w:spacing w:after="0"/>
            </w:pPr>
            <w:r>
              <w:rPr>
                <w:rFonts w:ascii="游ゴシック" w:hAnsi="游ゴシック" w:eastAsia="游ゴシック"/>
                <w:b w:val="0"/>
                <w:sz w:val="18"/>
              </w:rPr>
              <w:t>解消できない</w:t>
            </w:r>
          </w:p>
        </w:tc>
      </w:tr>
      <w:tr>
        <w:trPr>
          <w:cantSplit/>
        </w:trPr>
        <w:tc>
          <w:tcPr>
            <w:tcW w:type="dxa" w:w="1701"/>
            <w:shd w:val="clear" w:color="auto" w:fill="F2F5FA"/>
            <w:vAlign w:val="center"/>
          </w:tcPr>
          <w:p>
            <w:pPr>
              <w:keepNext/>
              <w:spacing w:after="0"/>
              <w:jc w:val="center"/>
            </w:pPr>
            <w:r>
              <w:rPr>
                <w:rFonts w:ascii="游ゴシック" w:hAnsi="游ゴシック" w:eastAsia="游ゴシック"/>
                <w:b/>
                <w:sz w:val="18"/>
              </w:rPr>
              <w:t>一部解消</w:t>
            </w:r>
          </w:p>
        </w:tc>
        <w:tc>
          <w:tcPr>
            <w:tcW w:type="dxa" w:w="1247"/>
            <w:shd w:val="clear" w:color="auto" w:fill="F2F5FA"/>
            <w:vAlign w:val="center"/>
          </w:tcPr>
          <w:p>
            <w:pPr>
              <w:keepNext/>
              <w:spacing w:after="0"/>
              <w:jc w:val="center"/>
            </w:pPr>
            <w:r>
              <w:rPr>
                <w:rFonts w:ascii="游ゴシック" w:hAnsi="游ゴシック" w:eastAsia="游ゴシック"/>
                <w:b/>
                <w:sz w:val="18"/>
              </w:rPr>
              <w:t>1件</w:t>
            </w:r>
          </w:p>
        </w:tc>
        <w:tc>
          <w:tcPr>
            <w:tcW w:type="dxa" w:w="5102"/>
            <w:shd w:val="clear" w:color="auto" w:fill="F2F5FA"/>
            <w:vAlign w:val="center"/>
          </w:tcPr>
          <w:p>
            <w:pPr>
              <w:keepNext/>
              <w:spacing w:after="0"/>
            </w:pPr>
            <w:r>
              <w:rPr>
                <w:rFonts w:ascii="游ゴシック" w:hAnsi="游ゴシック" w:eastAsia="游ゴシック"/>
                <w:b w:val="0"/>
                <w:sz w:val="18"/>
              </w:rPr>
              <w:t>一部のサービスのみ解消した</w:t>
            </w:r>
          </w:p>
        </w:tc>
      </w:tr>
      <w:tr>
        <w:trPr>
          <w:cantSplit/>
        </w:trPr>
        <w:tc>
          <w:tcPr>
            <w:tcW w:type="dxa" w:w="1701"/>
            <w:vAlign w:val="center"/>
          </w:tcPr>
          <w:p>
            <w:pPr>
              <w:keepNext/>
              <w:spacing w:after="0"/>
              <w:jc w:val="center"/>
            </w:pPr>
            <w:r>
              <w:rPr>
                <w:rFonts w:ascii="游ゴシック" w:hAnsi="游ゴシック" w:eastAsia="游ゴシック"/>
                <w:b/>
                <w:sz w:val="18"/>
              </w:rPr>
              <w:t>公表待ち</w:t>
            </w:r>
          </w:p>
        </w:tc>
        <w:tc>
          <w:tcPr>
            <w:tcW w:type="dxa" w:w="1247"/>
            <w:vAlign w:val="center"/>
          </w:tcPr>
          <w:p>
            <w:pPr>
              <w:keepNext/>
              <w:spacing w:after="0"/>
              <w:jc w:val="center"/>
            </w:pPr>
            <w:r>
              <w:rPr>
                <w:rFonts w:ascii="游ゴシック" w:hAnsi="游ゴシック" w:eastAsia="游ゴシック"/>
                <w:b/>
                <w:sz w:val="18"/>
              </w:rPr>
              <w:t>1件</w:t>
            </w:r>
          </w:p>
        </w:tc>
        <w:tc>
          <w:tcPr>
            <w:tcW w:type="dxa" w:w="5102"/>
            <w:vAlign w:val="center"/>
          </w:tcPr>
          <w:p>
            <w:pPr>
              <w:keepNext/>
              <w:spacing w:after="0"/>
            </w:pPr>
            <w:r>
              <w:rPr>
                <w:rFonts w:ascii="游ゴシック" w:hAnsi="游ゴシック" w:eastAsia="游ゴシック"/>
                <w:b w:val="0"/>
                <w:sz w:val="18"/>
              </w:rPr>
              <w:t>公表を待つ</w:t>
            </w:r>
          </w:p>
        </w:tc>
      </w:tr>
      <w:tr>
        <w:trPr>
          <w:cantSplit/>
        </w:trPr>
        <w:tc>
          <w:tcPr>
            <w:tcW w:type="dxa" w:w="1701"/>
            <w:shd w:val="clear" w:color="auto" w:fill="F2F5FA"/>
            <w:vAlign w:val="center"/>
          </w:tcPr>
          <w:p>
            <w:pPr>
              <w:spacing w:after="0"/>
              <w:jc w:val="center"/>
            </w:pPr>
            <w:r>
              <w:rPr>
                <w:rFonts w:ascii="游ゴシック" w:hAnsi="游ゴシック" w:eastAsia="游ゴシック"/>
                <w:b/>
                <w:sz w:val="18"/>
              </w:rPr>
              <w:t>決定待ち</w:t>
            </w:r>
          </w:p>
        </w:tc>
        <w:tc>
          <w:tcPr>
            <w:tcW w:type="dxa" w:w="1247"/>
            <w:shd w:val="clear" w:color="auto" w:fill="F2F5FA"/>
            <w:vAlign w:val="center"/>
          </w:tcPr>
          <w:p>
            <w:pPr>
              <w:spacing w:after="0"/>
              <w:jc w:val="center"/>
            </w:pPr>
            <w:r>
              <w:rPr>
                <w:rFonts w:ascii="游ゴシック" w:hAnsi="游ゴシック" w:eastAsia="游ゴシック"/>
                <w:b/>
                <w:sz w:val="18"/>
              </w:rPr>
              <w:t>1件</w:t>
            </w:r>
          </w:p>
        </w:tc>
        <w:tc>
          <w:tcPr>
            <w:tcW w:type="dxa" w:w="5102"/>
            <w:shd w:val="clear" w:color="auto" w:fill="F2F5FA"/>
            <w:vAlign w:val="center"/>
          </w:tcPr>
          <w:p>
            <w:pPr>
              <w:spacing w:after="0"/>
            </w:pPr>
            <w:r>
              <w:rPr>
                <w:rFonts w:ascii="游ゴシック" w:hAnsi="游ゴシック" w:eastAsia="游ゴシック"/>
                <w:b w:val="0"/>
                <w:sz w:val="18"/>
              </w:rPr>
              <w:t>取扱いの決定を待つ</w:t>
            </w:r>
          </w:p>
        </w:tc>
      </w:tr>
    </w:tbl>
    <w:p>
      <w:pPr>
        <w:spacing w:after="80"/>
      </w:pPr>
      <w:r>
        <w:rPr>
          <w:rFonts w:ascii="游ゴシック" w:hAnsi="游ゴシック" w:eastAsia="游ゴシック"/>
          <w:b/>
          <w:sz w:val="21"/>
        </w:rPr>
        <w:t>「測定済み」は令和8年9月に新たに設けた区分です。</w:t>
      </w:r>
      <w:r>
        <w:rPr>
          <w:rFonts w:ascii="游ゴシック" w:hAnsi="游ゴシック" w:eastAsia="游ゴシック"/>
          <w:b w:val="0"/>
          <w:sz w:val="21"/>
        </w:rPr>
        <w:t>留保そのものは残りますが、どちらへどれだけ偏っているかを数値で示せるようになったものです。調査①の代表性（要介護度の分布の検定）と、在籍と受給の差がこれに当たります。</w:t>
      </w:r>
    </w:p>
    <w:p>
      <w:pPr>
        <w:ind w:left="227"/>
      </w:pPr>
      <w:r>
        <w:rPr>
          <w:rFonts w:ascii="游ゴシック" w:hAnsi="游ゴシック" w:eastAsia="游ゴシック"/>
          <w:b w:val="0"/>
          <w:sz w:val="18"/>
        </w:rPr>
        <w:t>※ 最も重い留保は、調査①の利用者票が課題のある利用者を抽出する設計であることです（留保No.2・No.7）。母集団が「在宅で困難を抱える方」であることを記述のたびに明示します。</w:t>
      </w:r>
    </w:p>
    <w:p>
      <w:pPr>
        <w:keepNext/>
        <w:pageBreakBefore/>
        <w:spacing w:before="0" w:after="120"/>
      </w:pPr>
      <w:r>
        <w:rPr>
          <w:rFonts w:ascii="游ゴシック" w:hAnsi="游ゴシック" w:eastAsia="游ゴシック"/>
          <w:b/>
          <w:color w:val="1F3864"/>
          <w:sz w:val="26"/>
        </w:rPr>
        <w:t>第10節　ご判断をお願いする事項</w:t>
      </w:r>
    </w:p>
    <w:p>
      <w:pPr>
        <w:spacing w:after="80"/>
      </w:pPr>
      <w:r>
        <w:rPr>
          <w:rFonts w:ascii="游ゴシック" w:hAnsi="游ゴシック" w:eastAsia="游ゴシック"/>
          <w:b w:val="0"/>
          <w:sz w:val="21"/>
        </w:rPr>
        <w:t>アンケート分析でご判断をお願いする事項は3件です。</w:t>
      </w:r>
      <w:r>
        <w:rPr>
          <w:rFonts w:ascii="游ゴシック" w:hAnsi="游ゴシック" w:eastAsia="游ゴシック"/>
          <w:b/>
          <w:sz w:val="21"/>
        </w:rPr>
        <w:t>このうち確認事項No.8（点検事項の重大6件の取扱い）により、所見9件の反映と成果品の確定値化が動きます。</w:t>
      </w:r>
      <w:r>
        <w:rPr>
          <w:rFonts w:ascii="游ゴシック" w:hAnsi="游ゴシック" w:eastAsia="游ゴシック"/>
          <w:b w:val="0"/>
          <w:sz w:val="21"/>
        </w:rPr>
        <w:t>他の2件は記述の範囲と資料の再提供に関するものです。</w:t>
      </w:r>
    </w:p>
    <w:p>
      <w:pPr>
        <w:keepNext/>
        <w:spacing w:before="160" w:after="40"/>
      </w:pPr>
      <w:r>
        <w:rPr>
          <w:rFonts w:ascii="游ゴシック" w:hAnsi="游ゴシック" w:eastAsia="游ゴシック"/>
          <w:b/>
          <w:sz w:val="20"/>
        </w:rPr>
        <w:t>表15　ご判断をお願いする事項</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134"/>
            <w:shd w:val="clear" w:color="auto" w:fill="1F3864"/>
            <w:vAlign w:val="center"/>
          </w:tcPr>
          <w:p>
            <w:pPr>
              <w:keepNext/>
              <w:spacing w:after="0"/>
              <w:jc w:val="center"/>
            </w:pPr>
            <w:r>
              <w:rPr>
                <w:rFonts w:ascii="游ゴシック" w:hAnsi="游ゴシック" w:eastAsia="游ゴシック"/>
                <w:b/>
                <w:color w:val="FFFFFF"/>
                <w:sz w:val="18"/>
              </w:rPr>
              <w:t>確認事項</w:t>
            </w:r>
          </w:p>
        </w:tc>
        <w:tc>
          <w:tcPr>
            <w:tcW w:type="dxa" w:w="1928"/>
            <w:shd w:val="clear" w:color="auto" w:fill="1F3864"/>
            <w:vAlign w:val="center"/>
          </w:tcPr>
          <w:p>
            <w:pPr>
              <w:keepNext/>
              <w:spacing w:after="0"/>
              <w:jc w:val="center"/>
            </w:pPr>
            <w:r>
              <w:rPr>
                <w:rFonts w:ascii="游ゴシック" w:hAnsi="游ゴシック" w:eastAsia="游ゴシック"/>
                <w:b/>
                <w:color w:val="FFFFFF"/>
                <w:sz w:val="18"/>
              </w:rPr>
              <w:t>件名</w:t>
            </w:r>
          </w:p>
        </w:tc>
        <w:tc>
          <w:tcPr>
            <w:tcW w:type="dxa" w:w="3628"/>
            <w:shd w:val="clear" w:color="auto" w:fill="1F3864"/>
            <w:vAlign w:val="center"/>
          </w:tcPr>
          <w:p>
            <w:pPr>
              <w:keepNext/>
              <w:spacing w:after="0"/>
              <w:jc w:val="center"/>
            </w:pPr>
            <w:r>
              <w:rPr>
                <w:rFonts w:ascii="游ゴシック" w:hAnsi="游ゴシック" w:eastAsia="游ゴシック"/>
                <w:b/>
                <w:color w:val="FFFFFF"/>
                <w:sz w:val="18"/>
              </w:rPr>
              <w:t>内容</w:t>
            </w:r>
          </w:p>
        </w:tc>
        <w:tc>
          <w:tcPr>
            <w:tcW w:type="dxa" w:w="2835"/>
            <w:shd w:val="clear" w:color="auto" w:fill="1F3864"/>
            <w:vAlign w:val="center"/>
          </w:tcPr>
          <w:p>
            <w:pPr>
              <w:keepNext/>
              <w:spacing w:after="0"/>
              <w:jc w:val="center"/>
            </w:pPr>
            <w:r>
              <w:rPr>
                <w:rFonts w:ascii="游ゴシック" w:hAnsi="游ゴシック" w:eastAsia="游ゴシック"/>
                <w:b/>
                <w:color w:val="FFFFFF"/>
                <w:sz w:val="18"/>
              </w:rPr>
              <w:t>決着しない場合の扱い</w:t>
            </w:r>
          </w:p>
        </w:tc>
      </w:tr>
      <w:tr>
        <w:trPr>
          <w:cantSplit/>
        </w:trPr>
        <w:tc>
          <w:tcPr>
            <w:tcW w:type="dxa" w:w="1134"/>
            <w:vAlign w:val="center"/>
          </w:tcPr>
          <w:p>
            <w:pPr>
              <w:keepNext/>
              <w:spacing w:after="0"/>
            </w:pPr>
            <w:r>
              <w:rPr>
                <w:rFonts w:ascii="游ゴシック" w:hAnsi="游ゴシック" w:eastAsia="游ゴシック"/>
                <w:b/>
                <w:sz w:val="18"/>
              </w:rPr>
              <w:t>No.8</w:t>
            </w:r>
          </w:p>
        </w:tc>
        <w:tc>
          <w:tcPr>
            <w:tcW w:type="dxa" w:w="1928"/>
            <w:vAlign w:val="center"/>
          </w:tcPr>
          <w:p>
            <w:pPr>
              <w:keepNext/>
              <w:spacing w:after="0"/>
            </w:pPr>
            <w:r>
              <w:rPr>
                <w:rFonts w:ascii="游ゴシック" w:hAnsi="游ゴシック" w:eastAsia="游ゴシック"/>
                <w:b w:val="0"/>
                <w:sz w:val="18"/>
              </w:rPr>
              <w:t>3調査の点検事項の重大6件の取扱い</w:t>
            </w:r>
          </w:p>
        </w:tc>
        <w:tc>
          <w:tcPr>
            <w:tcW w:type="dxa" w:w="3628"/>
            <w:vAlign w:val="center"/>
          </w:tcPr>
          <w:p>
            <w:pPr>
              <w:keepNext/>
              <w:spacing w:after="0"/>
            </w:pPr>
            <w:r>
              <w:rPr>
                <w:rFonts w:ascii="游ゴシック" w:hAnsi="游ゴシック" w:eastAsia="游ゴシック"/>
                <w:b w:val="0"/>
                <w:sz w:val="18"/>
              </w:rPr>
              <w:t>①職員数の二重計上（No.1）②利用者票の回答の偏り（No.2）③所在地区の記入形式（No.3）④老健・通所リハと見える化の乖離（No.31）⑤区域内最大の特定施設の未回答（No.32）⑥特別養護老人ホームの待機者の重複（No.13）。いずれも計画本文へ反映する数値の確定に必要である</w:t>
            </w:r>
          </w:p>
        </w:tc>
        <w:tc>
          <w:tcPr>
            <w:tcW w:type="dxa" w:w="2835"/>
            <w:vAlign w:val="center"/>
          </w:tcPr>
          <w:p>
            <w:pPr>
              <w:keepNext/>
              <w:spacing w:after="0"/>
            </w:pPr>
            <w:r>
              <w:rPr>
                <w:rFonts w:ascii="游ゴシック" w:hAnsi="游ゴシック" w:eastAsia="游ゴシック"/>
                <w:b/>
                <w:sz w:val="18"/>
              </w:rPr>
              <w:t>受託者の案（介護職員348人・偏りを明記して実数で記述するなど）により記述し、その旨を注記する</w:t>
            </w:r>
          </w:p>
        </w:tc>
      </w:tr>
      <w:tr>
        <w:trPr>
          <w:cantSplit/>
        </w:trPr>
        <w:tc>
          <w:tcPr>
            <w:tcW w:type="dxa" w:w="1134"/>
            <w:shd w:val="clear" w:color="auto" w:fill="F2F5FA"/>
            <w:vAlign w:val="center"/>
          </w:tcPr>
          <w:p>
            <w:pPr>
              <w:keepNext/>
              <w:spacing w:after="0"/>
            </w:pPr>
            <w:r>
              <w:rPr>
                <w:rFonts w:ascii="游ゴシック" w:hAnsi="游ゴシック" w:eastAsia="游ゴシック"/>
                <w:b/>
                <w:sz w:val="18"/>
              </w:rPr>
              <w:t>No.9</w:t>
            </w:r>
          </w:p>
        </w:tc>
        <w:tc>
          <w:tcPr>
            <w:tcW w:type="dxa" w:w="1928"/>
            <w:shd w:val="clear" w:color="auto" w:fill="F2F5FA"/>
            <w:vAlign w:val="center"/>
          </w:tcPr>
          <w:p>
            <w:pPr>
              <w:keepNext/>
              <w:spacing w:after="0"/>
            </w:pPr>
            <w:r>
              <w:rPr>
                <w:rFonts w:ascii="游ゴシック" w:hAnsi="游ゴシック" w:eastAsia="游ゴシック"/>
                <w:b w:val="0"/>
                <w:sz w:val="18"/>
              </w:rPr>
              <w:t>地区の定義（小学校区とするか）</w:t>
            </w:r>
          </w:p>
        </w:tc>
        <w:tc>
          <w:tcPr>
            <w:tcW w:type="dxa" w:w="3628"/>
            <w:shd w:val="clear" w:color="auto" w:fill="F2F5FA"/>
            <w:vAlign w:val="center"/>
          </w:tcPr>
          <w:p>
            <w:pPr>
              <w:keepNext/>
              <w:spacing w:after="0"/>
            </w:pPr>
            <w:r>
              <w:rPr>
                <w:rFonts w:ascii="游ゴシック" w:hAnsi="游ゴシック" w:eastAsia="游ゴシック"/>
                <w:b w:val="0"/>
                <w:sz w:val="18"/>
              </w:rPr>
              <w:t>健康とくらしの調査は小学校区12地区別に集計できる。計画の日常生活圏域との対応が定まらない</w:t>
            </w:r>
          </w:p>
        </w:tc>
        <w:tc>
          <w:tcPr>
            <w:tcW w:type="dxa" w:w="2835"/>
            <w:shd w:val="clear" w:color="auto" w:fill="F2F5FA"/>
            <w:vAlign w:val="center"/>
          </w:tcPr>
          <w:p>
            <w:pPr>
              <w:keepNext/>
              <w:spacing w:after="0"/>
            </w:pPr>
            <w:r>
              <w:rPr>
                <w:rFonts w:ascii="游ゴシック" w:hAnsi="游ゴシック" w:eastAsia="游ゴシック"/>
                <w:b/>
                <w:sz w:val="18"/>
              </w:rPr>
              <w:t>［要確認］のまま残し、地区別の記述は調査の区分のままとする</w:t>
            </w:r>
          </w:p>
        </w:tc>
      </w:tr>
      <w:tr>
        <w:trPr>
          <w:cantSplit/>
        </w:trPr>
        <w:tc>
          <w:tcPr>
            <w:tcW w:type="dxa" w:w="1134"/>
            <w:vAlign w:val="center"/>
          </w:tcPr>
          <w:p>
            <w:pPr>
              <w:spacing w:after="0"/>
            </w:pPr>
            <w:r>
              <w:rPr>
                <w:rFonts w:ascii="游ゴシック" w:hAnsi="游ゴシック" w:eastAsia="游ゴシック"/>
                <w:b/>
                <w:sz w:val="18"/>
              </w:rPr>
              <w:t>No.139</w:t>
            </w:r>
          </w:p>
        </w:tc>
        <w:tc>
          <w:tcPr>
            <w:tcW w:type="dxa" w:w="1928"/>
            <w:vAlign w:val="center"/>
          </w:tcPr>
          <w:p>
            <w:pPr>
              <w:spacing w:after="0"/>
            </w:pPr>
            <w:r>
              <w:rPr>
                <w:rFonts w:ascii="游ゴシック" w:hAnsi="游ゴシック" w:eastAsia="游ゴシック"/>
                <w:b w:val="0"/>
                <w:sz w:val="18"/>
              </w:rPr>
              <w:t>健康とくらしの調査の個票の再提供の要否</w:t>
            </w:r>
          </w:p>
        </w:tc>
        <w:tc>
          <w:tcPr>
            <w:tcW w:type="dxa" w:w="3628"/>
            <w:vAlign w:val="center"/>
          </w:tcPr>
          <w:p>
            <w:pPr>
              <w:spacing w:after="0"/>
            </w:pPr>
            <w:r>
              <w:rPr>
                <w:rFonts w:ascii="游ゴシック" w:hAnsi="游ゴシック" w:eastAsia="游ゴシック"/>
                <w:b w:val="0"/>
                <w:sz w:val="18"/>
              </w:rPr>
              <w:t>個票はご指示により保管していない。集計・分析は完了しており、現時点で不足はない</w:t>
            </w:r>
          </w:p>
        </w:tc>
        <w:tc>
          <w:tcPr>
            <w:tcW w:type="dxa" w:w="2835"/>
            <w:vAlign w:val="center"/>
          </w:tcPr>
          <w:p>
            <w:pPr>
              <w:spacing w:after="0"/>
            </w:pPr>
            <w:r>
              <w:rPr>
                <w:rFonts w:ascii="游ゴシック" w:hAnsi="游ゴシック" w:eastAsia="游ゴシック"/>
                <w:b/>
                <w:sz w:val="18"/>
              </w:rPr>
              <w:t>再提供は依頼しない。集計をやり直す必要が生じたときだけ依頼する</w:t>
            </w:r>
          </w:p>
        </w:tc>
      </w:tr>
    </w:tbl>
    <w:p>
      <w:pPr>
        <w:keepNext/>
        <w:pageBreakBefore/>
        <w:spacing w:before="0" w:after="120"/>
      </w:pPr>
      <w:r>
        <w:rPr>
          <w:rFonts w:ascii="游ゴシック" w:hAnsi="游ゴシック" w:eastAsia="游ゴシック"/>
          <w:b/>
          <w:color w:val="1F3864"/>
          <w:sz w:val="26"/>
        </w:rPr>
        <w:t>第11節　成果品</w:t>
      </w:r>
    </w:p>
    <w:p>
      <w:pPr>
        <w:keepNext/>
        <w:spacing w:before="160" w:after="40"/>
      </w:pPr>
      <w:r>
        <w:rPr>
          <w:rFonts w:ascii="游ゴシック" w:hAnsi="游ゴシック" w:eastAsia="游ゴシック"/>
          <w:b/>
          <w:sz w:val="20"/>
        </w:rPr>
        <w:t>表16　アンケート分析に係る成果品</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948"/>
            <w:shd w:val="clear" w:color="auto" w:fill="1F3864"/>
            <w:vAlign w:val="center"/>
          </w:tcPr>
          <w:p>
            <w:pPr>
              <w:keepNext/>
              <w:spacing w:after="0"/>
              <w:jc w:val="center"/>
            </w:pPr>
            <w:r>
              <w:rPr>
                <w:rFonts w:ascii="游ゴシック" w:hAnsi="游ゴシック" w:eastAsia="游ゴシック"/>
                <w:b/>
                <w:color w:val="FFFFFF"/>
                <w:sz w:val="18"/>
              </w:rPr>
              <w:t>成果品</w:t>
            </w:r>
          </w:p>
        </w:tc>
        <w:tc>
          <w:tcPr>
            <w:tcW w:type="dxa" w:w="1361"/>
            <w:shd w:val="clear" w:color="auto" w:fill="1F3864"/>
            <w:vAlign w:val="center"/>
          </w:tcPr>
          <w:p>
            <w:pPr>
              <w:keepNext/>
              <w:spacing w:after="0"/>
              <w:jc w:val="center"/>
            </w:pPr>
            <w:r>
              <w:rPr>
                <w:rFonts w:ascii="游ゴシック" w:hAnsi="游ゴシック" w:eastAsia="游ゴシック"/>
                <w:b/>
                <w:color w:val="FFFFFF"/>
                <w:sz w:val="18"/>
              </w:rPr>
              <w:t>規模</w:t>
            </w:r>
          </w:p>
        </w:tc>
        <w:tc>
          <w:tcPr>
            <w:tcW w:type="dxa" w:w="4649"/>
            <w:shd w:val="clear" w:color="auto" w:fill="1F3864"/>
            <w:vAlign w:val="center"/>
          </w:tcPr>
          <w:p>
            <w:pPr>
              <w:keepNext/>
              <w:spacing w:after="0"/>
              <w:jc w:val="center"/>
            </w:pPr>
            <w:r>
              <w:rPr>
                <w:rFonts w:ascii="游ゴシック" w:hAnsi="游ゴシック" w:eastAsia="游ゴシック"/>
                <w:b/>
                <w:color w:val="FFFFFF"/>
                <w:sz w:val="18"/>
              </w:rPr>
              <w:t>内容</w:t>
            </w:r>
          </w:p>
        </w:tc>
      </w:tr>
      <w:tr>
        <w:trPr>
          <w:cantSplit/>
        </w:trPr>
        <w:tc>
          <w:tcPr>
            <w:tcW w:type="dxa" w:w="2948"/>
            <w:vAlign w:val="center"/>
          </w:tcPr>
          <w:p>
            <w:pPr>
              <w:keepNext/>
              <w:spacing w:after="0"/>
            </w:pPr>
            <w:r>
              <w:rPr>
                <w:rFonts w:ascii="游ゴシック" w:hAnsi="游ゴシック" w:eastAsia="游ゴシック"/>
                <w:b/>
                <w:sz w:val="18"/>
              </w:rPr>
              <w:t>アンケート調査の集計分析報告書</w:t>
            </w:r>
          </w:p>
        </w:tc>
        <w:tc>
          <w:tcPr>
            <w:tcW w:type="dxa" w:w="1361"/>
            <w:vAlign w:val="center"/>
          </w:tcPr>
          <w:p>
            <w:pPr>
              <w:keepNext/>
              <w:spacing w:after="0"/>
            </w:pPr>
            <w:r>
              <w:rPr>
                <w:rFonts w:ascii="游ゴシック" w:hAnsi="游ゴシック" w:eastAsia="游ゴシック"/>
                <w:b/>
                <w:sz w:val="18"/>
              </w:rPr>
              <w:t>15シート</w:t>
            </w:r>
          </w:p>
        </w:tc>
        <w:tc>
          <w:tcPr>
            <w:tcW w:type="dxa" w:w="4649"/>
            <w:vAlign w:val="center"/>
          </w:tcPr>
          <w:p>
            <w:pPr>
              <w:keepNext/>
              <w:spacing w:after="0"/>
            </w:pPr>
            <w:r>
              <w:rPr>
                <w:rFonts w:ascii="游ゴシック" w:hAnsi="游ゴシック" w:eastAsia="游ゴシック"/>
                <w:b w:val="0"/>
                <w:sz w:val="18"/>
              </w:rPr>
              <w:t>4調査の結果、供給構造の分析、限界と留保、主要所見と反映、横断クロス集計を行わないことの整理、公表データによる補完</w:t>
            </w:r>
          </w:p>
        </w:tc>
      </w:tr>
      <w:tr>
        <w:trPr>
          <w:cantSplit/>
        </w:trPr>
        <w:tc>
          <w:tcPr>
            <w:tcW w:type="dxa" w:w="2948"/>
            <w:shd w:val="clear" w:color="auto" w:fill="F2F5FA"/>
            <w:vAlign w:val="center"/>
          </w:tcPr>
          <w:p>
            <w:pPr>
              <w:keepNext/>
              <w:spacing w:after="0"/>
            </w:pPr>
            <w:r>
              <w:rPr>
                <w:rFonts w:ascii="游ゴシック" w:hAnsi="游ゴシック" w:eastAsia="游ゴシック"/>
                <w:b/>
                <w:sz w:val="18"/>
              </w:rPr>
              <w:t>実施済み調査 結果報告書（Word）</w:t>
            </w:r>
          </w:p>
        </w:tc>
        <w:tc>
          <w:tcPr>
            <w:tcW w:type="dxa" w:w="1361"/>
            <w:shd w:val="clear" w:color="auto" w:fill="F2F5FA"/>
            <w:vAlign w:val="center"/>
          </w:tcPr>
          <w:p>
            <w:pPr>
              <w:keepNext/>
              <w:spacing w:after="0"/>
            </w:pPr>
            <w:r>
              <w:rPr>
                <w:rFonts w:ascii="游ゴシック" w:hAnsi="游ゴシック" w:eastAsia="游ゴシック"/>
                <w:b/>
                <w:sz w:val="18"/>
              </w:rPr>
              <w:t>発注者様式</w:t>
            </w:r>
          </w:p>
        </w:tc>
        <w:tc>
          <w:tcPr>
            <w:tcW w:type="dxa" w:w="4649"/>
            <w:shd w:val="clear" w:color="auto" w:fill="F2F5FA"/>
            <w:vAlign w:val="center"/>
          </w:tcPr>
          <w:p>
            <w:pPr>
              <w:keepNext/>
              <w:spacing w:after="0"/>
            </w:pPr>
            <w:r>
              <w:rPr>
                <w:rFonts w:ascii="游ゴシック" w:hAnsi="游ゴシック" w:eastAsia="游ゴシック"/>
                <w:b w:val="0"/>
                <w:sz w:val="18"/>
              </w:rPr>
              <w:t>上記を発注者からご提示のあった様式に合わせたもの</w:t>
            </w:r>
          </w:p>
        </w:tc>
      </w:tr>
      <w:tr>
        <w:trPr>
          <w:cantSplit/>
        </w:trPr>
        <w:tc>
          <w:tcPr>
            <w:tcW w:type="dxa" w:w="2948"/>
            <w:vAlign w:val="center"/>
          </w:tcPr>
          <w:p>
            <w:pPr>
              <w:keepNext/>
              <w:spacing w:after="0"/>
            </w:pPr>
            <w:r>
              <w:rPr>
                <w:rFonts w:ascii="游ゴシック" w:hAnsi="游ゴシック" w:eastAsia="游ゴシック"/>
                <w:b/>
                <w:sz w:val="18"/>
              </w:rPr>
              <w:t>調査クロス集計・分析</w:t>
            </w:r>
          </w:p>
        </w:tc>
        <w:tc>
          <w:tcPr>
            <w:tcW w:type="dxa" w:w="1361"/>
            <w:vAlign w:val="center"/>
          </w:tcPr>
          <w:p>
            <w:pPr>
              <w:keepNext/>
              <w:spacing w:after="0"/>
            </w:pPr>
            <w:r>
              <w:rPr>
                <w:rFonts w:ascii="游ゴシック" w:hAnsi="游ゴシック" w:eastAsia="游ゴシック"/>
                <w:b/>
                <w:sz w:val="18"/>
              </w:rPr>
              <w:t>24シート</w:t>
            </w:r>
          </w:p>
        </w:tc>
        <w:tc>
          <w:tcPr>
            <w:tcW w:type="dxa" w:w="4649"/>
            <w:vAlign w:val="center"/>
          </w:tcPr>
          <w:p>
            <w:pPr>
              <w:keepNext/>
              <w:spacing w:after="0"/>
            </w:pPr>
            <w:r>
              <w:rPr>
                <w:rFonts w:ascii="游ゴシック" w:hAnsi="游ゴシック" w:eastAsia="游ゴシック"/>
                <w:b w:val="0"/>
                <w:sz w:val="18"/>
              </w:rPr>
              <w:t>健康とくらしの調査（個票4,729票）の集計・分析</w:t>
            </w:r>
          </w:p>
        </w:tc>
      </w:tr>
      <w:tr>
        <w:trPr>
          <w:cantSplit/>
        </w:trPr>
        <w:tc>
          <w:tcPr>
            <w:tcW w:type="dxa" w:w="2948"/>
            <w:shd w:val="clear" w:color="auto" w:fill="F2F5FA"/>
            <w:vAlign w:val="center"/>
          </w:tcPr>
          <w:p>
            <w:pPr>
              <w:keepNext/>
              <w:spacing w:after="0"/>
            </w:pPr>
            <w:r>
              <w:rPr>
                <w:rFonts w:ascii="游ゴシック" w:hAnsi="游ゴシック" w:eastAsia="游ゴシック"/>
                <w:b/>
                <w:sz w:val="18"/>
              </w:rPr>
              <w:t>調査結果と年報実績の突合クロス集計</w:t>
            </w:r>
          </w:p>
        </w:tc>
        <w:tc>
          <w:tcPr>
            <w:tcW w:type="dxa" w:w="1361"/>
            <w:shd w:val="clear" w:color="auto" w:fill="F2F5FA"/>
            <w:vAlign w:val="center"/>
          </w:tcPr>
          <w:p>
            <w:pPr>
              <w:keepNext/>
              <w:spacing w:after="0"/>
            </w:pPr>
            <w:r>
              <w:rPr>
                <w:rFonts w:ascii="游ゴシック" w:hAnsi="游ゴシック" w:eastAsia="游ゴシック"/>
                <w:b/>
                <w:sz w:val="18"/>
              </w:rPr>
              <w:t>10シート</w:t>
            </w:r>
          </w:p>
        </w:tc>
        <w:tc>
          <w:tcPr>
            <w:tcW w:type="dxa" w:w="4649"/>
            <w:shd w:val="clear" w:color="auto" w:fill="F2F5FA"/>
            <w:vAlign w:val="center"/>
          </w:tcPr>
          <w:p>
            <w:pPr>
              <w:keepNext/>
              <w:spacing w:after="0"/>
            </w:pPr>
            <w:r>
              <w:rPr>
                <w:rFonts w:ascii="游ゴシック" w:hAnsi="游ゴシック" w:eastAsia="游ゴシック"/>
                <w:b w:val="0"/>
                <w:sz w:val="18"/>
              </w:rPr>
              <w:t>本報告 第6節の測定の記録</w:t>
            </w:r>
          </w:p>
        </w:tc>
      </w:tr>
      <w:tr>
        <w:trPr>
          <w:cantSplit/>
        </w:trPr>
        <w:tc>
          <w:tcPr>
            <w:tcW w:type="dxa" w:w="2948"/>
            <w:vAlign w:val="center"/>
          </w:tcPr>
          <w:p>
            <w:pPr>
              <w:keepNext/>
              <w:spacing w:after="0"/>
            </w:pPr>
            <w:r>
              <w:rPr>
                <w:rFonts w:ascii="游ゴシック" w:hAnsi="游ゴシック" w:eastAsia="游ゴシック"/>
                <w:b/>
                <w:sz w:val="18"/>
              </w:rPr>
              <w:t>実施済み3調査の受領点検と集計</w:t>
            </w:r>
          </w:p>
        </w:tc>
        <w:tc>
          <w:tcPr>
            <w:tcW w:type="dxa" w:w="1361"/>
            <w:vAlign w:val="center"/>
          </w:tcPr>
          <w:p>
            <w:pPr>
              <w:keepNext/>
              <w:spacing w:after="0"/>
            </w:pPr>
            <w:r>
              <w:rPr>
                <w:rFonts w:ascii="游ゴシック" w:hAnsi="游ゴシック" w:eastAsia="游ゴシック"/>
                <w:b/>
                <w:sz w:val="18"/>
              </w:rPr>
              <w:t>16シート</w:t>
            </w:r>
          </w:p>
        </w:tc>
        <w:tc>
          <w:tcPr>
            <w:tcW w:type="dxa" w:w="4649"/>
            <w:vAlign w:val="center"/>
          </w:tcPr>
          <w:p>
            <w:pPr>
              <w:keepNext/>
              <w:spacing w:after="0"/>
            </w:pPr>
            <w:r>
              <w:rPr>
                <w:rFonts w:ascii="游ゴシック" w:hAnsi="游ゴシック" w:eastAsia="游ゴシック"/>
                <w:b w:val="0"/>
                <w:sz w:val="18"/>
              </w:rPr>
              <w:t>①②③の受領点検と集計。点検事項35件</w:t>
            </w:r>
          </w:p>
        </w:tc>
      </w:tr>
      <w:tr>
        <w:trPr>
          <w:cantSplit/>
        </w:trPr>
        <w:tc>
          <w:tcPr>
            <w:tcW w:type="dxa" w:w="2948"/>
            <w:shd w:val="clear" w:color="auto" w:fill="F2F5FA"/>
            <w:vAlign w:val="center"/>
          </w:tcPr>
          <w:p>
            <w:pPr>
              <w:keepNext/>
              <w:spacing w:after="0"/>
            </w:pPr>
            <w:r>
              <w:rPr>
                <w:rFonts w:ascii="游ゴシック" w:hAnsi="游ゴシック" w:eastAsia="游ゴシック"/>
                <w:b/>
                <w:sz w:val="18"/>
              </w:rPr>
              <w:t>9月作業_アンケート分析の作業状況</w:t>
            </w:r>
          </w:p>
        </w:tc>
        <w:tc>
          <w:tcPr>
            <w:tcW w:type="dxa" w:w="1361"/>
            <w:shd w:val="clear" w:color="auto" w:fill="F2F5FA"/>
            <w:vAlign w:val="center"/>
          </w:tcPr>
          <w:p>
            <w:pPr>
              <w:keepNext/>
              <w:spacing w:after="0"/>
            </w:pPr>
            <w:r>
              <w:rPr>
                <w:rFonts w:ascii="游ゴシック" w:hAnsi="游ゴシック" w:eastAsia="游ゴシック"/>
                <w:b/>
                <w:sz w:val="18"/>
              </w:rPr>
              <w:t>10シート</w:t>
            </w:r>
          </w:p>
        </w:tc>
        <w:tc>
          <w:tcPr>
            <w:tcW w:type="dxa" w:w="4649"/>
            <w:shd w:val="clear" w:color="auto" w:fill="F2F5FA"/>
            <w:vAlign w:val="center"/>
          </w:tcPr>
          <w:p>
            <w:pPr>
              <w:keepNext/>
              <w:spacing w:after="0"/>
            </w:pPr>
            <w:r>
              <w:rPr>
                <w:rFonts w:ascii="游ゴシック" w:hAnsi="游ゴシック" w:eastAsia="游ゴシック"/>
                <w:b w:val="0"/>
                <w:sz w:val="18"/>
              </w:rPr>
              <w:t>令和8年9月の作業工程</w:t>
            </w:r>
          </w:p>
        </w:tc>
      </w:tr>
      <w:tr>
        <w:trPr>
          <w:cantSplit/>
        </w:trPr>
        <w:tc>
          <w:tcPr>
            <w:tcW w:type="dxa" w:w="2948"/>
            <w:vAlign w:val="center"/>
          </w:tcPr>
          <w:p>
            <w:pPr>
              <w:spacing w:after="0"/>
            </w:pPr>
            <w:r>
              <w:rPr>
                <w:rFonts w:ascii="游ゴシック" w:hAnsi="游ゴシック" w:eastAsia="游ゴシック"/>
                <w:b/>
                <w:sz w:val="18"/>
              </w:rPr>
              <w:t>本報告書</w:t>
            </w:r>
          </w:p>
        </w:tc>
        <w:tc>
          <w:tcPr>
            <w:tcW w:type="dxa" w:w="1361"/>
            <w:vAlign w:val="center"/>
          </w:tcPr>
          <w:p>
            <w:pPr>
              <w:spacing w:after="0"/>
            </w:pPr>
            <w:r>
              <w:rPr>
                <w:rFonts w:ascii="游ゴシック" w:hAnsi="游ゴシック" w:eastAsia="游ゴシック"/>
                <w:b/>
                <w:sz w:val="18"/>
              </w:rPr>
              <w:t>全11節</w:t>
            </w:r>
          </w:p>
        </w:tc>
        <w:tc>
          <w:tcPr>
            <w:tcW w:type="dxa" w:w="4649"/>
            <w:vAlign w:val="center"/>
          </w:tcPr>
          <w:p>
            <w:pPr>
              <w:spacing w:after="0"/>
            </w:pPr>
            <w:r>
              <w:rPr>
                <w:rFonts w:ascii="游ゴシック" w:hAnsi="游ゴシック" w:eastAsia="游ゴシック"/>
                <w:b w:val="0"/>
                <w:sz w:val="18"/>
              </w:rPr>
              <w:t>令和8年9月の業務報告</w:t>
            </w:r>
          </w:p>
        </w:tc>
      </w:tr>
    </w:tbl>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