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令和8年9月25日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0.8907</w:t>
            </w:r>
          </w:p>
        </w:tc>
        <w:tc>
          <w:tcPr>
            <w:tcW w:type="dxa" w:w="1728"/>
          </w:tcPr>
          <w:p>
            <w:pPr>
              <w:jc w:val="right"/>
            </w:pPr>
            <w:r>
              <w:rPr>
                <w:sz w:val="17"/>
              </w:rPr>
              <w:t>2,562,340千円</w:t>
            </w:r>
          </w:p>
        </w:tc>
        <w:tc>
          <w:tcPr>
            <w:tcW w:type="dxa" w:w="1728"/>
          </w:tcPr>
          <w:p>
            <w:pPr>
              <w:jc w:val="right"/>
            </w:pPr>
            <w:r>
              <w:rPr>
                <w:sz w:val="17"/>
              </w:rPr>
              <w:t>5,590円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0.9853</w:t>
            </w:r>
          </w:p>
        </w:tc>
        <w:tc>
          <w:tcPr>
            <w:tcW w:type="dxa" w:w="1728"/>
          </w:tcPr>
          <w:p>
            <w:pPr>
              <w:jc w:val="right"/>
            </w:pPr>
            <w:r>
              <w:rPr>
                <w:sz w:val="17"/>
              </w:rPr>
              <w:t>2,834,462千円</w:t>
            </w:r>
          </w:p>
        </w:tc>
        <w:tc>
          <w:tcPr>
            <w:tcW w:type="dxa" w:w="1728"/>
          </w:tcPr>
          <w:p>
            <w:pPr>
              <w:jc w:val="right"/>
            </w:pPr>
            <w:r>
              <w:rPr>
                <w:sz w:val="17"/>
              </w:rPr>
              <w:t>6,139円</w:t>
            </w:r>
          </w:p>
        </w:tc>
      </w:tr>
      <w:tr>
        <w:tc>
          <w:tcPr>
            <w:tcW w:type="dxa" w:w="1728"/>
          </w:tcPr>
          <w:p>
            <w:r>
              <w:rPr>
                <w:sz w:val="17"/>
              </w:rPr>
              <w:t>第10期の認定率見込（年齢階級別）</w:t>
            </w:r>
          </w:p>
        </w:tc>
        <w:tc>
          <w:tcPr>
            <w:tcW w:type="dxa" w:w="1728"/>
          </w:tcPr>
          <w:p>
            <w:pPr>
              <w:jc w:val="right"/>
            </w:pPr>
            <w:r>
              <w:rPr>
                <w:sz w:val="17"/>
              </w:rPr>
              <w:t>22.67％</w:t>
            </w:r>
          </w:p>
        </w:tc>
        <w:tc>
          <w:tcPr>
            <w:tcW w:type="dxa" w:w="1728"/>
          </w:tcPr>
          <w:p>
            <w:pPr>
              <w:jc w:val="right"/>
            </w:pPr>
            <w:r>
              <w:rPr>
                <w:sz w:val="17"/>
              </w:rPr>
              <w:t>―</w:t>
            </w:r>
          </w:p>
        </w:tc>
        <w:tc>
          <w:tcPr>
            <w:tcW w:type="dxa" w:w="1728"/>
          </w:tcPr>
          <w:p>
            <w:pPr>
              <w:jc w:val="right"/>
            </w:pPr>
            <w:r>
              <w:rPr>
                <w:sz w:val="17"/>
              </w:rPr>
              <w:t>（当方の現行）2,876,614千円</w:t>
            </w:r>
          </w:p>
        </w:tc>
        <w:tc>
          <w:tcPr>
            <w:tcW w:type="dxa" w:w="1728"/>
          </w:tcPr>
          <w:p>
            <w:pPr>
              <w:jc w:val="right"/>
            </w:pPr>
            <w:r>
              <w:rPr>
                <w:sz w:val="17"/>
              </w:rPr>
              <w:t>6,224円</w:t>
            </w:r>
          </w:p>
        </w:tc>
      </w:tr>
    </w:tbl>
    <w:p>
      <w:r>
        <w:t>**初版で「月額633円の差」と書いたのは、基準期間の認定率が令和7年9月の断層をまたいでいたためです。**断層後にそろえて比べると、総給付費の3年計で-42,152千円（-1.5％）、保険料基準額で月額-85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22.67％）。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**第三に、それでも小野町では答えがほとんど変わりません。**認定率が将来ほぼ横ばいだからです（第2章）。差は総給付費の3年計で-1.5％、保険料で月額-85円です。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85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85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