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14:paraId="32CE558D" w14:textId="77777777" w:rsidR="00C90182" w:rsidRDefault="00000000">
      <w:pPr>
        <w:spacing w:before="20" w:after="120"/>
        <w:jc w:val="right"/>
      </w:pPr>
      <w:r>
        <w:rPr>
          <w:sz w:val="18"/>
          <w:szCs w:val="18"/>
        </w:rPr>
        <w:t>（各年４月１日現在）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14:paraId="2E2D871F" w14:textId="77777777" w:rsidR="00C90182" w:rsidRDefault="00000000">
      <w:pPr>
        <w:spacing w:before="20" w:after="120"/>
        <w:jc w:val="right"/>
      </w:pPr>
      <w:r>
        <w:rPr>
          <w:sz w:val="18"/>
          <w:szCs w:val="18"/>
        </w:rPr>
        <w:t>（各年４月１日現在）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14:paraId="03ADD165" w14:textId="77777777" w:rsidR="00C90182" w:rsidRDefault="00000000">
      <w:pPr>
        <w:spacing w:before="20" w:after="120"/>
        <w:jc w:val="right"/>
      </w:pPr>
      <w:r>
        <w:rPr>
          <w:sz w:val="18"/>
          <w:szCs w:val="18"/>
        </w:rPr>
        <w:t>（令和８年４月１日現在）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14:paraId="193FD0DD" w14:textId="77777777" w:rsidR="00C90182" w:rsidRDefault="00000000">
      <w:pPr>
        <w:spacing w:before="20" w:after="120"/>
        <w:jc w:val="right"/>
      </w:pPr>
      <w:r>
        <w:rPr>
          <w:sz w:val="18"/>
          <w:szCs w:val="18"/>
        </w:rPr>
        <w:t>（各年４月１日現在）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14:paraId="722FC3B5" w14:textId="77777777" w:rsidR="00C90182" w:rsidRDefault="00000000">
      <w:pPr>
        <w:spacing w:before="20" w:after="120"/>
        <w:jc w:val="right"/>
      </w:pPr>
      <w:r>
        <w:rPr>
          <w:sz w:val="18"/>
          <w:szCs w:val="18"/>
        </w:rPr>
        <w:t>（各年４月１日現在）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14:paraId="7E63E9B7" w14:textId="77777777" w:rsidR="00C90182" w:rsidRDefault="00000000">
      <w:pPr>
        <w:spacing w:before="20" w:after="120"/>
        <w:jc w:val="right"/>
      </w:pPr>
      <w:r>
        <w:rPr>
          <w:sz w:val="18"/>
          <w:szCs w:val="18"/>
        </w:rPr>
        <w:t>（令和８年４月１日現在）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14:paraId="295D14BC" w14:textId="77777777" w:rsidR="00C90182" w:rsidRDefault="00000000">
      <w:pPr>
        <w:keepNext/>
        <w:spacing w:before="160" w:after="80"/>
      </w:pPr>
      <w:r>
        <w:rPr>
          <w:b/>
          <w:bCs/>
        </w:rPr>
        <w:t>②特別支援学級在籍者数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本人の意向</w:t>
            </w:r>
          </w:p>
        </w:tc>
        <w:tc>
          <w:tcPr>
            <w:tcW w:w="2477" w:type="dxa"/>
          </w:tcPr>
          <w:p>
            <w:pPr>
              <w:spacing w:after="0"/>
            </w:pPr>
            <w:r>
              <w:rPr>
                <w:sz w:val="19"/>
              </w:rPr>
              <w:t>相談支援専門員によるモニタリング及び施設の地域移行等意向確認担当者による聴取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なく、近隣市町村に設置されている児童発達支援センター等を利用しています。国の基本指針では、各市町村又は圏域での機能の確保が求められていることから、近隣市町村や相談支援事業所と連携し、４つの中核機能を利用できる体制を確保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14:paraId="42DADD9D"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重度の肢体不自由者等で、常時介護が必要な人に対して、家庭にヘルパーを派遣し、入浴や排せつ、食事などの介助や外出時の移動の支援を総合的に提供します。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計画期間の開始前から引き続き施設に入所している方）の数を除いて設定するものとしています。本村の施設入所支援の利用者４人は、いずれも継続して入所している方であるため、上表の見込量は現に入所している方の数を示したものであり、新たに必要となる量ではありません。生活介護及び就労継続支援Ｂ型（第５章１（２））についても同様に、継続して利用している方と新たに利用が見込まれる方を分けて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４人、生活介護及び就労継続支援Ｂ型の利用者について、計画期間の開始前から引き続き利用している方の数を確認してください。継続入所者を除いた量が基本指針のいう「必要な量の見込み」になります。</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保育所等で受け入れられる範囲が広がれば児童発達支援等の量は減り、受入れが難しくなれば増えるため、受入れの状況を毎年度把握したうえで見込量を見直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0"/>
      </w:pP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積雪・通行止めにより村外への通所ができない場合に備え、訪問系サービス又は日中一時支援への一時的な振替えを想定する</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会津北部地域生活支援拠点を通じて圏域内の代替の受入れ先を調整する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本人及び家族の進路希望</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pStyle w:val="ac"/>
      </w:pPr>
      <w:r>
        <w:t>（２）財源構成（令和７年度・法定負担割合による試算）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14:paraId="78875DD2" w14:textId="77777777" w:rsidR="00C90182" w:rsidRDefault="00000000">
      <w:pPr>
        <w:pStyle w:val="ac"/>
      </w:pPr>
      <w:r>
        <w:t>（１）高齢化率</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14:paraId="395CD309" w14:textId="77777777" w:rsidR="00C90182" w:rsidRDefault="00000000">
      <w:pPr>
        <w:pStyle w:val="ac"/>
      </w:pPr>
      <w:r>
        <w:t>（２）精神障がい者、知的障がい者の人数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及び「北塩原村第五次総合振興計画」との連携について整理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介護保険に移った方のケアマネジメントは居宅介護支援が担うため、計画相談支援の対象から外れる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