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w:t>
      </w:r>
    </w:p>
    <w:p>
      <w:pPr>
        <w:spacing w:before="360" w:after="120"/>
        <w:jc w:val="center"/>
      </w:pPr>
      <w:r>
        <w:rPr>
          <w:rFonts w:ascii="游ゴシック" w:hAnsi="游ゴシック" w:eastAsia="游ゴシック"/>
          <w:b/>
          <w:i w:val="0"/>
          <w:color w:val="2E74B5"/>
          <w:sz w:val="44"/>
        </w:rPr>
        <w:t>第4期障がい児福祉計画</w:t>
      </w:r>
    </w:p>
    <w:p>
      <w:pPr>
        <w:spacing w:before="360" w:after="120"/>
        <w:jc w:val="center"/>
      </w:pPr>
      <w:r>
        <w:rPr>
          <w:rFonts w:ascii="游ゴシック" w:hAnsi="游ゴシック" w:eastAsia="游ゴシック"/>
          <w:b/>
          <w:i w:val="0"/>
          <w:color w:val="2E74B5"/>
          <w:sz w:val="44"/>
        </w:rPr>
        <w:t>第8期障がい福祉計画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素案（第1版）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第1部　総論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第2章　障がいのある人を取り巻く状況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第3章　現行計画の評価と課題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第2部　おのまち障がい者計画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第1章　基本的な考え方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第2章　差別解消・権利擁護の推進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第3章　安全・安心な生活環境の整備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第4章　情報アクセシビリティの向上及び意思疎通支援の充実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第5章　防犯・防災の推進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第6章　保健・医療の充実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第7章　自立生活支援・相談支援体制の充実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第8章　教育の振興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第9章　雇用・就業、経済的自立の支援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第10章　文化芸術活動・スポーツ等の振興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第3部　第8期障がい福祉計画・第4期障がい児福祉計画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第1章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第2章　活動指標・サービス見込量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第3章　見込量確保のための方策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第4部　計画の推進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支援会議・支援協議会の相互連携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進行管理と評価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計画の周知</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計画の策定経過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小野町自立支援協議会委員名簿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パブリックコメントの結果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4　用語の説明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0">
        <w:r>
          <w:rPr>
            <w:rFonts w:ascii="游ゴシック" w:hAnsi="游ゴシック" w:eastAsia="游ゴシック"/>
            <w:sz w:val="20"/>
          </w:rPr>
          <w:t xml:space="preserve">5　関係法令</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r>
        <w:br w:type="page"/>
      </w:r>
    </w:p>
    <w:p>
      <w:pPr>
        <w:pStyle w:val="Heading1"/>
        <w:keepNext/>
        <w:spacing w:before="240" w:after="100"/>
      </w:pPr>
      <w:bookmarkStart w:id="101" w:name="_Toc_001"/>
      <w:r>
        <w:rPr>
          <w:rFonts w:ascii="游ゴシック" w:hAnsi="游ゴシック" w:eastAsia="游ゴシック"/>
          <w:b/>
          <w:i w:val="0"/>
          <w:color w:val="2E74B5"/>
          <w:sz w:val="30"/>
        </w:rPr>
        <w:t>第1部　総論</w:t>
      </w:r>
      <w:bookmarkEnd w:id="101"/>
    </w:p>
    <w:p>
      <w:pPr>
        <w:pStyle w:val="Heading2"/>
        <w:keepNext/>
        <w:spacing w:before="180" w:after="100"/>
      </w:pPr>
      <w:bookmarkStart w:id="102" w:name="_Toc_002"/>
      <w:r>
        <w:rPr>
          <w:rFonts w:ascii="游ゴシック" w:hAnsi="游ゴシック" w:eastAsia="游ゴシック"/>
          <w:b/>
          <w:i w:val="0"/>
          <w:color w:val="2E74B5"/>
          <w:sz w:val="25"/>
        </w:rPr>
        <w:t>第1章　計画策定にあたって</w:t>
      </w:r>
      <w:bookmarkEnd w:id="102"/>
    </w:p>
    <w:p>
      <w:pPr>
        <w:pStyle w:val="Heading3"/>
        <w:keepNext/>
        <w:spacing w:before="180" w:after="80"/>
      </w:pPr>
      <w:r>
        <w:rPr>
          <w:rFonts w:ascii="游ゴシック" w:hAnsi="游ゴシック" w:eastAsia="游ゴシック"/>
          <w:b/>
          <w:i w:val="0"/>
          <w:color w:val="1F4D78"/>
          <w:sz w:val="22"/>
        </w:rPr>
        <w:t>1　計画策定の趣旨</w:t>
      </w:r>
    </w:p>
    <w:p>
      <w:pPr>
        <w:spacing w:before="60" w:after="60"/>
      </w:pPr>
      <w:r>
        <w:rPr>
          <w:rFonts w:ascii="游ゴシック" w:hAnsi="游ゴシック" w:eastAsia="游ゴシック"/>
          <w:b w:val="0"/>
          <w:i w:val="0"/>
          <w:sz w:val="21"/>
        </w:rPr>
        <w:t>本町では、「おのまち障がい者基本計画・第7期障がい福祉計画・第3期障がい児福祉計画」（令和6年3月）に基づき、障がいのある方への支援に取り組んできました。</w:t>
      </w:r>
      <w:r>
        <w:rPr>
          <w:rFonts w:ascii="游ゴシック" w:hAnsi="游ゴシック" w:eastAsia="游ゴシック"/>
          <w:b/>
          <w:i w:val="0"/>
          <w:sz w:val="21"/>
        </w:rPr>
        <w:t>同計画は令和8年度をもって計画期間が満了します。</w:t>
      </w:r>
    </w:p>
    <w:p>
      <w:pPr>
        <w:spacing w:before="60" w:after="60"/>
      </w:pPr>
      <w:r>
        <w:rPr>
          <w:rFonts w:ascii="游ゴシック" w:hAnsi="游ゴシック" w:eastAsia="游ゴシック"/>
          <w:b w:val="0"/>
          <w:i w:val="0"/>
          <w:sz w:val="21"/>
        </w:rPr>
        <w:t>この間、国においては、</w:t>
      </w:r>
      <w:r>
        <w:rPr>
          <w:rFonts w:ascii="游ゴシック" w:hAnsi="游ゴシック" w:eastAsia="游ゴシック"/>
          <w:b/>
          <w:i w:val="0"/>
          <w:sz w:val="21"/>
        </w:rPr>
        <w:t>障害福祉サービス等及び障害児通所支援等の円滑な実施を確保するための基本的な指針</w:t>
      </w:r>
      <w:r>
        <w:rPr>
          <w:rFonts w:ascii="游ゴシック" w:hAnsi="游ゴシック" w:eastAsia="游ゴシック"/>
          <w:b w:val="0"/>
          <w:i w:val="0"/>
          <w:sz w:val="21"/>
        </w:rPr>
        <w:t>が改正され（令和8年3月31日告示）、</w:t>
      </w:r>
      <w:r>
        <w:rPr>
          <w:rFonts w:ascii="游ゴシック" w:hAnsi="游ゴシック" w:eastAsia="游ゴシック"/>
          <w:b/>
          <w:i w:val="0"/>
          <w:sz w:val="21"/>
        </w:rPr>
        <w:t>社会福祉法等の一部を改正する法律（令和8年法律第51号）</w:t>
      </w:r>
      <w:r>
        <w:rPr>
          <w:rFonts w:ascii="游ゴシック" w:hAnsi="游ゴシック" w:eastAsia="游ゴシック"/>
          <w:b w:val="0"/>
          <w:i w:val="0"/>
          <w:sz w:val="21"/>
        </w:rPr>
        <w:t>及び</w:t>
      </w:r>
      <w:r>
        <w:rPr>
          <w:rFonts w:ascii="游ゴシック" w:hAnsi="游ゴシック" w:eastAsia="游ゴシック"/>
          <w:b/>
          <w:i w:val="0"/>
          <w:sz w:val="21"/>
        </w:rPr>
        <w:t>医療的ケア児支援法の改正（令和8年法律第77号）</w:t>
      </w:r>
      <w:r>
        <w:rPr>
          <w:rFonts w:ascii="游ゴシック" w:hAnsi="游ゴシック" w:eastAsia="游ゴシック"/>
          <w:b w:val="0"/>
          <w:i w:val="0"/>
          <w:sz w:val="21"/>
        </w:rPr>
        <w:t>が成立しました。</w:t>
      </w:r>
      <w:r>
        <w:rPr>
          <w:rFonts w:ascii="游ゴシック" w:hAnsi="游ゴシック" w:eastAsia="游ゴシック"/>
          <w:b/>
          <w:i w:val="0"/>
          <w:sz w:val="21"/>
        </w:rPr>
        <w:t>いずれも令和9年4月1日に施行され、本計画の期間の初日に当たります。</w:t>
      </w:r>
    </w:p>
    <w:p>
      <w:pPr>
        <w:spacing w:before="60" w:after="60"/>
      </w:pPr>
      <w:r>
        <w:rPr>
          <w:rFonts w:ascii="游ゴシック" w:hAnsi="游ゴシック" w:eastAsia="游ゴシック"/>
          <w:b w:val="0"/>
          <w:i w:val="0"/>
          <w:sz w:val="21"/>
        </w:rPr>
        <w:t>本町においても、</w:t>
      </w:r>
      <w:r>
        <w:rPr>
          <w:rFonts w:ascii="游ゴシック" w:hAnsi="游ゴシック" w:eastAsia="游ゴシック"/>
          <w:b/>
          <w:i w:val="0"/>
          <w:sz w:val="21"/>
        </w:rPr>
        <w:t>令和7年4月に小野町手話言語及び障がい者コミュニケーション条例</w:t>
      </w:r>
      <w:r>
        <w:rPr>
          <w:rFonts w:ascii="游ゴシック" w:hAnsi="游ゴシック" w:eastAsia="游ゴシック"/>
          <w:b w:val="0"/>
          <w:i w:val="0"/>
          <w:sz w:val="21"/>
        </w:rPr>
        <w:t>を制定しました。</w:t>
      </w:r>
    </w:p>
    <w:p>
      <w:pPr>
        <w:spacing w:before="60" w:after="60"/>
      </w:pPr>
      <w:r>
        <w:rPr>
          <w:rFonts w:ascii="游ゴシック" w:hAnsi="游ゴシック" w:eastAsia="游ゴシック"/>
          <w:b w:val="0"/>
          <w:i w:val="0"/>
          <w:sz w:val="21"/>
        </w:rPr>
        <w:t>こうした状況を踏まえ、障がいの有無にかかわらず、誰もが地域で安心して暮らし続けられるまちを目指して、本計画を策定します。</w:t>
      </w:r>
    </w:p>
    <w:p>
      <w:pPr>
        <w:pStyle w:val="Heading3"/>
        <w:keepNext/>
        <w:spacing w:before="180" w:after="80"/>
      </w:pPr>
      <w:r>
        <w:rPr>
          <w:rFonts w:ascii="游ゴシック" w:hAnsi="游ゴシック" w:eastAsia="游ゴシック"/>
          <w:b/>
          <w:i w:val="0"/>
          <w:color w:val="1F4D78"/>
          <w:sz w:val="22"/>
        </w:rPr>
        <w:t>2　計画の位置づけ</w:t>
      </w:r>
    </w:p>
    <w:p>
      <w:pPr>
        <w:spacing w:before="60" w:after="60"/>
      </w:pPr>
      <w:r>
        <w:rPr>
          <w:rFonts w:ascii="游ゴシック" w:hAnsi="游ゴシック" w:eastAsia="游ゴシック"/>
          <w:b w:val="0"/>
          <w:i w:val="0"/>
          <w:sz w:val="21"/>
        </w:rPr>
        <w:t>本計画は、次の3つの計画を一体のものとして策定するものです。</w:t>
      </w:r>
    </w:p>
    <w:p>
      <w:pPr>
        <w:keepNext/>
        <w:spacing w:before="200" w:after="40"/>
      </w:pPr>
      <w:r>
        <w:rPr>
          <w:rFonts w:ascii="游ゴシック" w:hAnsi="游ゴシック" w:eastAsia="游ゴシック"/>
          <w:b/>
          <w:i w:val="0"/>
          <w:color w:val="1F4D78"/>
          <w:sz w:val="22"/>
        </w:rPr>
        <w:t>【表1】第1部　総論　第1章　計画策定にあたって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494"/>
        <w:gridCol w:w="476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494"/>
            <w:vAlign w:val="center"/>
          </w:tcPr>
          <w:p>
            <w:pPr>
              <w:spacing w:before="20" w:after="20"/>
            </w:pPr>
            <w:r>
              <w:rPr>
                <w:rFonts w:ascii="游ゴシック" w:hAnsi="游ゴシック" w:eastAsia="游ゴシック"/>
                <w:b/>
                <w:i w:val="0"/>
                <w:sz w:val="17"/>
              </w:rPr>
              <w:t>おのまち障がい者計画</w:t>
            </w:r>
          </w:p>
        </w:tc>
        <w:tc>
          <w:tcPr>
            <w:tcW w:type="dxa" w:w="2494"/>
            <w:vAlign w:val="center"/>
          </w:tcPr>
          <w:p>
            <w:pPr>
              <w:spacing w:before="20" w:after="20"/>
            </w:pPr>
            <w:r>
              <w:rPr>
                <w:rFonts w:ascii="游ゴシック" w:hAnsi="游ゴシック" w:eastAsia="游ゴシック"/>
                <w:b w:val="0"/>
                <w:i w:val="0"/>
                <w:sz w:val="17"/>
              </w:rPr>
              <w:t>障害者基本法第11条第3項</w:t>
            </w:r>
          </w:p>
        </w:tc>
        <w:tc>
          <w:tcPr>
            <w:tcW w:type="dxa" w:w="4762"/>
            <w:vAlign w:val="center"/>
          </w:tcPr>
          <w:p>
            <w:pPr>
              <w:spacing w:before="20" w:after="20"/>
            </w:pPr>
            <w:r>
              <w:rPr>
                <w:rFonts w:ascii="游ゴシック" w:hAnsi="游ゴシック" w:eastAsia="游ゴシック"/>
                <w:b w:val="0"/>
                <w:i w:val="0"/>
                <w:sz w:val="17"/>
              </w:rPr>
              <w:t>障がい者のための施策に関する</w:t>
            </w:r>
            <w:r>
              <w:rPr>
                <w:rFonts w:ascii="游ゴシック" w:hAnsi="游ゴシック" w:eastAsia="游ゴシック"/>
                <w:b/>
                <w:i w:val="0"/>
                <w:sz w:val="17"/>
              </w:rPr>
              <w:t>基本的な計画</w:t>
            </w:r>
            <w:r>
              <w:rPr>
                <w:rFonts w:ascii="游ゴシック" w:hAnsi="游ゴシック" w:eastAsia="游ゴシック"/>
                <w:b w:val="0"/>
                <w:i w:val="0"/>
                <w:sz w:val="17"/>
              </w:rPr>
              <w:t>。分野別の施策の方向を定める（第2部）</w:t>
            </w:r>
          </w:p>
        </w:tc>
      </w:tr>
      <w:tr>
        <w:tc>
          <w:tcPr>
            <w:tcW w:type="dxa" w:w="2494"/>
            <w:vAlign w:val="center"/>
          </w:tcPr>
          <w:p>
            <w:pPr>
              <w:keepNext/>
              <w:spacing w:before="20" w:after="20"/>
            </w:pPr>
            <w:r>
              <w:rPr>
                <w:rFonts w:ascii="游ゴシック" w:hAnsi="游ゴシック" w:eastAsia="游ゴシック"/>
                <w:b/>
                <w:i w:val="0"/>
                <w:sz w:val="17"/>
              </w:rPr>
              <w:t>第8期障がい福祉計画</w:t>
            </w:r>
          </w:p>
        </w:tc>
        <w:tc>
          <w:tcPr>
            <w:tcW w:type="dxa" w:w="2494"/>
            <w:vAlign w:val="center"/>
          </w:tcPr>
          <w:p>
            <w:pPr>
              <w:keepNext/>
              <w:spacing w:before="20" w:after="20"/>
            </w:pPr>
            <w:r>
              <w:rPr>
                <w:rFonts w:ascii="游ゴシック" w:hAnsi="游ゴシック" w:eastAsia="游ゴシック"/>
                <w:b w:val="0"/>
                <w:i w:val="0"/>
                <w:sz w:val="17"/>
              </w:rPr>
              <w:t>障害者総合支援法第88条第1項</w:t>
            </w:r>
          </w:p>
        </w:tc>
        <w:tc>
          <w:tcPr>
            <w:tcW w:type="dxa" w:w="4762"/>
            <w:vAlign w:val="center"/>
          </w:tcPr>
          <w:p>
            <w:pPr>
              <w:keepNext/>
              <w:spacing w:before="20" w:after="20"/>
            </w:pPr>
            <w:r>
              <w:rPr>
                <w:rFonts w:ascii="游ゴシック" w:hAnsi="游ゴシック" w:eastAsia="游ゴシック"/>
                <w:b w:val="0"/>
                <w:i w:val="0"/>
                <w:sz w:val="17"/>
              </w:rPr>
              <w:t>障害福祉サービス等の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に関する計画。成果目標・活動指標・見込量を定める（第3部）</w:t>
            </w:r>
          </w:p>
        </w:tc>
      </w:tr>
      <w:tr>
        <w:tc>
          <w:tcPr>
            <w:tcW w:type="dxa" w:w="2494"/>
            <w:vAlign w:val="center"/>
          </w:tcPr>
          <w:p>
            <w:pPr>
              <w:spacing w:before="20" w:after="20"/>
            </w:pPr>
            <w:r>
              <w:rPr>
                <w:rFonts w:ascii="游ゴシック" w:hAnsi="游ゴシック" w:eastAsia="游ゴシック"/>
                <w:b/>
                <w:i w:val="0"/>
                <w:sz w:val="17"/>
              </w:rPr>
              <w:t>第4期障がい児福祉計画</w:t>
            </w:r>
          </w:p>
        </w:tc>
        <w:tc>
          <w:tcPr>
            <w:tcW w:type="dxa" w:w="2494"/>
            <w:vAlign w:val="center"/>
          </w:tcPr>
          <w:p>
            <w:pPr>
              <w:spacing w:before="20" w:after="20"/>
            </w:pPr>
            <w:r>
              <w:rPr>
                <w:rFonts w:ascii="游ゴシック" w:hAnsi="游ゴシック" w:eastAsia="游ゴシック"/>
                <w:b w:val="0"/>
                <w:i w:val="0"/>
                <w:sz w:val="17"/>
              </w:rPr>
              <w:t>児童福祉法第33条の20第1項</w:t>
            </w:r>
          </w:p>
        </w:tc>
        <w:tc>
          <w:tcPr>
            <w:tcW w:type="dxa" w:w="4762"/>
            <w:vAlign w:val="center"/>
          </w:tcPr>
          <w:p>
            <w:pPr>
              <w:spacing w:before="20" w:after="20"/>
            </w:pPr>
            <w:r>
              <w:rPr>
                <w:rFonts w:ascii="游ゴシック" w:hAnsi="游ゴシック" w:eastAsia="游ゴシック"/>
                <w:b w:val="0"/>
                <w:i w:val="0"/>
                <w:sz w:val="17"/>
              </w:rPr>
              <w:t>障害児通所支援等の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に関する計画（第3部）</w:t>
            </w:r>
          </w:p>
        </w:tc>
      </w:tr>
    </w:tbl>
    <w:p>
      <w:pPr>
        <w:spacing w:after="40"/>
      </w:pPr>
    </w:p>
    <w:p>
      <w:pPr>
        <w:spacing w:after="120"/>
      </w:pPr>
    </w:p>
    <w:p>
      <w:pPr>
        <w:spacing w:before="60" w:after="60"/>
      </w:pPr>
      <w:r>
        <w:rPr>
          <w:rFonts w:ascii="游ゴシック" w:hAnsi="游ゴシック" w:eastAsia="游ゴシック"/>
          <w:b/>
          <w:i w:val="0"/>
          <w:sz w:val="21"/>
        </w:rPr>
        <w:t>障がい者計画は「何を目指すか」を、障がい福祉計画・障がい児福祉計画は「どれだけ確保するか」を定めるものです。</w:t>
      </w:r>
      <w:r>
        <w:rPr>
          <w:rFonts w:ascii="游ゴシック" w:hAnsi="游ゴシック" w:eastAsia="游ゴシック"/>
          <w:b w:val="0"/>
          <w:i w:val="0"/>
          <w:sz w:val="21"/>
        </w:rPr>
        <w:t xml:space="preserve"> 性格が異なるため、本計画では第2部と第3部に分けて記載し、</w:t>
      </w:r>
      <w:r>
        <w:rPr>
          <w:rFonts w:ascii="游ゴシック" w:hAnsi="游ゴシック" w:eastAsia="游ゴシック"/>
          <w:b/>
          <w:i w:val="0"/>
          <w:sz w:val="21"/>
        </w:rPr>
        <w:t>両者をつなぐ対応関係を第3部第1章に示します。</w:t>
      </w:r>
    </w:p>
    <w:p>
      <w:pPr>
        <w:spacing w:after="120"/>
      </w:pPr>
    </w:p>
    <w:p>
      <w:pPr>
        <w:spacing w:before="60" w:after="60"/>
      </w:pPr>
      <w:r>
        <w:rPr>
          <w:rFonts w:ascii="游ゴシック" w:hAnsi="游ゴシック" w:eastAsia="游ゴシック"/>
          <w:b w:val="0"/>
          <w:i w:val="0"/>
          <w:sz w:val="21"/>
        </w:rPr>
        <w:t>本計画に定める法定の記載事項は、次のとおりです。</w:t>
      </w:r>
    </w:p>
    <w:p>
      <w:pPr>
        <w:keepNext/>
        <w:spacing w:before="200" w:after="40"/>
      </w:pPr>
      <w:r>
        <w:rPr>
          <w:rFonts w:ascii="游ゴシック" w:hAnsi="游ゴシック" w:eastAsia="游ゴシック"/>
          <w:b/>
          <w:i w:val="0"/>
          <w:color w:val="1F4D78"/>
          <w:sz w:val="22"/>
        </w:rPr>
        <w:t>【表2】第1部　総論　第1章　計画策定にあたって（2）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969"/>
        <w:gridCol w:w="1361"/>
        <w:gridCol w:w="2154"/>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根拠条項</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記載事項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義務の強さ</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2268"/>
            <w:vAlign w:val="center"/>
          </w:tcPr>
          <w:p>
            <w:pPr>
              <w:spacing w:before="20" w:after="20"/>
            </w:pPr>
            <w:r>
              <w:rPr>
                <w:rFonts w:ascii="游ゴシック" w:hAnsi="游ゴシック" w:eastAsia="游ゴシック"/>
                <w:b w:val="0"/>
                <w:i w:val="0"/>
                <w:sz w:val="17"/>
              </w:rPr>
              <w:t>障害者基本法第11条第3項</w:t>
            </w:r>
          </w:p>
        </w:tc>
        <w:tc>
          <w:tcPr>
            <w:tcW w:type="dxa" w:w="3969"/>
            <w:vAlign w:val="center"/>
          </w:tcPr>
          <w:p>
            <w:pPr>
              <w:spacing w:before="20" w:after="20"/>
            </w:pPr>
            <w:r>
              <w:rPr>
                <w:rFonts w:ascii="游ゴシック" w:hAnsi="游ゴシック" w:eastAsia="游ゴシック"/>
                <w:b w:val="0"/>
                <w:i w:val="0"/>
                <w:sz w:val="17"/>
              </w:rPr>
              <w:t>市町村障害者計画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第2部</w:t>
            </w:r>
            <w:r>
              <w:rPr>
                <w:rFonts w:ascii="游ゴシック" w:hAnsi="游ゴシック" w:eastAsia="游ゴシック"/>
                <w:b w:val="0"/>
                <w:i w:val="0"/>
                <w:sz w:val="17"/>
              </w:rPr>
              <w:t>（分野別施策）</w:t>
            </w:r>
          </w:p>
        </w:tc>
      </w:tr>
      <w:tr>
        <w:tc>
          <w:tcPr>
            <w:tcW w:type="dxa" w:w="2268"/>
            <w:vAlign w:val="center"/>
          </w:tcPr>
          <w:p>
            <w:pPr>
              <w:spacing w:before="20" w:after="20"/>
            </w:pPr>
            <w:r>
              <w:rPr>
                <w:rFonts w:ascii="游ゴシック" w:hAnsi="游ゴシック" w:eastAsia="游ゴシック"/>
                <w:b w:val="0"/>
                <w:i w:val="0"/>
                <w:sz w:val="17"/>
              </w:rPr>
              <w:t>障害者総合支援法第88条第1項</w:t>
            </w:r>
          </w:p>
        </w:tc>
        <w:tc>
          <w:tcPr>
            <w:tcW w:type="dxa" w:w="3969"/>
            <w:vAlign w:val="center"/>
          </w:tcPr>
          <w:p>
            <w:pPr>
              <w:spacing w:before="20" w:after="20"/>
            </w:pPr>
            <w:r>
              <w:rPr>
                <w:rFonts w:ascii="游ゴシック" w:hAnsi="游ゴシック" w:eastAsia="游ゴシック"/>
                <w:b w:val="0"/>
                <w:i w:val="0"/>
                <w:sz w:val="17"/>
              </w:rPr>
              <w:t>市町村障害福祉計画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（成果目標・活動指標・見込量）</w:t>
            </w:r>
          </w:p>
        </w:tc>
      </w:tr>
      <w:tr>
        <w:tc>
          <w:tcPr>
            <w:tcW w:type="dxa" w:w="2268"/>
            <w:vAlign w:val="center"/>
          </w:tcPr>
          <w:p>
            <w:pPr>
              <w:spacing w:before="20" w:after="20"/>
            </w:pPr>
            <w:r>
              <w:rPr>
                <w:rFonts w:ascii="游ゴシック" w:hAnsi="游ゴシック" w:eastAsia="游ゴシック"/>
                <w:b w:val="0"/>
                <w:i w:val="0"/>
                <w:sz w:val="17"/>
              </w:rPr>
              <w:t>児童福祉法第33条の20第1項</w:t>
            </w:r>
          </w:p>
        </w:tc>
        <w:tc>
          <w:tcPr>
            <w:tcW w:type="dxa" w:w="3969"/>
            <w:vAlign w:val="center"/>
          </w:tcPr>
          <w:p>
            <w:pPr>
              <w:spacing w:before="20" w:after="20"/>
            </w:pPr>
            <w:r>
              <w:rPr>
                <w:rFonts w:ascii="游ゴシック" w:hAnsi="游ゴシック" w:eastAsia="游ゴシック"/>
                <w:b w:val="0"/>
                <w:i w:val="0"/>
                <w:sz w:val="17"/>
              </w:rPr>
              <w:t>市町村障害児福祉計画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（同上）</w:t>
            </w:r>
          </w:p>
        </w:tc>
      </w:tr>
      <w:tr>
        <w:tc>
          <w:tcPr>
            <w:tcW w:type="dxa" w:w="2268"/>
            <w:vAlign w:val="center"/>
          </w:tcPr>
          <w:p>
            <w:pPr>
              <w:spacing w:before="20" w:after="20"/>
            </w:pPr>
            <w:r>
              <w:rPr>
                <w:rFonts w:ascii="游ゴシック" w:hAnsi="游ゴシック" w:eastAsia="游ゴシック"/>
                <w:b w:val="0"/>
                <w:i w:val="0"/>
                <w:sz w:val="17"/>
              </w:rPr>
              <w:t>障害者総合支援法第88条第2項第1号</w:t>
            </w:r>
          </w:p>
        </w:tc>
        <w:tc>
          <w:tcPr>
            <w:tcW w:type="dxa" w:w="3969"/>
            <w:vAlign w:val="center"/>
          </w:tcPr>
          <w:p>
            <w:pPr>
              <w:spacing w:before="20" w:after="20"/>
            </w:pPr>
            <w:r>
              <w:rPr>
                <w:rFonts w:ascii="游ゴシック" w:hAnsi="游ゴシック" w:eastAsia="游ゴシック"/>
                <w:b w:val="0"/>
                <w:i w:val="0"/>
                <w:sz w:val="17"/>
              </w:rPr>
              <w:t>障害福祉サービス等の必要な量の見込み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w:t>
            </w:r>
          </w:p>
        </w:tc>
      </w:tr>
      <w:tr>
        <w:tc>
          <w:tcPr>
            <w:tcW w:type="dxa" w:w="2268"/>
            <w:vAlign w:val="center"/>
          </w:tcPr>
          <w:p>
            <w:pPr>
              <w:spacing w:before="20" w:after="20"/>
            </w:pPr>
            <w:r>
              <w:rPr>
                <w:rFonts w:ascii="游ゴシック" w:hAnsi="游ゴシック" w:eastAsia="游ゴシック"/>
                <w:b w:val="0"/>
                <w:i w:val="0"/>
                <w:sz w:val="17"/>
              </w:rPr>
              <w:t>同第88条第2項第2号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val="0"/>
                <w:i w:val="0"/>
                <w:sz w:val="17"/>
              </w:rPr>
              <w:t>児童福祉法第33条の20第2項第1号</w:t>
            </w:r>
          </w:p>
        </w:tc>
        <w:tc>
          <w:tcPr>
            <w:tcW w:type="dxa" w:w="3969"/>
            <w:vAlign w:val="center"/>
          </w:tcPr>
          <w:p>
            <w:pPr>
              <w:spacing w:before="20" w:after="20"/>
            </w:pPr>
            <w:r>
              <w:rPr>
                <w:rFonts w:ascii="游ゴシック" w:hAnsi="游ゴシック" w:eastAsia="游ゴシック"/>
                <w:b w:val="0"/>
                <w:i w:val="0"/>
                <w:sz w:val="17"/>
              </w:rPr>
              <w:t>障害児通所支援等の必要な量の見込み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第3部第2章5</w:t>
            </w:r>
          </w:p>
        </w:tc>
      </w:tr>
      <w:tr>
        <w:tc>
          <w:tcPr>
            <w:tcW w:type="dxa" w:w="2268"/>
            <w:vAlign w:val="center"/>
          </w:tcPr>
          <w:p>
            <w:pPr>
              <w:spacing w:before="20" w:after="20"/>
            </w:pPr>
            <w:r>
              <w:rPr>
                <w:rFonts w:ascii="游ゴシック" w:hAnsi="游ゴシック" w:eastAsia="游ゴシック"/>
                <w:b w:val="0"/>
                <w:i w:val="0"/>
                <w:sz w:val="17"/>
              </w:rPr>
              <w:t>同第33条の20第2項第2号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i w:val="0"/>
                <w:sz w:val="17"/>
              </w:rPr>
              <w:t>障害者総合支援法第88条第3項第3号</w:t>
            </w:r>
          </w:p>
        </w:tc>
        <w:tc>
          <w:tcPr>
            <w:tcW w:type="dxa" w:w="3969"/>
            <w:vAlign w:val="center"/>
          </w:tcPr>
          <w:p>
            <w:pPr>
              <w:spacing w:before="20" w:after="20"/>
            </w:pP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同第88条第3項第4号</w:t>
            </w:r>
          </w:p>
        </w:tc>
        <w:tc>
          <w:tcPr>
            <w:tcW w:type="dxa" w:w="3969"/>
            <w:vAlign w:val="center"/>
          </w:tcPr>
          <w:p>
            <w:pPr>
              <w:spacing w:before="20" w:after="20"/>
            </w:pPr>
            <w:r>
              <w:rPr>
                <w:rFonts w:ascii="游ゴシック" w:hAnsi="游ゴシック" w:eastAsia="游ゴシック"/>
                <w:b/>
                <w:i w:val="0"/>
                <w:sz w:val="17"/>
              </w:rPr>
              <w:t>地域生活支援事業に従事する者</w:t>
            </w:r>
            <w:r>
              <w:rPr>
                <w:rFonts w:ascii="游ゴシック" w:hAnsi="游ゴシック" w:eastAsia="游ゴシック"/>
                <w:b w:val="0"/>
                <w:i w:val="0"/>
                <w:sz w:val="17"/>
              </w:rPr>
              <w:t>の確保及び資質の向上に資する都道府県と連携した取組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同第88条第3項第5号</w:t>
            </w:r>
          </w:p>
        </w:tc>
        <w:tc>
          <w:tcPr>
            <w:tcW w:type="dxa" w:w="3969"/>
            <w:vAlign w:val="center"/>
          </w:tcPr>
          <w:p>
            <w:pPr>
              <w:spacing w:before="20" w:after="20"/>
            </w:pPr>
            <w:r>
              <w:rPr>
                <w:rFonts w:ascii="游ゴシック" w:hAnsi="游ゴシック" w:eastAsia="游ゴシック"/>
                <w:b/>
                <w:i w:val="0"/>
                <w:sz w:val="17"/>
              </w:rPr>
              <w:t>地域生活支援事業の実施</w:t>
            </w:r>
            <w:r>
              <w:rPr>
                <w:rFonts w:ascii="游ゴシック" w:hAnsi="游ゴシック" w:eastAsia="游ゴシック"/>
                <w:b w:val="0"/>
                <w:i w:val="0"/>
                <w:sz w:val="17"/>
              </w:rPr>
              <w:t>における生産性の向上に資する都道府県と連携した取組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児童福祉法第33条の20第3項第3号</w:t>
            </w:r>
          </w:p>
        </w:tc>
        <w:tc>
          <w:tcPr>
            <w:tcW w:type="dxa" w:w="3969"/>
            <w:vAlign w:val="center"/>
          </w:tcPr>
          <w:p>
            <w:pPr>
              <w:spacing w:before="20" w:after="20"/>
            </w:pPr>
            <w:r>
              <w:rPr>
                <w:rFonts w:ascii="游ゴシック" w:hAnsi="游ゴシック" w:eastAsia="游ゴシック"/>
                <w:b/>
                <w:i w:val="0"/>
                <w:sz w:val="17"/>
              </w:rPr>
              <w:t>障害児通所支援及び障害児相談支援</w:t>
            </w:r>
            <w:r>
              <w:rPr>
                <w:rFonts w:ascii="游ゴシック" w:hAnsi="游ゴシック" w:eastAsia="游ゴシック"/>
                <w:b w:val="0"/>
                <w:i w:val="0"/>
                <w:sz w:val="17"/>
              </w:rPr>
              <w:t>の提供における</w:t>
            </w: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障害者総合支援法第88条第9項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児童福祉法第33条の20第9項</w:t>
            </w:r>
          </w:p>
        </w:tc>
        <w:tc>
          <w:tcPr>
            <w:tcW w:type="dxa" w:w="3969"/>
            <w:vAlign w:val="center"/>
          </w:tcPr>
          <w:p>
            <w:pPr>
              <w:spacing w:before="20" w:after="20"/>
            </w:pPr>
            <w:r>
              <w:rPr>
                <w:rFonts w:ascii="游ゴシック" w:hAnsi="游ゴシック" w:eastAsia="游ゴシック"/>
                <w:b/>
                <w:i w:val="0"/>
                <w:sz w:val="17"/>
              </w:rPr>
              <w:t>支援協議会</w:t>
            </w:r>
            <w:r>
              <w:rPr>
                <w:rFonts w:ascii="游ゴシック" w:hAnsi="游ゴシック" w:eastAsia="游ゴシック"/>
                <w:b w:val="0"/>
                <w:i w:val="0"/>
                <w:sz w:val="17"/>
              </w:rPr>
              <w:t>を設置したときは、計画を定め、又は変更しようとする場合に</w:t>
            </w:r>
            <w:r>
              <w:rPr>
                <w:rFonts w:ascii="游ゴシック" w:hAnsi="游ゴシック" w:eastAsia="游ゴシック"/>
                <w:b/>
                <w:i w:val="0"/>
                <w:sz w:val="17"/>
              </w:rPr>
              <w:t>あらかじめその意見を聴く</w:t>
            </w:r>
          </w:p>
        </w:tc>
        <w:tc>
          <w:tcPr>
            <w:tcW w:type="dxa" w:w="1361"/>
            <w:vAlign w:val="center"/>
          </w:tcPr>
          <w:p>
            <w:pPr>
              <w:spacing w:before="20" w:after="20"/>
            </w:pPr>
            <w:r>
              <w:rPr>
                <w:rFonts w:ascii="游ゴシック" w:hAnsi="游ゴシック" w:eastAsia="游ゴシック"/>
                <w:b w:val="0"/>
                <w:i w:val="0"/>
                <w:sz w:val="17"/>
              </w:rPr>
              <w:t>努力（名称の改正）</w:t>
            </w:r>
          </w:p>
        </w:tc>
        <w:tc>
          <w:tcPr>
            <w:tcW w:type="dxa" w:w="2154"/>
            <w:vAlign w:val="center"/>
          </w:tcPr>
          <w:p>
            <w:pPr>
              <w:spacing w:before="20" w:after="20"/>
            </w:pPr>
            <w:r>
              <w:rPr>
                <w:rFonts w:ascii="游ゴシック" w:hAnsi="游ゴシック" w:eastAsia="游ゴシック"/>
                <w:b/>
                <w:i w:val="0"/>
                <w:sz w:val="17"/>
              </w:rPr>
              <w:t>第1部第1章5</w:t>
            </w:r>
          </w:p>
        </w:tc>
      </w:tr>
      <w:tr>
        <w:tc>
          <w:tcPr>
            <w:tcW w:type="dxa" w:w="2268"/>
            <w:vAlign w:val="center"/>
          </w:tcPr>
          <w:p>
            <w:pPr>
              <w:spacing w:before="20" w:after="20"/>
            </w:pPr>
            <w:r>
              <w:rPr>
                <w:rFonts w:ascii="游ゴシック" w:hAnsi="游ゴシック" w:eastAsia="游ゴシック"/>
                <w:b w:val="0"/>
                <w:i w:val="0"/>
                <w:sz w:val="17"/>
              </w:rPr>
              <w:t>障害者総合支援法第88条第5項・児童福祉法第33条の20第5項</w:t>
            </w:r>
          </w:p>
        </w:tc>
        <w:tc>
          <w:tcPr>
            <w:tcW w:type="dxa" w:w="3969"/>
            <w:vAlign w:val="center"/>
          </w:tcPr>
          <w:p>
            <w:pPr>
              <w:spacing w:before="20" w:after="20"/>
            </w:pPr>
            <w:r>
              <w:rPr>
                <w:rFonts w:ascii="游ゴシック" w:hAnsi="游ゴシック" w:eastAsia="游ゴシック"/>
                <w:b/>
                <w:i w:val="0"/>
                <w:sz w:val="17"/>
              </w:rPr>
              <w:t>障害者基本計画（市町村障害者計画）と調和が保たれたもの</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第1部第1章2・4</w:t>
            </w:r>
          </w:p>
        </w:tc>
      </w:tr>
    </w:tbl>
    <w:p>
      <w:pPr>
        <w:spacing w:after="40"/>
      </w:pPr>
    </w:p>
    <w:p>
      <w:pPr>
        <w:spacing w:before="40" w:after="160"/>
        <w:ind w:left="113"/>
      </w:pPr>
      <w:r>
        <w:rPr>
          <w:rFonts w:ascii="游ゴシック" w:hAnsi="游ゴシック" w:eastAsia="游ゴシック"/>
          <w:b/>
          <w:i w:val="0"/>
          <w:sz w:val="17"/>
        </w:rPr>
        <w:t>※ 令和8年法律第51号により新たに加わった記載事項には（新設）と記しています。</w:t>
      </w:r>
      <w:r>
        <w:rPr>
          <w:rFonts w:ascii="游ゴシック" w:hAnsi="游ゴシック" w:eastAsia="游ゴシック"/>
          <w:b/>
          <w:i w:val="0"/>
          <w:sz w:val="17"/>
        </w:rPr>
        <w:t>いずれも「定めるよう努める」（努力義務）です。</w:t>
      </w:r>
      <w:r>
        <w:rPr>
          <w:rFonts w:ascii="游ゴシック" w:hAnsi="游ゴシック" w:eastAsia="游ゴシック"/>
          <w:b w:val="0"/>
          <w:i w:val="0"/>
          <w:sz w:val="17"/>
        </w:rPr>
        <w:t>都道府県障害福祉計画では同じ事項が「定めるものとする」（義務）とされ、さらに目標の定めが加わるため、</w:t>
      </w:r>
      <w:r>
        <w:rPr>
          <w:rFonts w:ascii="游ゴシック" w:hAnsi="游ゴシック" w:eastAsia="游ゴシック"/>
          <w:b/>
          <w:i w:val="0"/>
          <w:sz w:val="17"/>
        </w:rPr>
        <w:t>本計画は県の計画と同じ構えにしていません。</w:t>
      </w:r>
      <w:r>
        <w:rPr>
          <w:rFonts w:ascii="游ゴシック" w:hAnsi="游ゴシック" w:eastAsia="游ゴシック"/>
          <w:b w:val="0"/>
          <w:i w:val="0"/>
          <w:sz w:val="17"/>
        </w:rPr>
        <w:t>資料：厚生労働省「社会福祉法等の一部を改正する法律案　新旧対照条文」。</w:t>
      </w:r>
    </w:p>
    <w:p>
      <w:pPr>
        <w:pStyle w:val="Heading3"/>
        <w:keepNext/>
        <w:spacing w:before="180" w:after="80"/>
      </w:pPr>
      <w:r>
        <w:rPr>
          <w:rFonts w:ascii="游ゴシック" w:hAnsi="游ゴシック" w:eastAsia="游ゴシック"/>
          <w:b/>
          <w:i w:val="0"/>
          <w:color w:val="1F4D78"/>
          <w:sz w:val="22"/>
        </w:rPr>
        <w:t>3　計画期間</w:t>
      </w:r>
    </w:p>
    <w:p>
      <w:pPr>
        <w:spacing w:before="60" w:after="60"/>
      </w:pPr>
      <w:r>
        <w:rPr>
          <w:rFonts w:ascii="游ゴシック" w:hAnsi="游ゴシック" w:eastAsia="游ゴシック"/>
          <w:b/>
          <w:i w:val="0"/>
          <w:sz w:val="21"/>
        </w:rPr>
        <w:t>本計画の期間は、令和9年度から令和11年度までの3年間です。</w:t>
      </w:r>
      <w:r>
        <w:rPr>
          <w:rFonts w:ascii="游ゴシック" w:hAnsi="游ゴシック" w:eastAsia="游ゴシック"/>
          <w:b w:val="0"/>
          <w:i w:val="0"/>
          <w:sz w:val="21"/>
        </w:rPr>
        <w:t>障がい福祉計画・障がい児福祉計画は3年を一期として定めるものとされています。</w:t>
      </w:r>
    </w:p>
    <w:p>
      <w:pPr>
        <w:spacing w:before="60" w:after="60"/>
      </w:pPr>
      <w:r>
        <w:rPr>
          <w:rFonts w:ascii="游ゴシック" w:hAnsi="游ゴシック" w:eastAsia="游ゴシック"/>
          <w:b/>
          <w:i w:val="0"/>
          <w:sz w:val="21"/>
        </w:rPr>
        <w:t>なお、おのまち障がい者計画についても、障がい福祉計画・障がい児福祉計画と一体で策定することから、同じ3年間とします。</w:t>
      </w:r>
    </w:p>
    <w:p>
      <w:pPr>
        <w:keepNext/>
        <w:spacing w:before="200" w:after="40"/>
      </w:pPr>
      <w:r>
        <w:rPr>
          <w:rFonts w:ascii="游ゴシック" w:hAnsi="游ゴシック" w:eastAsia="游ゴシック"/>
          <w:b/>
          <w:i w:val="0"/>
          <w:color w:val="1F4D78"/>
          <w:sz w:val="22"/>
        </w:rPr>
        <w:t>【表3】第1部　総論　第1章　計画策定にあたって（3）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1701"/>
        <w:gridCol w:w="1701"/>
        <w:gridCol w:w="1701"/>
        <w:gridCol w:w="1701"/>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948"/>
            <w:vAlign w:val="center"/>
          </w:tcPr>
          <w:p>
            <w:pPr>
              <w:spacing w:before="20" w:after="20"/>
            </w:pPr>
            <w:r>
              <w:rPr>
                <w:rFonts w:ascii="游ゴシック" w:hAnsi="游ゴシック" w:eastAsia="游ゴシック"/>
                <w:b/>
                <w:i w:val="0"/>
                <w:sz w:val="17"/>
              </w:rPr>
              <w:t>本計画</w:t>
            </w:r>
          </w:p>
        </w:tc>
        <w:tc>
          <w:tcPr>
            <w:tcW w:type="dxa" w:w="1701"/>
            <w:vAlign w:val="center"/>
          </w:tcPr>
          <w:p>
            <w:pPr>
              <w:spacing w:before="20" w:after="20"/>
            </w:pPr>
            <w:r>
              <w:rPr>
                <w:rFonts w:ascii="游ゴシック" w:hAnsi="游ゴシック" w:eastAsia="游ゴシック"/>
                <w:b w:val="0"/>
                <w:i w:val="0"/>
                <w:sz w:val="17"/>
              </w:rPr>
              <w:t>策定</w:t>
            </w:r>
          </w:p>
        </w:tc>
        <w:tc>
          <w:tcPr>
            <w:tcW w:type="dxa" w:w="1701"/>
            <w:vAlign w:val="center"/>
          </w:tcPr>
          <w:p>
            <w:pPr>
              <w:spacing w:before="20" w:after="20"/>
            </w:pPr>
            <w:r>
              <w:rPr>
                <w:rFonts w:ascii="游ゴシック" w:hAnsi="游ゴシック" w:eastAsia="游ゴシック"/>
                <w:b/>
                <w:i w:val="0"/>
                <w:sz w:val="17"/>
              </w:rPr>
              <w:t>初年度</w:t>
            </w:r>
          </w:p>
        </w:tc>
        <w:tc>
          <w:tcPr>
            <w:tcW w:type="dxa" w:w="1701"/>
            <w:vAlign w:val="center"/>
          </w:tcPr>
          <w:p>
            <w:pPr>
              <w:spacing w:before="20" w:after="20"/>
            </w:pPr>
            <w:r>
              <w:rPr>
                <w:rFonts w:ascii="游ゴシック" w:hAnsi="游ゴシック" w:eastAsia="游ゴシック"/>
                <w:b w:val="0"/>
                <w:i w:val="0"/>
                <w:sz w:val="17"/>
              </w:rPr>
              <w:t>中間年</w:t>
            </w:r>
          </w:p>
        </w:tc>
        <w:tc>
          <w:tcPr>
            <w:tcW w:type="dxa" w:w="1701"/>
            <w:vAlign w:val="center"/>
          </w:tcPr>
          <w:p>
            <w:pPr>
              <w:spacing w:before="20" w:after="20"/>
            </w:pPr>
            <w:r>
              <w:rPr>
                <w:rFonts w:ascii="游ゴシック" w:hAnsi="游ゴシック" w:eastAsia="游ゴシック"/>
                <w:b/>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現行計画</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r>
      <w:tr>
        <w:tc>
          <w:tcPr>
            <w:tcW w:type="dxa" w:w="2948"/>
            <w:vAlign w:val="center"/>
          </w:tcPr>
          <w:p>
            <w:pPr>
              <w:keepNext/>
              <w:spacing w:before="20" w:after="20"/>
            </w:pPr>
            <w:r>
              <w:rPr>
                <w:rFonts w:ascii="游ゴシック" w:hAnsi="游ゴシック" w:eastAsia="游ゴシック"/>
                <w:b w:val="0"/>
                <w:i w:val="0"/>
                <w:sz w:val="17"/>
              </w:rPr>
              <w:t>高齢者保健福祉計画・介護保険事業計画</w:t>
            </w:r>
          </w:p>
        </w:tc>
        <w:tc>
          <w:tcPr>
            <w:tcW w:type="dxa" w:w="1701"/>
            <w:vAlign w:val="center"/>
          </w:tcPr>
          <w:p>
            <w:pPr>
              <w:keepNext/>
              <w:spacing w:before="20" w:after="20"/>
            </w:pPr>
            <w:r>
              <w:rPr>
                <w:rFonts w:ascii="游ゴシック" w:hAnsi="游ゴシック" w:eastAsia="游ゴシック"/>
                <w:b w:val="0"/>
                <w:i w:val="0"/>
                <w:sz w:val="17"/>
              </w:rPr>
              <w:t>策定</w:t>
            </w:r>
          </w:p>
        </w:tc>
        <w:tc>
          <w:tcPr>
            <w:tcW w:type="dxa" w:w="1701"/>
            <w:vAlign w:val="center"/>
          </w:tcPr>
          <w:p>
            <w:pPr>
              <w:keepNext/>
              <w:spacing w:before="20" w:after="20"/>
            </w:pPr>
            <w:r>
              <w:rPr>
                <w:rFonts w:ascii="游ゴシック" w:hAnsi="游ゴシック" w:eastAsia="游ゴシック"/>
                <w:b w:val="0"/>
                <w:i w:val="0"/>
                <w:sz w:val="17"/>
              </w:rPr>
              <w:t>初年度</w:t>
            </w:r>
          </w:p>
        </w:tc>
        <w:tc>
          <w:tcPr>
            <w:tcW w:type="dxa" w:w="1701"/>
            <w:vAlign w:val="center"/>
          </w:tcPr>
          <w:p>
            <w:pPr>
              <w:keepNext/>
              <w:spacing w:before="20" w:after="20"/>
            </w:pPr>
            <w:r>
              <w:rPr>
                <w:rFonts w:ascii="游ゴシック" w:hAnsi="游ゴシック" w:eastAsia="游ゴシック"/>
                <w:b w:val="0"/>
                <w:i w:val="0"/>
                <w:sz w:val="17"/>
              </w:rPr>
              <w:t>中間年</w:t>
            </w:r>
          </w:p>
        </w:tc>
        <w:tc>
          <w:tcPr>
            <w:tcW w:type="dxa" w:w="1701"/>
            <w:vAlign w:val="center"/>
          </w:tcPr>
          <w:p>
            <w:pPr>
              <w:keepNext/>
              <w:spacing w:before="20" w:after="20"/>
            </w:pPr>
            <w:r>
              <w:rPr>
                <w:rFonts w:ascii="游ゴシック" w:hAnsi="游ゴシック" w:eastAsia="游ゴシック"/>
                <w:b w:val="0"/>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第5次福島県障がい者計画</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i w:val="0"/>
                <w:sz w:val="17"/>
              </w:rPr>
              <w:t>（次期計画）</w:t>
            </w:r>
          </w:p>
        </w:tc>
        <w:tc>
          <w:tcPr>
            <w:tcW w:type="dxa" w:w="1701"/>
            <w:vAlign w:val="center"/>
          </w:tcPr>
          <w:p>
            <w:pPr>
              <w:spacing w:before="20" w:after="20"/>
            </w:pPr>
            <w:r>
              <w:rPr>
                <w:rFonts w:ascii="游ゴシック" w:hAnsi="游ゴシック" w:eastAsia="游ゴシック"/>
                <w:b/>
                <w:i w:val="0"/>
                <w:sz w:val="17"/>
              </w:rPr>
              <w:t>（次期計画）</w:t>
            </w:r>
          </w:p>
        </w:tc>
      </w:tr>
    </w:tbl>
    <w:p>
      <w:pPr>
        <w:spacing w:after="40"/>
      </w:pPr>
    </w:p>
    <w:p>
      <w:pPr>
        <w:spacing w:before="40" w:after="160"/>
        <w:ind w:left="113"/>
      </w:pPr>
      <w:r>
        <w:rPr>
          <w:rFonts w:ascii="游ゴシック" w:hAnsi="游ゴシック" w:eastAsia="游ゴシック"/>
          <w:b/>
          <w:i w:val="0"/>
          <w:sz w:val="17"/>
        </w:rPr>
        <w:t>※ 第5次福島県障がい者計画は令和9年度で計画期間が満了します。</w:t>
      </w:r>
      <w:r>
        <w:rPr>
          <w:rFonts w:ascii="游ゴシック" w:hAnsi="游ゴシック" w:eastAsia="游ゴシック"/>
          <w:b w:val="0"/>
          <w:i w:val="0"/>
          <w:sz w:val="17"/>
        </w:rPr>
        <w:t>本計画期間の後半は、県の次期計画の策定状況を踏まえて整合を図ります（策定状況を県に照会中。【決定後に記載】）。</w:t>
      </w:r>
    </w:p>
    <w:p>
      <w:pPr>
        <w:pStyle w:val="Heading3"/>
        <w:keepNext/>
        <w:spacing w:before="180" w:after="80"/>
      </w:pPr>
      <w:r>
        <w:rPr>
          <w:rFonts w:ascii="游ゴシック" w:hAnsi="游ゴシック" w:eastAsia="游ゴシック"/>
          <w:b/>
          <w:i w:val="0"/>
          <w:color w:val="1F4D78"/>
          <w:sz w:val="22"/>
        </w:rPr>
        <w:t>4　関連計画との関係</w:t>
      </w:r>
    </w:p>
    <w:p>
      <w:pPr>
        <w:spacing w:before="60" w:after="60"/>
      </w:pPr>
      <w:r>
        <w:rPr>
          <w:rFonts w:ascii="游ゴシック" w:hAnsi="游ゴシック" w:eastAsia="游ゴシック"/>
          <w:b w:val="0"/>
          <w:i w:val="0"/>
          <w:sz w:val="21"/>
        </w:rPr>
        <w:t>本計画と関連する計画は、次のとおりです。</w:t>
      </w:r>
    </w:p>
    <w:p>
      <w:pPr>
        <w:keepNext/>
        <w:spacing w:before="200" w:after="40"/>
      </w:pPr>
      <w:r>
        <w:rPr>
          <w:rFonts w:ascii="游ゴシック" w:hAnsi="游ゴシック" w:eastAsia="游ゴシック"/>
          <w:b/>
          <w:i w:val="0"/>
          <w:color w:val="1F4D78"/>
          <w:sz w:val="22"/>
        </w:rPr>
        <w:t>【表4】第1部　総論　第1章　計画策定にあたって（4）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474"/>
        <w:gridCol w:w="1474"/>
        <w:gridCol w:w="4195"/>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役割分担</w:t>
            </w:r>
          </w:p>
        </w:tc>
      </w:tr>
      <w:tr>
        <w:tc>
          <w:tcPr>
            <w:tcW w:type="dxa" w:w="2608"/>
            <w:vAlign w:val="center"/>
          </w:tcPr>
          <w:p>
            <w:pPr>
              <w:spacing w:before="20" w:after="20"/>
            </w:pPr>
            <w:r>
              <w:rPr>
                <w:rFonts w:ascii="游ゴシック" w:hAnsi="游ゴシック" w:eastAsia="游ゴシック"/>
                <w:b w:val="0"/>
                <w:i w:val="0"/>
                <w:sz w:val="17"/>
              </w:rPr>
              <w:t>小野町第3期地域福祉計画</w:t>
            </w:r>
          </w:p>
        </w:tc>
        <w:tc>
          <w:tcPr>
            <w:tcW w:type="dxa" w:w="1474"/>
            <w:vAlign w:val="center"/>
          </w:tcPr>
          <w:p>
            <w:pPr>
              <w:spacing w:before="20" w:after="20"/>
            </w:pPr>
            <w:r>
              <w:rPr>
                <w:rFonts w:ascii="游ゴシック" w:hAnsi="游ゴシック" w:eastAsia="游ゴシック"/>
                <w:b w:val="0"/>
                <w:i w:val="0"/>
                <w:sz w:val="17"/>
              </w:rPr>
              <w:t>令和8〜12年度</w:t>
            </w:r>
          </w:p>
        </w:tc>
        <w:tc>
          <w:tcPr>
            <w:tcW w:type="dxa" w:w="1474"/>
            <w:vAlign w:val="center"/>
          </w:tcPr>
          <w:p>
            <w:pPr>
              <w:spacing w:before="20" w:after="20"/>
            </w:pPr>
            <w:r>
              <w:rPr>
                <w:rFonts w:ascii="游ゴシック" w:hAnsi="游ゴシック" w:eastAsia="游ゴシック"/>
                <w:b/>
                <w:i w:val="0"/>
                <w:sz w:val="17"/>
              </w:rPr>
              <w:t>上位計画</w:t>
            </w:r>
          </w:p>
        </w:tc>
        <w:tc>
          <w:tcPr>
            <w:tcW w:type="dxa" w:w="4195"/>
            <w:vAlign w:val="center"/>
          </w:tcPr>
          <w:p>
            <w:pPr>
              <w:spacing w:before="20" w:after="20"/>
            </w:pPr>
            <w:r>
              <w:rPr>
                <w:rFonts w:ascii="游ゴシック" w:hAnsi="游ゴシック" w:eastAsia="游ゴシック"/>
                <w:b w:val="0"/>
                <w:i w:val="0"/>
                <w:sz w:val="17"/>
              </w:rPr>
              <w:t>地域共生社会、重層的支援体制、住民主体の見守り、生活困窮・ひきこもり、成年後見制度利用促進、一般的な防災・防犯。</w:t>
            </w:r>
            <w:r>
              <w:rPr>
                <w:rFonts w:ascii="游ゴシック" w:hAnsi="游ゴシック" w:eastAsia="游ゴシック"/>
                <w:b/>
                <w:i w:val="0"/>
                <w:sz w:val="17"/>
              </w:rPr>
              <w:t>本計画は障がい固有の課題に具体化する</w:t>
            </w:r>
          </w:p>
        </w:tc>
      </w:tr>
      <w:tr>
        <w:tc>
          <w:tcPr>
            <w:tcW w:type="dxa" w:w="2608"/>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i w:val="0"/>
                <w:sz w:val="17"/>
              </w:rPr>
              <w:t>関連計画（同時策定）</w:t>
            </w:r>
          </w:p>
        </w:tc>
        <w:tc>
          <w:tcPr>
            <w:tcW w:type="dxa" w:w="4195"/>
            <w:vAlign w:val="center"/>
          </w:tcPr>
          <w:p>
            <w:pPr>
              <w:spacing w:before="20" w:after="20"/>
            </w:pPr>
            <w:r>
              <w:rPr>
                <w:rFonts w:ascii="游ゴシック" w:hAnsi="游ゴシック" w:eastAsia="游ゴシック"/>
                <w:b/>
                <w:i w:val="0"/>
                <w:sz w:val="17"/>
              </w:rPr>
              <w:t>65歳到達時の介護保険への移行、高齢障がい者、共生型サービス。</w:t>
            </w:r>
            <w:r>
              <w:rPr>
                <w:rFonts w:ascii="游ゴシック" w:hAnsi="游ゴシック" w:eastAsia="游ゴシック"/>
                <w:b w:val="0"/>
                <w:i w:val="0"/>
                <w:sz w:val="17"/>
              </w:rPr>
              <w:t>人口推計の前提を統一する。</w:t>
            </w:r>
            <w:r>
              <w:rPr>
                <w:rFonts w:ascii="游ゴシック" w:hAnsi="游ゴシック" w:eastAsia="游ゴシック"/>
                <w:b/>
                <w:i w:val="0"/>
                <w:sz w:val="17"/>
              </w:rPr>
              <w:t>接点は第1部第1章4-2に一覧で示す</w:t>
            </w:r>
          </w:p>
        </w:tc>
      </w:tr>
      <w:tr>
        <w:tc>
          <w:tcPr>
            <w:tcW w:type="dxa" w:w="2608"/>
            <w:vAlign w:val="center"/>
          </w:tcPr>
          <w:p>
            <w:pPr>
              <w:spacing w:before="20" w:after="20"/>
            </w:pPr>
            <w:r>
              <w:rPr>
                <w:rFonts w:ascii="游ゴシック" w:hAnsi="游ゴシック" w:eastAsia="游ゴシック"/>
                <w:b w:val="0"/>
                <w:i w:val="0"/>
                <w:sz w:val="17"/>
              </w:rPr>
              <w:t>小野町こども計画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障がい児支援、療育、就学前後の支援、ヤングケアラー・きょうだい支援</w:t>
            </w:r>
          </w:p>
        </w:tc>
      </w:tr>
      <w:tr>
        <w:tc>
          <w:tcPr>
            <w:tcW w:type="dxa" w:w="2608"/>
            <w:vAlign w:val="center"/>
          </w:tcPr>
          <w:p>
            <w:pPr>
              <w:spacing w:before="20" w:after="20"/>
            </w:pPr>
            <w:r>
              <w:rPr>
                <w:rFonts w:ascii="游ゴシック" w:hAnsi="游ゴシック" w:eastAsia="游ゴシック"/>
                <w:b w:val="0"/>
                <w:i w:val="0"/>
                <w:sz w:val="17"/>
              </w:rPr>
              <w:t>小野町総合計画</w:t>
            </w:r>
          </w:p>
        </w:tc>
        <w:tc>
          <w:tcPr>
            <w:tcW w:type="dxa" w:w="1474"/>
            <w:vAlign w:val="center"/>
          </w:tcPr>
          <w:p>
            <w:pPr>
              <w:spacing w:before="20" w:after="20"/>
            </w:pPr>
            <w:r>
              <w:rPr>
                <w:rFonts w:ascii="游ゴシック" w:hAnsi="游ゴシック" w:eastAsia="游ゴシック"/>
                <w:b w:val="0"/>
                <w:i w:val="0"/>
                <w:sz w:val="17"/>
              </w:rPr>
              <w:t>町の最上位計画</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基本理念・まちづくりの方向</w:t>
            </w:r>
          </w:p>
        </w:tc>
      </w:tr>
      <w:tr>
        <w:tc>
          <w:tcPr>
            <w:tcW w:type="dxa" w:w="2608"/>
            <w:vAlign w:val="center"/>
          </w:tcPr>
          <w:p>
            <w:pPr>
              <w:spacing w:before="20" w:after="20"/>
            </w:pPr>
            <w:r>
              <w:rPr>
                <w:rFonts w:ascii="游ゴシック" w:hAnsi="游ゴシック" w:eastAsia="游ゴシック"/>
                <w:b w:val="0"/>
                <w:i w:val="0"/>
                <w:sz w:val="17"/>
              </w:rPr>
              <w:t>小野町地域公共交通計画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移動支援、外出支援</w:t>
            </w:r>
          </w:p>
        </w:tc>
      </w:tr>
      <w:tr>
        <w:tc>
          <w:tcPr>
            <w:tcW w:type="dxa" w:w="2608"/>
            <w:vAlign w:val="center"/>
          </w:tcPr>
          <w:p>
            <w:pPr>
              <w:spacing w:before="20" w:after="20"/>
            </w:pPr>
            <w:r>
              <w:rPr>
                <w:rFonts w:ascii="游ゴシック" w:hAnsi="游ゴシック" w:eastAsia="游ゴシック"/>
                <w:b w:val="0"/>
                <w:i w:val="0"/>
                <w:sz w:val="17"/>
              </w:rPr>
              <w:t>小野町地域防災計画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i w:val="0"/>
                <w:sz w:val="17"/>
              </w:rPr>
              <w:t>避難行動要支援者名簿・個別避難計画。</w:t>
            </w:r>
            <w:r>
              <w:rPr>
                <w:rFonts w:ascii="游ゴシック" w:hAnsi="游ゴシック" w:eastAsia="游ゴシック"/>
                <w:b w:val="0"/>
                <w:i w:val="0"/>
                <w:sz w:val="17"/>
              </w:rPr>
              <w:t>医療的ケア児等支援センターの業務に個別避難計画の作成への協力が加わる（令和9年4月1日施行）</w:t>
            </w:r>
          </w:p>
        </w:tc>
      </w:tr>
      <w:tr>
        <w:tc>
          <w:tcPr>
            <w:tcW w:type="dxa" w:w="2608"/>
            <w:vAlign w:val="center"/>
          </w:tcPr>
          <w:p>
            <w:pPr>
              <w:spacing w:before="20" w:after="20"/>
            </w:pPr>
            <w:r>
              <w:rPr>
                <w:rFonts w:ascii="游ゴシック" w:hAnsi="游ゴシック" w:eastAsia="游ゴシック"/>
                <w:b/>
                <w:i w:val="0"/>
                <w:sz w:val="17"/>
              </w:rPr>
              <w:t>小野町手話言語及び障がい者コミュニケーション条例</w:t>
            </w:r>
          </w:p>
        </w:tc>
        <w:tc>
          <w:tcPr>
            <w:tcW w:type="dxa" w:w="1474"/>
            <w:vAlign w:val="center"/>
          </w:tcPr>
          <w:p>
            <w:pPr>
              <w:spacing w:before="20" w:after="20"/>
            </w:pPr>
            <w:r>
              <w:rPr>
                <w:rFonts w:ascii="游ゴシック" w:hAnsi="游ゴシック" w:eastAsia="游ゴシック"/>
                <w:b w:val="0"/>
                <w:i w:val="0"/>
                <w:sz w:val="17"/>
              </w:rPr>
              <w:t>令和7年4月</w:t>
            </w:r>
          </w:p>
        </w:tc>
        <w:tc>
          <w:tcPr>
            <w:tcW w:type="dxa" w:w="1474"/>
            <w:vAlign w:val="center"/>
          </w:tcPr>
          <w:p>
            <w:pPr>
              <w:spacing w:before="20" w:after="20"/>
            </w:pPr>
            <w:r>
              <w:rPr>
                <w:rFonts w:ascii="游ゴシック" w:hAnsi="游ゴシック" w:eastAsia="游ゴシック"/>
                <w:b/>
                <w:i w:val="0"/>
                <w:sz w:val="17"/>
              </w:rPr>
              <w:t>町条例</w:t>
            </w:r>
          </w:p>
        </w:tc>
        <w:tc>
          <w:tcPr>
            <w:tcW w:type="dxa" w:w="4195"/>
            <w:vAlign w:val="center"/>
          </w:tcPr>
          <w:p>
            <w:pPr>
              <w:spacing w:before="20" w:after="20"/>
            </w:pPr>
            <w:r>
              <w:rPr>
                <w:rFonts w:ascii="游ゴシック" w:hAnsi="游ゴシック" w:eastAsia="游ゴシック"/>
                <w:b/>
                <w:i w:val="0"/>
                <w:sz w:val="17"/>
              </w:rPr>
              <w:t>第2部第4章の根拠。</w:t>
            </w:r>
            <w:r>
              <w:rPr>
                <w:rFonts w:ascii="游ゴシック" w:hAnsi="游ゴシック" w:eastAsia="游ゴシック"/>
                <w:b w:val="0"/>
                <w:i w:val="0"/>
                <w:sz w:val="17"/>
              </w:rPr>
              <w:t>手話の普及、多様な意思疎通支援</w:t>
            </w:r>
          </w:p>
        </w:tc>
      </w:tr>
      <w:tr>
        <w:tc>
          <w:tcPr>
            <w:tcW w:type="dxa" w:w="2608"/>
            <w:vAlign w:val="center"/>
          </w:tcPr>
          <w:p>
            <w:pPr>
              <w:spacing w:before="20" w:after="20"/>
            </w:pPr>
            <w:r>
              <w:rPr>
                <w:rFonts w:ascii="游ゴシック" w:hAnsi="游ゴシック" w:eastAsia="游ゴシック"/>
                <w:b w:val="0"/>
                <w:i w:val="0"/>
                <w:sz w:val="17"/>
              </w:rPr>
              <w:t>第5次福島県障がい者計画</w:t>
            </w:r>
          </w:p>
        </w:tc>
        <w:tc>
          <w:tcPr>
            <w:tcW w:type="dxa" w:w="1474"/>
            <w:vAlign w:val="center"/>
          </w:tcPr>
          <w:p>
            <w:pPr>
              <w:spacing w:before="20" w:after="20"/>
            </w:pPr>
            <w:r>
              <w:rPr>
                <w:rFonts w:ascii="游ゴシック" w:hAnsi="游ゴシック" w:eastAsia="游ゴシック"/>
                <w:b/>
                <w:i w:val="0"/>
                <w:sz w:val="17"/>
              </w:rPr>
              <w:t>令和9年度で満了</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本計画期間の後半は県の次期計画の策定状況を踏まえる</w:t>
            </w:r>
            <w:r>
              <w:rPr>
                <w:rFonts w:ascii="游ゴシック" w:hAnsi="游ゴシック" w:eastAsia="游ゴシック"/>
                <w:b w:val="0"/>
                <w:i w:val="0"/>
                <w:sz w:val="17"/>
              </w:rPr>
              <w:t>（照会中）</w:t>
            </w:r>
          </w:p>
        </w:tc>
      </w:tr>
      <w:tr>
        <w:tc>
          <w:tcPr>
            <w:tcW w:type="dxa" w:w="2608"/>
            <w:vAlign w:val="center"/>
          </w:tcPr>
          <w:p>
            <w:pPr>
              <w:spacing w:before="20" w:after="20"/>
            </w:pPr>
            <w:r>
              <w:rPr>
                <w:rFonts w:ascii="游ゴシック" w:hAnsi="游ゴシック" w:eastAsia="游ゴシック"/>
                <w:b w:val="0"/>
                <w:i w:val="0"/>
                <w:sz w:val="17"/>
              </w:rPr>
              <w:t>第8期福島県障がい福祉計画・第4期福島県障がい児福祉計画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成果目標のうち県が設定するものとの整合</w:t>
            </w:r>
          </w:p>
        </w:tc>
      </w:tr>
      <w:tr>
        <w:tc>
          <w:tcPr>
            <w:tcW w:type="dxa" w:w="2608"/>
            <w:vAlign w:val="center"/>
          </w:tcPr>
          <w:p>
            <w:pPr>
              <w:spacing w:before="20" w:after="20"/>
            </w:pPr>
            <w:r>
              <w:rPr>
                <w:rFonts w:ascii="游ゴシック" w:hAnsi="游ゴシック" w:eastAsia="游ゴシック"/>
                <w:b/>
                <w:i w:val="0"/>
                <w:sz w:val="17"/>
              </w:rPr>
              <w:t>福島県保健医療計画（第八次）</w:t>
            </w:r>
          </w:p>
        </w:tc>
        <w:tc>
          <w:tcPr>
            <w:tcW w:type="dxa" w:w="1474"/>
            <w:vAlign w:val="center"/>
          </w:tcPr>
          <w:p>
            <w:pPr>
              <w:spacing w:before="20" w:after="20"/>
            </w:pPr>
            <w:r>
              <w:rPr>
                <w:rFonts w:ascii="游ゴシック" w:hAnsi="游ゴシック" w:eastAsia="游ゴシック"/>
                <w:b w:val="0"/>
                <w:i w:val="0"/>
                <w:sz w:val="17"/>
              </w:rPr>
              <w:t>令和6〜11年度</w:t>
            </w:r>
          </w:p>
        </w:tc>
        <w:tc>
          <w:tcPr>
            <w:tcW w:type="dxa" w:w="1474"/>
            <w:vAlign w:val="center"/>
          </w:tcPr>
          <w:p>
            <w:pPr>
              <w:spacing w:before="20" w:after="20"/>
            </w:pPr>
            <w:r>
              <w:rPr>
                <w:rFonts w:ascii="游ゴシック" w:hAnsi="游ゴシック" w:eastAsia="游ゴシック"/>
                <w:b/>
                <w:i w:val="0"/>
                <w:sz w:val="17"/>
              </w:rPr>
              <w:t>県計画</w:t>
            </w:r>
          </w:p>
        </w:tc>
        <w:tc>
          <w:tcPr>
            <w:tcW w:type="dxa" w:w="4195"/>
            <w:vAlign w:val="center"/>
          </w:tcPr>
          <w:p>
            <w:pPr>
              <w:spacing w:before="20" w:after="20"/>
            </w:pPr>
            <w:r>
              <w:rPr>
                <w:rFonts w:ascii="游ゴシック" w:hAnsi="游ゴシック" w:eastAsia="游ゴシック"/>
                <w:b/>
                <w:i w:val="0"/>
                <w:sz w:val="17"/>
              </w:rPr>
              <w:t>本計画期間を包含する。</w:t>
            </w:r>
            <w:r>
              <w:rPr>
                <w:rFonts w:ascii="游ゴシック" w:hAnsi="游ゴシック" w:eastAsia="游ゴシック"/>
                <w:b w:val="0"/>
                <w:i w:val="0"/>
                <w:sz w:val="17"/>
              </w:rPr>
              <w:t>第8章第5節（にも包括）、第8章第11節（医療的ケア児への支援充実）、第9章第3節（難病対策）</w:t>
            </w:r>
          </w:p>
        </w:tc>
      </w:tr>
      <w:tr>
        <w:tc>
          <w:tcPr>
            <w:tcW w:type="dxa" w:w="2608"/>
            <w:vAlign w:val="center"/>
          </w:tcPr>
          <w:p>
            <w:pPr>
              <w:spacing w:before="20" w:after="20"/>
            </w:pPr>
            <w:r>
              <w:rPr>
                <w:rFonts w:ascii="游ゴシック" w:hAnsi="游ゴシック" w:eastAsia="游ゴシック"/>
                <w:b w:val="0"/>
                <w:i w:val="0"/>
                <w:sz w:val="17"/>
              </w:rPr>
              <w:t>福島県地域福祉支援計画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val="0"/>
                <w:i w:val="0"/>
                <w:sz w:val="17"/>
              </w:rPr>
              <w:t>町の地域福祉計画の上位</w:t>
            </w:r>
          </w:p>
        </w:tc>
      </w:tr>
      <w:tr>
        <w:tc>
          <w:tcPr>
            <w:tcW w:type="dxa" w:w="2608"/>
            <w:vAlign w:val="center"/>
          </w:tcPr>
          <w:p>
            <w:pPr>
              <w:spacing w:before="20" w:after="20"/>
            </w:pPr>
            <w:r>
              <w:rPr>
                <w:rFonts w:ascii="游ゴシック" w:hAnsi="游ゴシック" w:eastAsia="游ゴシック"/>
                <w:b w:val="0"/>
                <w:i w:val="0"/>
                <w:sz w:val="17"/>
              </w:rPr>
              <w:t>福島県賃貸住宅供給促進計画・福島県住生活基本計画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住宅確保要配慮者に障がいのある方が含まれる。</w:t>
            </w:r>
            <w:r>
              <w:rPr>
                <w:rFonts w:ascii="游ゴシック" w:hAnsi="游ゴシック" w:eastAsia="游ゴシック"/>
                <w:b w:val="0"/>
                <w:i w:val="0"/>
                <w:sz w:val="17"/>
              </w:rPr>
              <w:t>グループホームからの地域移行、単身生活への移行の受け皿</w:t>
            </w:r>
          </w:p>
        </w:tc>
      </w:tr>
    </w:tbl>
    <w:p>
      <w:pPr>
        <w:spacing w:after="40"/>
      </w:pPr>
    </w:p>
    <w:p>
      <w:pPr>
        <w:spacing w:after="12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障害者総合支援法第88条第5項及び児童福祉法第33条の20第5項は、</w:t>
      </w:r>
      <w:r>
        <w:rPr>
          <w:rFonts w:ascii="游ゴシック" w:hAnsi="游ゴシック" w:eastAsia="游ゴシック"/>
          <w:b/>
          <w:i w:val="0"/>
          <w:sz w:val="17"/>
        </w:rPr>
        <w:t>市町村障害者計画（障害者基本法に基づくもの）等と調和が保たれたものでなければならない</w:t>
      </w:r>
      <w:r>
        <w:rPr>
          <w:rFonts w:ascii="游ゴシック" w:hAnsi="游ゴシック" w:eastAsia="游ゴシック"/>
          <w:b w:val="0"/>
          <w:i w:val="0"/>
          <w:sz w:val="17"/>
        </w:rPr>
        <w:t>としています。</w:t>
      </w:r>
      <w:r>
        <w:rPr>
          <w:rFonts w:ascii="游ゴシック" w:hAnsi="游ゴシック" w:eastAsia="游ゴシック"/>
          <w:b/>
          <w:i w:val="0"/>
          <w:sz w:val="17"/>
        </w:rPr>
        <w:t>「調和」であって「整合性の確保」ではありません。</w:t>
      </w:r>
      <w:r>
        <w:rPr>
          <w:rFonts w:ascii="游ゴシック" w:hAnsi="游ゴシック" w:eastAsia="游ゴシック"/>
          <w:b w:val="0"/>
          <w:i w:val="0"/>
          <w:sz w:val="17"/>
        </w:rPr>
        <w:t>高齢者計画の素案 第1章3でも同じ整理をしており、両計画で相手方と書き方をそろえています。</w:t>
      </w:r>
      <w:r>
        <w:rPr>
          <w:rFonts w:ascii="游ゴシック" w:hAnsi="游ゴシック" w:eastAsia="游ゴシック"/>
          <w:b/>
          <w:i w:val="0"/>
          <w:sz w:val="17"/>
        </w:rPr>
        <w:t>条項の番号は、現行条文の全文で確かめたうえで本文に入れます</w:t>
      </w:r>
      <w:r>
        <w:rPr>
          <w:rFonts w:ascii="游ゴシック" w:hAnsi="游ゴシック" w:eastAsia="游ゴシック"/>
          <w:b w:val="0"/>
          <w:i w:val="0"/>
          <w:sz w:val="17"/>
        </w:rPr>
        <w:t>（改正により項の繰り下がりが生じないことは確認済み）。</w:t>
      </w:r>
    </w:p>
    <w:p>
      <w:pPr>
        <w:pStyle w:val="Heading3"/>
        <w:keepNext/>
        <w:spacing w:before="180" w:after="80"/>
      </w:pPr>
      <w:r>
        <w:rPr>
          <w:rFonts w:ascii="游ゴシック" w:hAnsi="游ゴシック" w:eastAsia="游ゴシック"/>
          <w:b/>
          <w:i w:val="0"/>
          <w:color w:val="1F4D78"/>
          <w:sz w:val="22"/>
        </w:rPr>
        <w:t>4-2　高齢者保健福祉計画・介護保険事業計画との接点</w:t>
      </w:r>
    </w:p>
    <w:p>
      <w:pPr>
        <w:spacing w:before="60" w:after="60"/>
      </w:pPr>
      <w:r>
        <w:rPr>
          <w:rFonts w:ascii="游ゴシック" w:hAnsi="游ゴシック" w:eastAsia="游ゴシック"/>
          <w:b w:val="0"/>
          <w:i w:val="0"/>
          <w:sz w:val="21"/>
        </w:rPr>
        <w:t>本町では、高齢者福祉計画・介護保険事業計画と、障がい者計画・障がい福祉計画・障がい児福祉計画を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【表5】第1部　総論　第1章　計画策定にあたって（5）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p>
        </w:tc>
        <w:tc>
          <w:tcPr>
            <w:tcW w:type="dxa" w:w="3628"/>
            <w:vAlign w:val="center"/>
          </w:tcPr>
          <w:p>
            <w:pPr>
              <w:spacing w:before="20" w:after="20"/>
            </w:pPr>
            <w:r>
              <w:rPr>
                <w:rFonts w:ascii="游ゴシック" w:hAnsi="游ゴシック" w:eastAsia="游ゴシック"/>
                <w:b/>
                <w:i w:val="0"/>
                <w:sz w:val="17"/>
              </w:rPr>
              <w:t>上の1から9までの判定を、この2つの会議の連携の場で行います。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介護保険法の支援会議は、実施の一部を地域包括支援センターの設置者に委託することができます（同条第6項）。本町にどちらが置かれているかを確かめたうえで、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厚生労働省「社会福祉法等の一部を改正する法律案新旧対照条文」（全353頁）により確かめたもの</w:t>
      </w:r>
      <w:r>
        <w:rPr>
          <w:rFonts w:ascii="游ゴシック" w:hAnsi="游ゴシック" w:eastAsia="游ゴシック"/>
          <w:b w:val="0"/>
          <w:i w:val="0"/>
          <w:sz w:val="17"/>
        </w:rPr>
        <w:t>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介護保険法施行法・同法施行規則・障害者総合支援法施行令は当方の環境から取得できていないため、</w:t>
      </w:r>
      <w:r>
        <w:rPr>
          <w:rFonts w:ascii="游ゴシック" w:hAnsi="游ゴシック" w:eastAsia="游ゴシック"/>
          <w:b/>
          <w:i w:val="0"/>
          <w:sz w:val="17"/>
        </w:rPr>
        <w:t>記憶で条項の番号を書くことはしていません。</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【表6】第1部　総論　第1章　計画策定にあたって（6）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keepNext/>
              <w:spacing w:before="20" w:after="20"/>
            </w:pPr>
            <w:r>
              <w:rPr>
                <w:rFonts w:ascii="游ゴシック" w:hAnsi="游ゴシック" w:eastAsia="游ゴシック"/>
                <w:b w:val="0"/>
                <w:i w:val="0"/>
                <w:sz w:val="17"/>
              </w:rPr>
              <w:t>5</w:t>
            </w:r>
          </w:p>
        </w:tc>
        <w:tc>
          <w:tcPr>
            <w:tcW w:type="dxa" w:w="6803"/>
            <w:vAlign w:val="center"/>
          </w:tcPr>
          <w:p>
            <w:pPr>
              <w:keepNext/>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keepNext/>
              <w:spacing w:before="20" w:after="20"/>
            </w:pPr>
            <w:r>
              <w:rPr>
                <w:rFonts w:ascii="游ゴシック" w:hAnsi="游ゴシック" w:eastAsia="游ゴシック"/>
                <w:b w:val="0"/>
                <w:i w:val="0"/>
                <w:sz w:val="17"/>
              </w:rPr>
              <w:t>8（引継ぎ）</w:t>
            </w:r>
          </w:p>
        </w:tc>
      </w:tr>
      <w:tr>
        <w:tc>
          <w:tcPr>
            <w:tcW w:type="dxa" w:w="454"/>
            <w:vAlign w:val="center"/>
          </w:tcPr>
          <w:p>
            <w:pPr>
              <w:spacing w:before="20" w:after="20"/>
            </w:pPr>
            <w:r>
              <w:rPr>
                <w:rFonts w:ascii="游ゴシック" w:hAnsi="游ゴシック" w:eastAsia="游ゴシック"/>
                <w:b w:val="0"/>
                <w:i w:val="0"/>
                <w:sz w:val="17"/>
              </w:rPr>
              <w:t>6</w:t>
            </w:r>
          </w:p>
        </w:tc>
        <w:tc>
          <w:tcPr>
            <w:tcW w:type="dxa" w:w="6803"/>
            <w:vAlign w:val="center"/>
          </w:tcPr>
          <w:p>
            <w:pPr>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pPr>
        <w:spacing w:after="120"/>
      </w:pPr>
    </w:p>
    <w:p>
      <w:pPr>
        <w:spacing w:before="60" w:after="60"/>
      </w:pPr>
      <w:r>
        <w:rPr>
          <w:rFonts w:ascii="游ゴシック" w:hAnsi="游ゴシック" w:eastAsia="游ゴシック"/>
          <w:b/>
          <w:i w:val="0"/>
          <w:sz w:val="21"/>
        </w:rPr>
        <w:t>本計画での箇所と、高齢者計画での箇所の対応は次のとおりです。</w:t>
      </w:r>
    </w:p>
    <w:p>
      <w:pPr>
        <w:keepNext/>
        <w:spacing w:before="200" w:after="40"/>
      </w:pPr>
      <w:r>
        <w:rPr>
          <w:rFonts w:ascii="游ゴシック" w:hAnsi="游ゴシック" w:eastAsia="游ゴシック"/>
          <w:b/>
          <w:i w:val="0"/>
          <w:color w:val="1F4D78"/>
          <w:sz w:val="22"/>
        </w:rPr>
        <w:t>【表7】第1部　総論　第1章　計画策定にあたって（7）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95"/>
        <w:gridCol w:w="2721"/>
        <w:gridCol w:w="2835"/>
      </w:tblGrid>
      <w:tr>
        <w:tc>
          <w:tcPr>
            <w:tcW w:type="dxa" w:w="4195"/>
            <w:shd w:val="clear" w:fill="1F3864"/>
            <w:vAlign w:val="center"/>
          </w:tcPr>
          <w:p>
            <w:pPr>
              <w:spacing w:before="20" w:after="20"/>
              <w:jc w:val="center"/>
            </w:pPr>
            <w:r>
              <w:rPr>
                <w:rFonts w:ascii="游ゴシック" w:hAnsi="游ゴシック" w:eastAsia="游ゴシック"/>
                <w:b/>
                <w:i w:val="0"/>
                <w:color w:val="FFFFFF"/>
                <w:sz w:val="17"/>
              </w:rPr>
              <w:t>接点</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本計画での箇所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高齢者計画での箇所</w:t>
            </w:r>
          </w:p>
        </w:tc>
      </w:tr>
      <w:tr>
        <w:tc>
          <w:tcPr>
            <w:tcW w:type="dxa" w:w="4195"/>
            <w:vAlign w:val="center"/>
          </w:tcPr>
          <w:p>
            <w:pPr>
              <w:spacing w:before="20" w:after="20"/>
            </w:pPr>
            <w:r>
              <w:rPr>
                <w:rFonts w:ascii="游ゴシック" w:hAnsi="游ゴシック" w:eastAsia="游ゴシック"/>
                <w:b w:val="0"/>
                <w:i w:val="0"/>
                <w:sz w:val="17"/>
              </w:rPr>
              <w:t>65歳到達時の介護保険への移行</w:t>
            </w:r>
          </w:p>
        </w:tc>
        <w:tc>
          <w:tcPr>
            <w:tcW w:type="dxa" w:w="2721"/>
            <w:vAlign w:val="center"/>
          </w:tcPr>
          <w:p>
            <w:pPr>
              <w:spacing w:before="20" w:after="20"/>
            </w:pPr>
            <w:r>
              <w:rPr>
                <w:rFonts w:ascii="游ゴシック" w:hAnsi="游ゴシック" w:eastAsia="游ゴシック"/>
                <w:b w:val="0"/>
                <w:i w:val="0"/>
                <w:sz w:val="17"/>
              </w:rPr>
              <w:t>第2部第7章6</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共生型サービス</w:t>
            </w:r>
          </w:p>
        </w:tc>
        <w:tc>
          <w:tcPr>
            <w:tcW w:type="dxa" w:w="2721"/>
            <w:vAlign w:val="center"/>
          </w:tcPr>
          <w:p>
            <w:pPr>
              <w:spacing w:before="20" w:after="20"/>
            </w:pPr>
            <w:r>
              <w:rPr>
                <w:rFonts w:ascii="游ゴシック" w:hAnsi="游ゴシック" w:eastAsia="游ゴシック"/>
                <w:b w:val="0"/>
                <w:i w:val="0"/>
                <w:sz w:val="17"/>
              </w:rPr>
              <w:t>第3部第2章1・2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高齢障がい者の実態把握</w:t>
            </w:r>
          </w:p>
        </w:tc>
        <w:tc>
          <w:tcPr>
            <w:tcW w:type="dxa" w:w="2721"/>
            <w:vAlign w:val="center"/>
          </w:tcPr>
          <w:p>
            <w:pPr>
              <w:spacing w:before="20" w:after="20"/>
            </w:pPr>
            <w:r>
              <w:rPr>
                <w:rFonts w:ascii="游ゴシック" w:hAnsi="游ゴシック" w:eastAsia="游ゴシック"/>
                <w:b w:val="0"/>
                <w:i w:val="0"/>
                <w:sz w:val="17"/>
              </w:rPr>
              <w:t>第1部第2章5</w:t>
            </w:r>
          </w:p>
        </w:tc>
        <w:tc>
          <w:tcPr>
            <w:tcW w:type="dxa" w:w="2835"/>
            <w:vAlign w:val="center"/>
          </w:tcPr>
          <w:p>
            <w:pPr>
              <w:spacing w:before="20" w:after="20"/>
            </w:pPr>
            <w:r>
              <w:rPr>
                <w:rFonts w:ascii="游ゴシック" w:hAnsi="游ゴシック" w:eastAsia="游ゴシック"/>
                <w:b w:val="0"/>
                <w:i w:val="0"/>
                <w:sz w:val="17"/>
              </w:rPr>
              <w:t>高齢者計画 第2章3</w:t>
            </w:r>
          </w:p>
        </w:tc>
      </w:tr>
      <w:tr>
        <w:tc>
          <w:tcPr>
            <w:tcW w:type="dxa" w:w="4195"/>
            <w:vAlign w:val="center"/>
          </w:tcPr>
          <w:p>
            <w:pPr>
              <w:spacing w:before="20" w:after="20"/>
            </w:pPr>
            <w:r>
              <w:rPr>
                <w:rFonts w:ascii="游ゴシック" w:hAnsi="游ゴシック" w:eastAsia="游ゴシック"/>
                <w:b/>
                <w:i w:val="0"/>
                <w:sz w:val="17"/>
              </w:rPr>
              <w:t>支援会議と支援協議会の相互連携</w:t>
            </w:r>
          </w:p>
        </w:tc>
        <w:tc>
          <w:tcPr>
            <w:tcW w:type="dxa" w:w="2721"/>
            <w:vAlign w:val="center"/>
          </w:tcPr>
          <w:p>
            <w:pPr>
              <w:spacing w:before="20" w:after="20"/>
            </w:pPr>
            <w:r>
              <w:rPr>
                <w:rFonts w:ascii="游ゴシック" w:hAnsi="游ゴシック" w:eastAsia="游ゴシック"/>
                <w:b/>
                <w:i w:val="0"/>
                <w:sz w:val="17"/>
              </w:rPr>
              <w:t>第1部第1章5</w:t>
            </w:r>
          </w:p>
        </w:tc>
        <w:tc>
          <w:tcPr>
            <w:tcW w:type="dxa" w:w="2835"/>
            <w:vAlign w:val="center"/>
          </w:tcPr>
          <w:p>
            <w:pPr>
              <w:spacing w:before="20" w:after="20"/>
            </w:pPr>
            <w:r>
              <w:rPr>
                <w:rFonts w:ascii="游ゴシック" w:hAnsi="游ゴシック" w:eastAsia="游ゴシック"/>
                <w:b/>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地域生活支援拠点等と地域包括支援センター</w:t>
            </w:r>
          </w:p>
        </w:tc>
        <w:tc>
          <w:tcPr>
            <w:tcW w:type="dxa" w:w="2721"/>
            <w:vAlign w:val="center"/>
          </w:tcPr>
          <w:p>
            <w:pPr>
              <w:spacing w:before="20" w:after="20"/>
            </w:pPr>
            <w:r>
              <w:rPr>
                <w:rFonts w:ascii="游ゴシック" w:hAnsi="游ゴシック" w:eastAsia="游ゴシック"/>
                <w:b w:val="0"/>
                <w:i w:val="0"/>
                <w:sz w:val="17"/>
              </w:rPr>
              <w:t>第2部第7章2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重層的支援体制整備事業</w:t>
            </w:r>
          </w:p>
        </w:tc>
        <w:tc>
          <w:tcPr>
            <w:tcW w:type="dxa" w:w="2721"/>
            <w:vAlign w:val="center"/>
          </w:tcPr>
          <w:p>
            <w:pPr>
              <w:spacing w:before="20" w:after="20"/>
            </w:pPr>
            <w:r>
              <w:rPr>
                <w:rFonts w:ascii="游ゴシック" w:hAnsi="游ゴシック" w:eastAsia="游ゴシック"/>
                <w:b w:val="0"/>
                <w:i w:val="0"/>
                <w:sz w:val="17"/>
              </w:rPr>
              <w:t>第1部第1章4</w:t>
            </w:r>
          </w:p>
        </w:tc>
        <w:tc>
          <w:tcPr>
            <w:tcW w:type="dxa" w:w="2835"/>
            <w:vAlign w:val="center"/>
          </w:tcPr>
          <w:p>
            <w:pPr>
              <w:spacing w:before="20" w:after="20"/>
            </w:pPr>
            <w:r>
              <w:rPr>
                <w:rFonts w:ascii="游ゴシック" w:hAnsi="游ゴシック" w:eastAsia="游ゴシック"/>
                <w:b w:val="0"/>
                <w:i w:val="0"/>
                <w:sz w:val="17"/>
              </w:rPr>
              <w:t>高齢者計画 第1章3</w:t>
            </w:r>
          </w:p>
        </w:tc>
      </w:tr>
      <w:tr>
        <w:tc>
          <w:tcPr>
            <w:tcW w:type="dxa" w:w="4195"/>
            <w:vAlign w:val="center"/>
          </w:tcPr>
          <w:p>
            <w:pPr>
              <w:spacing w:before="20" w:after="20"/>
            </w:pPr>
            <w:r>
              <w:rPr>
                <w:rFonts w:ascii="游ゴシック" w:hAnsi="游ゴシック" w:eastAsia="游ゴシック"/>
                <w:b w:val="0"/>
                <w:i w:val="0"/>
                <w:sz w:val="17"/>
              </w:rPr>
              <w:t>人口推計の前提</w:t>
            </w:r>
          </w:p>
        </w:tc>
        <w:tc>
          <w:tcPr>
            <w:tcW w:type="dxa" w:w="2721"/>
            <w:vAlign w:val="center"/>
          </w:tcPr>
          <w:p>
            <w:pPr>
              <w:spacing w:before="20" w:after="20"/>
            </w:pPr>
            <w:r>
              <w:rPr>
                <w:rFonts w:ascii="游ゴシック" w:hAnsi="游ゴシック" w:eastAsia="游ゴシック"/>
                <w:b w:val="0"/>
                <w:i w:val="0"/>
                <w:sz w:val="17"/>
              </w:rPr>
              <w:t>第1部第2章1</w:t>
            </w:r>
          </w:p>
        </w:tc>
        <w:tc>
          <w:tcPr>
            <w:tcW w:type="dxa" w:w="2835"/>
            <w:vAlign w:val="center"/>
          </w:tcPr>
          <w:p>
            <w:pPr>
              <w:spacing w:before="20" w:after="20"/>
            </w:pPr>
            <w:r>
              <w:rPr>
                <w:rFonts w:ascii="游ゴシック" w:hAnsi="游ゴシック" w:eastAsia="游ゴシック"/>
                <w:b w:val="0"/>
                <w:i w:val="0"/>
                <w:sz w:val="17"/>
              </w:rPr>
              <w:t>高齢者計画 第2章1</w:t>
            </w:r>
          </w:p>
        </w:tc>
      </w:tr>
      <w:tr>
        <w:tc>
          <w:tcPr>
            <w:tcW w:type="dxa" w:w="4195"/>
            <w:vAlign w:val="center"/>
          </w:tcPr>
          <w:p>
            <w:pPr>
              <w:spacing w:before="20" w:after="20"/>
            </w:pPr>
            <w:r>
              <w:rPr>
                <w:rFonts w:ascii="游ゴシック" w:hAnsi="游ゴシック" w:eastAsia="游ゴシック"/>
                <w:b w:val="0"/>
                <w:i w:val="0"/>
                <w:sz w:val="17"/>
              </w:rPr>
              <w:t>医療的ケア児等への支援</w:t>
            </w:r>
          </w:p>
        </w:tc>
        <w:tc>
          <w:tcPr>
            <w:tcW w:type="dxa" w:w="2721"/>
            <w:vAlign w:val="center"/>
          </w:tcPr>
          <w:p>
            <w:pPr>
              <w:spacing w:before="20" w:after="20"/>
            </w:pPr>
            <w:r>
              <w:rPr>
                <w:rFonts w:ascii="游ゴシック" w:hAnsi="游ゴシック" w:eastAsia="游ゴシック"/>
                <w:b w:val="0"/>
                <w:i w:val="0"/>
                <w:sz w:val="17"/>
              </w:rPr>
              <w:t>第2部第6章3・第3部第1章⑧</w:t>
            </w:r>
          </w:p>
        </w:tc>
        <w:tc>
          <w:tcPr>
            <w:tcW w:type="dxa" w:w="2835"/>
            <w:vAlign w:val="center"/>
          </w:tcPr>
          <w:p>
            <w:pPr>
              <w:spacing w:before="20" w:after="20"/>
            </w:pPr>
            <w:r>
              <w:rPr>
                <w:rFonts w:ascii="游ゴシック" w:hAnsi="游ゴシック" w:eastAsia="游ゴシック"/>
                <w:b w:val="0"/>
                <w:i w:val="0"/>
                <w:sz w:val="17"/>
              </w:rPr>
              <w:t>高齢者計画 第5章 基本目標2⑦</w:t>
            </w:r>
          </w:p>
        </w:tc>
      </w:tr>
      <w:tr>
        <w:tc>
          <w:tcPr>
            <w:tcW w:type="dxa" w:w="4195"/>
            <w:vAlign w:val="center"/>
          </w:tcPr>
          <w:p>
            <w:pPr>
              <w:keepNext/>
              <w:spacing w:before="20" w:after="20"/>
            </w:pPr>
            <w:r>
              <w:rPr>
                <w:rFonts w:ascii="游ゴシック" w:hAnsi="游ゴシック" w:eastAsia="游ゴシック"/>
                <w:b w:val="0"/>
                <w:i w:val="0"/>
                <w:sz w:val="17"/>
              </w:rPr>
              <w:t>災害時の個別避難計画</w:t>
            </w:r>
          </w:p>
        </w:tc>
        <w:tc>
          <w:tcPr>
            <w:tcW w:type="dxa" w:w="2721"/>
            <w:vAlign w:val="center"/>
          </w:tcPr>
          <w:p>
            <w:pPr>
              <w:keepNext/>
              <w:spacing w:before="20" w:after="20"/>
            </w:pPr>
            <w:r>
              <w:rPr>
                <w:rFonts w:ascii="游ゴシック" w:hAnsi="游ゴシック" w:eastAsia="游ゴシック"/>
                <w:b w:val="0"/>
                <w:i w:val="0"/>
                <w:sz w:val="17"/>
              </w:rPr>
              <w:t>第2部第5章1</w:t>
            </w:r>
          </w:p>
        </w:tc>
        <w:tc>
          <w:tcPr>
            <w:tcW w:type="dxa" w:w="2835"/>
            <w:vAlign w:val="center"/>
          </w:tcPr>
          <w:p>
            <w:pPr>
              <w:keepNext/>
              <w:spacing w:before="20" w:after="20"/>
            </w:pPr>
            <w:r>
              <w:rPr>
                <w:rFonts w:ascii="游ゴシック" w:hAnsi="游ゴシック" w:eastAsia="游ゴシック"/>
                <w:b w:val="0"/>
                <w:i w:val="0"/>
                <w:sz w:val="17"/>
              </w:rPr>
              <w:t>高齢者計画 第5章 基本目標2⑥</w:t>
            </w:r>
          </w:p>
        </w:tc>
      </w:tr>
      <w:tr>
        <w:tc>
          <w:tcPr>
            <w:tcW w:type="dxa" w:w="4195"/>
            <w:vAlign w:val="center"/>
          </w:tcPr>
          <w:p>
            <w:pPr>
              <w:spacing w:before="20" w:after="20"/>
            </w:pPr>
            <w:r>
              <w:rPr>
                <w:rFonts w:ascii="游ゴシック" w:hAnsi="游ゴシック" w:eastAsia="游ゴシック"/>
                <w:b w:val="0"/>
                <w:i w:val="0"/>
                <w:sz w:val="17"/>
              </w:rPr>
              <w:t>成年後見制度の利用促進</w:t>
            </w:r>
          </w:p>
        </w:tc>
        <w:tc>
          <w:tcPr>
            <w:tcW w:type="dxa" w:w="2721"/>
            <w:vAlign w:val="center"/>
          </w:tcPr>
          <w:p>
            <w:pPr>
              <w:spacing w:before="20" w:after="20"/>
            </w:pPr>
            <w:r>
              <w:rPr>
                <w:rFonts w:ascii="游ゴシック" w:hAnsi="游ゴシック" w:eastAsia="游ゴシック"/>
                <w:b w:val="0"/>
                <w:i w:val="0"/>
                <w:sz w:val="17"/>
              </w:rPr>
              <w:t>第2部第2章1</w:t>
            </w:r>
          </w:p>
        </w:tc>
        <w:tc>
          <w:tcPr>
            <w:tcW w:type="dxa" w:w="2835"/>
            <w:vAlign w:val="center"/>
          </w:tcPr>
          <w:p>
            <w:pPr>
              <w:spacing w:before="20" w:after="20"/>
            </w:pPr>
            <w:r>
              <w:rPr>
                <w:rFonts w:ascii="游ゴシック" w:hAnsi="游ゴシック" w:eastAsia="游ゴシック"/>
                <w:b w:val="0"/>
                <w:i w:val="0"/>
                <w:sz w:val="17"/>
              </w:rPr>
              <w:t>高齢者計画 第5章 基本目標2⑤</w:t>
            </w:r>
          </w:p>
        </w:tc>
      </w:tr>
    </w:tbl>
    <w:p>
      <w:pPr>
        <w:spacing w:after="40"/>
      </w:pPr>
    </w:p>
    <w:p>
      <w:pPr>
        <w:pStyle w:val="Heading3"/>
        <w:keepNext/>
        <w:spacing w:before="180" w:after="80"/>
      </w:pPr>
      <w:r>
        <w:rPr>
          <w:rFonts w:ascii="游ゴシック" w:hAnsi="游ゴシック" w:eastAsia="游ゴシック"/>
          <w:b/>
          <w:i w:val="0"/>
          <w:color w:val="1F4D78"/>
          <w:sz w:val="22"/>
        </w:rPr>
        <w:t>5　策定体制</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にお諮りしながら策定します。あわせて、庁内の関係課による検討を行い、</w:t>
      </w:r>
      <w:r>
        <w:rPr>
          <w:rFonts w:ascii="游ゴシック" w:hAnsi="游ゴシック" w:eastAsia="游ゴシック"/>
          <w:b/>
          <w:i w:val="0"/>
          <w:sz w:val="21"/>
        </w:rPr>
        <w:t>パブリックコメント</w:t>
      </w:r>
      <w:r>
        <w:rPr>
          <w:rFonts w:ascii="游ゴシック" w:hAnsi="游ゴシック" w:eastAsia="游ゴシック"/>
          <w:b w:val="0"/>
          <w:i w:val="0"/>
          <w:sz w:val="21"/>
        </w:rPr>
        <w:t>により町民の皆様のご意見を反映します。</w:t>
      </w:r>
    </w:p>
    <w:p>
      <w:pPr>
        <w:spacing w:before="60" w:after="60"/>
      </w:pPr>
      <w:r>
        <w:rPr>
          <w:rFonts w:ascii="游ゴシック" w:hAnsi="游ゴシック" w:eastAsia="游ゴシック"/>
          <w:b/>
          <w:i w:val="0"/>
          <w:sz w:val="21"/>
        </w:rPr>
        <w:t>障害者総合支援法第88条第9項及び児童福祉法第33条の20第9項は、支援協議会を設置したときは、計画を定め、又は変更しようとする場合に、あらかじめその意見を聴くよう努めなければならないとしています。</w:t>
      </w:r>
      <w:r>
        <w:rPr>
          <w:rFonts w:ascii="游ゴシック" w:hAnsi="游ゴシック" w:eastAsia="游ゴシック"/>
          <w:b/>
          <w:i w:val="0"/>
          <w:sz w:val="21"/>
        </w:rPr>
        <w:t>令和8年法律第51号により、「協議会」が「支援協議会」に改められます</w:t>
      </w:r>
      <w:r>
        <w:rPr>
          <w:rFonts w:ascii="游ゴシック" w:hAnsi="游ゴシック" w:eastAsia="游ゴシック"/>
          <w:b w:val="0"/>
          <w:i w:val="0"/>
          <w:sz w:val="21"/>
        </w:rPr>
        <w:t>（令和9年4月1日施行）。</w:t>
      </w:r>
      <w:r>
        <w:rPr>
          <w:rFonts w:ascii="游ゴシック" w:hAnsi="游ゴシック" w:eastAsia="游ゴシック"/>
          <w:b/>
          <w:i w:val="0"/>
          <w:sz w:val="21"/>
        </w:rPr>
        <w:t>本町の自立支援協議会がこれに当たるかを確かめたうえで、意見を聴く手続を経ます。</w:t>
      </w:r>
    </w:p>
    <w:p>
      <w:pPr>
        <w:keepNext/>
        <w:spacing w:before="200" w:after="40"/>
      </w:pPr>
      <w:r>
        <w:rPr>
          <w:rFonts w:ascii="游ゴシック" w:hAnsi="游ゴシック" w:eastAsia="游ゴシック"/>
          <w:b/>
          <w:i w:val="0"/>
          <w:color w:val="1F4D78"/>
          <w:sz w:val="22"/>
        </w:rPr>
        <w:t>【表8】第1部　総論　第1章　計画策定にあたって（8）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5669"/>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4082"/>
            <w:vAlign w:val="center"/>
          </w:tcPr>
          <w:p>
            <w:pPr>
              <w:spacing w:before="20" w:after="20"/>
            </w:pPr>
            <w:r>
              <w:rPr>
                <w:rFonts w:ascii="游ゴシック" w:hAnsi="游ゴシック" w:eastAsia="游ゴシック"/>
                <w:b w:val="0"/>
                <w:i w:val="0"/>
                <w:sz w:val="17"/>
              </w:rPr>
              <w:t>小野町自立支援協議会</w:t>
            </w:r>
          </w:p>
        </w:tc>
        <w:tc>
          <w:tcPr>
            <w:tcW w:type="dxa" w:w="5669"/>
            <w:vAlign w:val="center"/>
          </w:tcPr>
          <w:p>
            <w:pPr>
              <w:spacing w:before="20" w:after="20"/>
            </w:pPr>
            <w:r>
              <w:rPr>
                <w:rFonts w:ascii="游ゴシック" w:hAnsi="游ゴシック" w:eastAsia="游ゴシック"/>
                <w:b w:val="0"/>
                <w:i w:val="0"/>
                <w:sz w:val="17"/>
              </w:rPr>
              <w:t>開催回数・時期　【決定後に記載】</w:t>
            </w:r>
          </w:p>
        </w:tc>
      </w:tr>
      <w:tr>
        <w:tc>
          <w:tcPr>
            <w:tcW w:type="dxa" w:w="4082"/>
            <w:vAlign w:val="center"/>
          </w:tcPr>
          <w:p>
            <w:pPr>
              <w:spacing w:before="20" w:after="20"/>
            </w:pPr>
            <w:r>
              <w:rPr>
                <w:rFonts w:ascii="游ゴシック" w:hAnsi="游ゴシック" w:eastAsia="游ゴシック"/>
                <w:b/>
                <w:i w:val="0"/>
                <w:sz w:val="17"/>
              </w:rPr>
              <w:t>支援協議会への意見聴取（法第88条第9項・児福法第33条の20第9項）</w:t>
            </w:r>
          </w:p>
        </w:tc>
        <w:tc>
          <w:tcPr>
            <w:tcW w:type="dxa" w:w="5669"/>
            <w:vAlign w:val="center"/>
          </w:tcPr>
          <w:p>
            <w:pPr>
              <w:spacing w:before="20" w:after="20"/>
            </w:pPr>
            <w:r>
              <w:rPr>
                <w:rFonts w:ascii="游ゴシック" w:hAnsi="游ゴシック" w:eastAsia="游ゴシック"/>
                <w:b w:val="0"/>
                <w:i w:val="0"/>
                <w:sz w:val="17"/>
              </w:rPr>
              <w:t>時期　【決定後に記載】</w:t>
            </w:r>
          </w:p>
        </w:tc>
      </w:tr>
      <w:tr>
        <w:tc>
          <w:tcPr>
            <w:tcW w:type="dxa" w:w="4082"/>
            <w:vAlign w:val="center"/>
          </w:tcPr>
          <w:p>
            <w:pPr>
              <w:spacing w:before="20" w:after="20"/>
            </w:pPr>
            <w:r>
              <w:rPr>
                <w:rFonts w:ascii="游ゴシック" w:hAnsi="游ゴシック" w:eastAsia="游ゴシック"/>
                <w:b w:val="0"/>
                <w:i w:val="0"/>
                <w:sz w:val="17"/>
              </w:rPr>
              <w:t>令和8年度調査</w:t>
            </w:r>
          </w:p>
        </w:tc>
        <w:tc>
          <w:tcPr>
            <w:tcW w:type="dxa" w:w="5669"/>
            <w:vAlign w:val="center"/>
          </w:tcPr>
          <w:p>
            <w:pPr>
              <w:spacing w:before="20" w:after="20"/>
            </w:pPr>
            <w:r>
              <w:rPr>
                <w:rFonts w:ascii="游ゴシック" w:hAnsi="游ゴシック" w:eastAsia="游ゴシック"/>
                <w:b w:val="0"/>
                <w:i w:val="0"/>
                <w:sz w:val="17"/>
              </w:rPr>
              <w:t>アンケート調査・関係者団体等ヒアリング　【町データ待ち】</w:t>
            </w:r>
          </w:p>
        </w:tc>
      </w:tr>
      <w:tr>
        <w:tc>
          <w:tcPr>
            <w:tcW w:type="dxa" w:w="4082"/>
            <w:vAlign w:val="center"/>
          </w:tcPr>
          <w:p>
            <w:pPr>
              <w:keepNext/>
              <w:spacing w:before="20" w:after="20"/>
            </w:pPr>
            <w:r>
              <w:rPr>
                <w:rFonts w:ascii="游ゴシック" w:hAnsi="游ゴシック" w:eastAsia="游ゴシック"/>
                <w:b w:val="0"/>
                <w:i w:val="0"/>
                <w:sz w:val="17"/>
              </w:rPr>
              <w:t>庁内検討</w:t>
            </w:r>
          </w:p>
        </w:tc>
        <w:tc>
          <w:tcPr>
            <w:tcW w:type="dxa" w:w="5669"/>
            <w:vAlign w:val="center"/>
          </w:tcPr>
          <w:p>
            <w:pPr>
              <w:keepNext/>
              <w:spacing w:before="20" w:after="20"/>
            </w:pPr>
            <w:r>
              <w:rPr>
                <w:rFonts w:ascii="游ゴシック" w:hAnsi="游ゴシック" w:eastAsia="游ゴシック"/>
                <w:b w:val="0"/>
                <w:i w:val="0"/>
                <w:sz w:val="17"/>
              </w:rPr>
              <w:t>関係課による検討　【決定後に記載】</w:t>
            </w:r>
          </w:p>
        </w:tc>
      </w:tr>
      <w:tr>
        <w:tc>
          <w:tcPr>
            <w:tcW w:type="dxa" w:w="4082"/>
            <w:vAlign w:val="center"/>
          </w:tcPr>
          <w:p>
            <w:pPr>
              <w:spacing w:before="20" w:after="20"/>
            </w:pPr>
            <w:r>
              <w:rPr>
                <w:rFonts w:ascii="游ゴシック" w:hAnsi="游ゴシック" w:eastAsia="游ゴシック"/>
                <w:b w:val="0"/>
                <w:i w:val="0"/>
                <w:sz w:val="17"/>
              </w:rPr>
              <w:t>パブリックコメント</w:t>
            </w:r>
          </w:p>
        </w:tc>
        <w:tc>
          <w:tcPr>
            <w:tcW w:type="dxa" w:w="5669"/>
            <w:vAlign w:val="center"/>
          </w:tcPr>
          <w:p>
            <w:pPr>
              <w:spacing w:before="20" w:after="20"/>
            </w:pPr>
            <w:r>
              <w:rPr>
                <w:rFonts w:ascii="游ゴシック" w:hAnsi="游ゴシック" w:eastAsia="游ゴシック"/>
                <w:b w:val="0"/>
                <w:i w:val="0"/>
                <w:sz w:val="17"/>
              </w:rPr>
              <w:t>実施時期・期間　【決定後に記載】</w:t>
            </w:r>
          </w:p>
        </w:tc>
      </w:tr>
    </w:tbl>
    <w:p>
      <w:pPr>
        <w:spacing w:after="40"/>
      </w:pPr>
    </w:p>
    <w:p>
      <w:pPr>
        <w:pStyle w:val="Heading3"/>
        <w:keepNext/>
        <w:spacing w:before="180" w:after="80"/>
      </w:pPr>
      <w:r>
        <w:rPr>
          <w:rFonts w:ascii="游ゴシック" w:hAnsi="游ゴシック" w:eastAsia="游ゴシック"/>
          <w:b/>
          <w:i w:val="0"/>
          <w:color w:val="1F4D78"/>
          <w:sz w:val="22"/>
        </w:rPr>
        <w:t>6　計画の対象</w:t>
      </w:r>
    </w:p>
    <w:p>
      <w:pPr>
        <w:spacing w:before="60" w:after="60"/>
      </w:pPr>
      <w:r>
        <w:rPr>
          <w:rFonts w:ascii="游ゴシック" w:hAnsi="游ゴシック" w:eastAsia="游ゴシック"/>
          <w:b w:val="0"/>
          <w:i w:val="0"/>
          <w:sz w:val="21"/>
        </w:rPr>
        <w:t>本計画の対象は、</w:t>
      </w:r>
      <w:r>
        <w:rPr>
          <w:rFonts w:ascii="游ゴシック" w:hAnsi="游ゴシック" w:eastAsia="游ゴシック"/>
          <w:b/>
          <w:i w:val="0"/>
          <w:sz w:val="21"/>
        </w:rPr>
        <w:t>障がいのある方</w:t>
      </w:r>
      <w:r>
        <w:rPr>
          <w:rFonts w:ascii="游ゴシック" w:hAnsi="游ゴシック" w:eastAsia="游ゴシック"/>
          <w:b w:val="0"/>
          <w:i w:val="0"/>
          <w:sz w:val="21"/>
        </w:rPr>
        <w:t>（身体障がい・知的障がい・精神障がい・発達障がい・難病・高次脳機能障がい等のある方。手帳の所持の有無を問いません）及び</w:t>
      </w:r>
      <w:r>
        <w:rPr>
          <w:rFonts w:ascii="游ゴシック" w:hAnsi="游ゴシック" w:eastAsia="游ゴシック"/>
          <w:b/>
          <w:i w:val="0"/>
          <w:sz w:val="21"/>
        </w:rPr>
        <w:t>障がいのある子ども</w:t>
      </w:r>
      <w:r>
        <w:rPr>
          <w:rFonts w:ascii="游ゴシック" w:hAnsi="游ゴシック" w:eastAsia="游ゴシック"/>
          <w:b w:val="0"/>
          <w:i w:val="0"/>
          <w:sz w:val="21"/>
        </w:rPr>
        <w:t>です。</w:t>
      </w:r>
    </w:p>
    <w:p>
      <w:pPr>
        <w:spacing w:before="60" w:after="60"/>
      </w:pPr>
      <w:r>
        <w:rPr>
          <w:rFonts w:ascii="游ゴシック" w:hAnsi="游ゴシック" w:eastAsia="游ゴシック"/>
          <w:b/>
          <w:i w:val="0"/>
          <w:sz w:val="21"/>
        </w:rPr>
        <w:t>手帳をお持ちでない方も対象に含みます。</w:t>
      </w:r>
      <w:r>
        <w:rPr>
          <w:rFonts w:ascii="游ゴシック" w:hAnsi="游ゴシック" w:eastAsia="游ゴシック"/>
          <w:b w:val="0"/>
          <w:i w:val="0"/>
          <w:sz w:val="21"/>
        </w:rPr>
        <w:t>難病や発達障がいのある方のなかには手帳をお持ちでない方が多くいらっしゃいます。本計画では、手帳所持者数を状況把握の中心に置きながらも、</w:t>
      </w:r>
      <w:r>
        <w:rPr>
          <w:rFonts w:ascii="游ゴシック" w:hAnsi="游ゴシック" w:eastAsia="游ゴシック"/>
          <w:b/>
          <w:i w:val="0"/>
          <w:sz w:val="21"/>
        </w:rPr>
        <w:t>手帳の有無で支援の対象を切らない</w:t>
      </w:r>
      <w:r>
        <w:rPr>
          <w:rFonts w:ascii="游ゴシック" w:hAnsi="游ゴシック" w:eastAsia="游ゴシック"/>
          <w:b w:val="0"/>
          <w:i w:val="0"/>
          <w:sz w:val="21"/>
        </w:rPr>
        <w:t>こととします。</w:t>
      </w:r>
    </w:p>
    <w:p>
      <w:pPr>
        <w:pStyle w:val="Heading3"/>
        <w:keepNext/>
        <w:spacing w:before="180" w:after="80"/>
      </w:pPr>
      <w:r>
        <w:rPr>
          <w:rFonts w:ascii="游ゴシック" w:hAnsi="游ゴシック" w:eastAsia="游ゴシック"/>
          <w:b/>
          <w:i w:val="0"/>
          <w:color w:val="1F4D78"/>
          <w:sz w:val="22"/>
        </w:rPr>
        <w:t>7　計画の進行管理</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PDCAサイクル</w:t>
      </w:r>
      <w:r>
        <w:rPr>
          <w:rFonts w:ascii="游ゴシック" w:hAnsi="游ゴシック" w:eastAsia="游ゴシック"/>
          <w:b w:val="0"/>
          <w:i w:val="0"/>
          <w:sz w:val="21"/>
        </w:rPr>
        <w:t>により進行管理を行います。毎年度、成果目標の達成状況と活動指標・サービス見込量の実績を把握し、小野町自立支援協議会に報告します。</w:t>
      </w:r>
    </w:p>
    <w:p>
      <w:pPr>
        <w:spacing w:before="60" w:after="60"/>
      </w:pPr>
      <w:r>
        <w:rPr>
          <w:rFonts w:ascii="游ゴシック" w:hAnsi="游ゴシック" w:eastAsia="游ゴシック"/>
          <w:b/>
          <w:i w:val="0"/>
          <w:sz w:val="21"/>
        </w:rPr>
        <w:t>障害者総合支援法第88条の2及び児童福祉法第33条の20の2は、市町村が、計画に定める事項について、定期的に調査、分析及び評価を行い、必要があると認めるときは計画を変更することを求めています。</w:t>
      </w:r>
    </w:p>
    <w:p>
      <w:pPr>
        <w:keepNext/>
        <w:spacing w:before="200" w:after="40"/>
      </w:pPr>
      <w:r>
        <w:rPr>
          <w:rFonts w:ascii="游ゴシック" w:hAnsi="游ゴシック" w:eastAsia="游ゴシック"/>
          <w:b/>
          <w:i w:val="0"/>
          <w:color w:val="1F4D78"/>
          <w:sz w:val="22"/>
        </w:rPr>
        <w:t>【表9】第1部　総論　第1章　計画策定にあたって（9）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1928"/>
        <w:gridCol w:w="5896"/>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589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実績の把握</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成果目標・活動指標・サービス見込量の実績</w:t>
            </w:r>
          </w:p>
        </w:tc>
      </w:tr>
      <w:tr>
        <w:tc>
          <w:tcPr>
            <w:tcW w:type="dxa" w:w="1928"/>
            <w:vAlign w:val="center"/>
          </w:tcPr>
          <w:p>
            <w:pPr>
              <w:spacing w:before="20" w:after="20"/>
            </w:pPr>
            <w:r>
              <w:rPr>
                <w:rFonts w:ascii="游ゴシック" w:hAnsi="游ゴシック" w:eastAsia="游ゴシック"/>
                <w:b w:val="0"/>
                <w:i w:val="0"/>
                <w:sz w:val="17"/>
              </w:rPr>
              <w:t>評価と報告</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小野町自立支援協議会への報告と意見聴取</w:t>
            </w:r>
          </w:p>
        </w:tc>
      </w:tr>
      <w:tr>
        <w:tc>
          <w:tcPr>
            <w:tcW w:type="dxa" w:w="1928"/>
            <w:vAlign w:val="center"/>
          </w:tcPr>
          <w:p>
            <w:pPr>
              <w:keepNext/>
              <w:spacing w:before="20" w:after="20"/>
            </w:pPr>
            <w:r>
              <w:rPr>
                <w:rFonts w:ascii="游ゴシック" w:hAnsi="游ゴシック" w:eastAsia="游ゴシック"/>
                <w:b w:val="0"/>
                <w:i w:val="0"/>
                <w:sz w:val="17"/>
              </w:rPr>
              <w:t>中間の見直し</w:t>
            </w:r>
          </w:p>
        </w:tc>
        <w:tc>
          <w:tcPr>
            <w:tcW w:type="dxa" w:w="1928"/>
            <w:vAlign w:val="center"/>
          </w:tcPr>
          <w:p>
            <w:pPr>
              <w:keepNext/>
              <w:spacing w:before="20" w:after="20"/>
            </w:pPr>
            <w:r>
              <w:rPr>
                <w:rFonts w:ascii="游ゴシック" w:hAnsi="游ゴシック" w:eastAsia="游ゴシック"/>
                <w:b w:val="0"/>
                <w:i w:val="0"/>
                <w:sz w:val="17"/>
              </w:rPr>
              <w:t>令和10年度</w:t>
            </w:r>
          </w:p>
        </w:tc>
        <w:tc>
          <w:tcPr>
            <w:tcW w:type="dxa" w:w="5896"/>
            <w:vAlign w:val="center"/>
          </w:tcPr>
          <w:p>
            <w:pPr>
              <w:keepNext/>
              <w:spacing w:before="20" w:after="20"/>
            </w:pPr>
            <w:r>
              <w:rPr>
                <w:rFonts w:ascii="游ゴシック" w:hAnsi="游ゴシック" w:eastAsia="游ゴシック"/>
                <w:b/>
                <w:i w:val="0"/>
                <w:sz w:val="17"/>
              </w:rPr>
              <w:t>国・県の計画の改定、法改正への対応</w:t>
            </w:r>
          </w:p>
        </w:tc>
      </w:tr>
      <w:tr>
        <w:tc>
          <w:tcPr>
            <w:tcW w:type="dxa" w:w="1928"/>
            <w:vAlign w:val="center"/>
          </w:tcPr>
          <w:p>
            <w:pPr>
              <w:spacing w:before="20" w:after="20"/>
            </w:pPr>
            <w:r>
              <w:rPr>
                <w:rFonts w:ascii="游ゴシック" w:hAnsi="游ゴシック" w:eastAsia="游ゴシック"/>
                <w:b w:val="0"/>
                <w:i w:val="0"/>
                <w:sz w:val="17"/>
              </w:rPr>
              <w:t>次期計画の策定</w:t>
            </w:r>
          </w:p>
        </w:tc>
        <w:tc>
          <w:tcPr>
            <w:tcW w:type="dxa" w:w="1928"/>
            <w:vAlign w:val="center"/>
          </w:tcPr>
          <w:p>
            <w:pPr>
              <w:spacing w:before="20" w:after="20"/>
            </w:pPr>
            <w:r>
              <w:rPr>
                <w:rFonts w:ascii="游ゴシック" w:hAnsi="游ゴシック" w:eastAsia="游ゴシック"/>
                <w:b w:val="0"/>
                <w:i w:val="0"/>
                <w:sz w:val="17"/>
              </w:rPr>
              <w:t>令和11年度</w:t>
            </w:r>
          </w:p>
        </w:tc>
        <w:tc>
          <w:tcPr>
            <w:tcW w:type="dxa" w:w="5896"/>
            <w:vAlign w:val="center"/>
          </w:tcPr>
          <w:p>
            <w:pPr>
              <w:spacing w:before="20" w:after="20"/>
            </w:pPr>
            <w:r>
              <w:rPr>
                <w:rFonts w:ascii="游ゴシック" w:hAnsi="游ゴシック" w:eastAsia="游ゴシック"/>
                <w:b w:val="0"/>
                <w:i w:val="0"/>
                <w:sz w:val="17"/>
              </w:rPr>
              <w:t>調査の実施と次期計画の検討</w:t>
            </w:r>
          </w:p>
        </w:tc>
      </w:tr>
    </w:tbl>
    <w:p>
      <w:pPr>
        <w:spacing w:after="40"/>
      </w:pPr>
    </w:p>
    <w:p>
      <w:r>
        <w:br w:type="page"/>
      </w:r>
    </w:p>
    <w:p>
      <w:pPr>
        <w:pStyle w:val="Heading2"/>
        <w:keepNext/>
        <w:spacing w:before="180" w:after="100"/>
      </w:pPr>
      <w:bookmarkStart w:id="103" w:name="_Toc_003"/>
      <w:r>
        <w:rPr>
          <w:rFonts w:ascii="游ゴシック" w:hAnsi="游ゴシック" w:eastAsia="游ゴシック"/>
          <w:b/>
          <w:i w:val="0"/>
          <w:color w:val="2E74B5"/>
          <w:sz w:val="25"/>
        </w:rPr>
        <w:t>第2章　障がいのある人を取り巻く状況</w:t>
      </w:r>
      <w:bookmarkEnd w:id="103"/>
    </w:p>
    <w:p>
      <w:pPr>
        <w:pStyle w:val="Heading3"/>
        <w:keepNext/>
        <w:spacing w:before="180" w:after="80"/>
      </w:pPr>
      <w:r>
        <w:rPr>
          <w:rFonts w:ascii="游ゴシック" w:hAnsi="游ゴシック" w:eastAsia="游ゴシック"/>
          <w:b/>
          <w:i w:val="0"/>
          <w:color w:val="1F4D78"/>
          <w:sz w:val="22"/>
        </w:rPr>
        <w:t>1　人口・世帯の状況</w:t>
      </w:r>
    </w:p>
    <w:p>
      <w:pPr>
        <w:spacing w:before="60" w:after="60"/>
      </w:pPr>
      <w:r>
        <w:rPr>
          <w:rFonts w:ascii="游ゴシック" w:hAnsi="游ゴシック" w:eastAsia="游ゴシック"/>
          <w:b/>
          <w:i w:val="0"/>
          <w:sz w:val="21"/>
        </w:rPr>
        <w:t>本町の人口推計は、高齢者保健福祉計画・第10期介護保険事業計画と前提を統一します。</w:t>
      </w:r>
      <w:r>
        <w:rPr>
          <w:rFonts w:ascii="游ゴシック" w:hAnsi="游ゴシック" w:eastAsia="游ゴシック"/>
          <w:b w:val="0"/>
          <w:i w:val="0"/>
          <w:sz w:val="21"/>
        </w:rPr>
        <w:t>同時に策定している両計画で人口の見通しが食い違うことのないよう、出典を一つにします（【町データ待ち】）。</w:t>
      </w:r>
    </w:p>
    <w:p>
      <w:pPr>
        <w:spacing w:before="40" w:after="160"/>
        <w:ind w:left="113"/>
      </w:pPr>
      <w:r>
        <w:rPr>
          <w:rFonts w:ascii="游ゴシック" w:hAnsi="游ゴシック" w:eastAsia="游ゴシック"/>
          <w:b w:val="0"/>
          <w:i w:val="0"/>
          <w:sz w:val="17"/>
        </w:rPr>
        <w:t>※ 高齢者計画は「第10期将来推計用推計人口」（町受領）を用いています。</w:t>
      </w:r>
      <w:r>
        <w:rPr>
          <w:rFonts w:ascii="游ゴシック" w:hAnsi="游ゴシック" w:eastAsia="游ゴシック"/>
          <w:b/>
          <w:i w:val="0"/>
          <w:sz w:val="17"/>
        </w:rPr>
        <w:t>本計画も同じ推計を用います。</w:t>
      </w:r>
    </w:p>
    <w:p>
      <w:pPr>
        <w:pStyle w:val="Heading3"/>
        <w:keepNext/>
        <w:spacing w:before="180" w:after="80"/>
      </w:pPr>
      <w:r>
        <w:rPr>
          <w:rFonts w:ascii="游ゴシック" w:hAnsi="游ゴシック" w:eastAsia="游ゴシック"/>
          <w:b/>
          <w:i w:val="0"/>
          <w:color w:val="1F4D78"/>
          <w:sz w:val="22"/>
        </w:rPr>
        <w:t>2　障がい者手帳所持者の状況</w:t>
      </w:r>
    </w:p>
    <w:p>
      <w:pPr>
        <w:spacing w:before="60" w:after="60"/>
      </w:pPr>
      <w:r>
        <w:rPr>
          <w:rFonts w:ascii="游ゴシック" w:hAnsi="游ゴシック" w:eastAsia="游ゴシック"/>
          <w:b w:val="0"/>
          <w:i w:val="0"/>
          <w:sz w:val="21"/>
        </w:rPr>
        <w:t>本町の障がい者手帳の所持者数の推移は、次のとおりです。</w:t>
      </w:r>
    </w:p>
    <w:p>
      <w:pPr>
        <w:keepNext/>
        <w:spacing w:before="200" w:after="40"/>
      </w:pPr>
      <w:r>
        <w:rPr>
          <w:rFonts w:ascii="游ゴシック" w:hAnsi="游ゴシック" w:eastAsia="游ゴシック"/>
          <w:b/>
          <w:i w:val="0"/>
          <w:color w:val="1F4D78"/>
          <w:sz w:val="22"/>
        </w:rPr>
        <w:t>【表10】第1部　総論　第2章　障がいのある人を取り巻く状況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020"/>
        <w:gridCol w:w="1020"/>
        <w:gridCol w:w="1020"/>
        <w:gridCol w:w="1020"/>
        <w:gridCol w:w="1020"/>
        <w:gridCol w:w="1020"/>
        <w:gridCol w:w="1020"/>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令和元年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令和2年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令和3年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令和4年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令和5年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令和7年</w:t>
            </w:r>
          </w:p>
        </w:tc>
      </w:tr>
      <w:tr>
        <w:tc>
          <w:tcPr>
            <w:tcW w:type="dxa" w:w="2608"/>
            <w:vAlign w:val="center"/>
          </w:tcPr>
          <w:p>
            <w:pPr>
              <w:spacing w:before="20" w:after="20"/>
            </w:pPr>
            <w:r>
              <w:rPr>
                <w:rFonts w:ascii="游ゴシック" w:hAnsi="游ゴシック" w:eastAsia="游ゴシック"/>
                <w:b w:val="0"/>
                <w:i w:val="0"/>
                <w:sz w:val="17"/>
              </w:rPr>
              <w:t>身体障害者手帳</w:t>
            </w:r>
          </w:p>
        </w:tc>
        <w:tc>
          <w:tcPr>
            <w:tcW w:type="dxa" w:w="1020"/>
            <w:vAlign w:val="center"/>
          </w:tcPr>
          <w:p>
            <w:pPr>
              <w:spacing w:before="20" w:after="20"/>
              <w:jc w:val="right"/>
            </w:pPr>
            <w:r>
              <w:rPr>
                <w:rFonts w:ascii="游ゴシック" w:hAnsi="游ゴシック" w:eastAsia="游ゴシック"/>
                <w:b w:val="0"/>
                <w:i w:val="0"/>
                <w:sz w:val="17"/>
              </w:rPr>
              <w:t>452人</w:t>
            </w:r>
          </w:p>
        </w:tc>
        <w:tc>
          <w:tcPr>
            <w:tcW w:type="dxa" w:w="1020"/>
            <w:vAlign w:val="center"/>
          </w:tcPr>
          <w:p>
            <w:pPr>
              <w:spacing w:before="20" w:after="20"/>
              <w:jc w:val="right"/>
            </w:pPr>
            <w:r>
              <w:rPr>
                <w:rFonts w:ascii="游ゴシック" w:hAnsi="游ゴシック" w:eastAsia="游ゴシック"/>
                <w:b w:val="0"/>
                <w:i w:val="0"/>
                <w:sz w:val="17"/>
              </w:rPr>
              <w:t>448人</w:t>
            </w:r>
          </w:p>
        </w:tc>
        <w:tc>
          <w:tcPr>
            <w:tcW w:type="dxa" w:w="1020"/>
            <w:vAlign w:val="center"/>
          </w:tcPr>
          <w:p>
            <w:pPr>
              <w:spacing w:before="20" w:after="20"/>
              <w:jc w:val="right"/>
            </w:pPr>
            <w:r>
              <w:rPr>
                <w:rFonts w:ascii="游ゴシック" w:hAnsi="游ゴシック" w:eastAsia="游ゴシック"/>
                <w:b w:val="0"/>
                <w:i w:val="0"/>
                <w:sz w:val="17"/>
              </w:rPr>
              <w:t>438人</w:t>
            </w:r>
          </w:p>
        </w:tc>
        <w:tc>
          <w:tcPr>
            <w:tcW w:type="dxa" w:w="1020"/>
            <w:vAlign w:val="center"/>
          </w:tcPr>
          <w:p>
            <w:pPr>
              <w:spacing w:before="20" w:after="20"/>
              <w:jc w:val="right"/>
            </w:pPr>
            <w:r>
              <w:rPr>
                <w:rFonts w:ascii="游ゴシック" w:hAnsi="游ゴシック" w:eastAsia="游ゴシック"/>
                <w:b w:val="0"/>
                <w:i w:val="0"/>
                <w:sz w:val="17"/>
              </w:rPr>
              <w:t>431人</w:t>
            </w:r>
          </w:p>
        </w:tc>
        <w:tc>
          <w:tcPr>
            <w:tcW w:type="dxa" w:w="1020"/>
            <w:vAlign w:val="center"/>
          </w:tcPr>
          <w:p>
            <w:pPr>
              <w:spacing w:before="20" w:after="20"/>
              <w:jc w:val="right"/>
            </w:pPr>
            <w:r>
              <w:rPr>
                <w:rFonts w:ascii="游ゴシック" w:hAnsi="游ゴシック" w:eastAsia="游ゴシック"/>
                <w:b w:val="0"/>
                <w:i w:val="0"/>
                <w:sz w:val="17"/>
              </w:rPr>
              <w:t>412人</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372人</w:t>
            </w:r>
          </w:p>
        </w:tc>
      </w:tr>
      <w:tr>
        <w:tc>
          <w:tcPr>
            <w:tcW w:type="dxa" w:w="2608"/>
            <w:vAlign w:val="center"/>
          </w:tcPr>
          <w:p>
            <w:pPr>
              <w:spacing w:before="20" w:after="20"/>
            </w:pPr>
            <w:r>
              <w:rPr>
                <w:rFonts w:ascii="游ゴシック" w:hAnsi="游ゴシック" w:eastAsia="游ゴシック"/>
                <w:b w:val="0"/>
                <w:i w:val="0"/>
                <w:sz w:val="17"/>
              </w:rPr>
              <w:t>療育手帳</w:t>
            </w:r>
          </w:p>
        </w:tc>
        <w:tc>
          <w:tcPr>
            <w:tcW w:type="dxa" w:w="1020"/>
            <w:vAlign w:val="center"/>
          </w:tcPr>
          <w:p>
            <w:pPr>
              <w:spacing w:before="20" w:after="20"/>
              <w:jc w:val="right"/>
            </w:pPr>
            <w:r>
              <w:rPr>
                <w:rFonts w:ascii="游ゴシック" w:hAnsi="游ゴシック" w:eastAsia="游ゴシック"/>
                <w:b w:val="0"/>
                <w:i w:val="0"/>
                <w:sz w:val="17"/>
              </w:rPr>
              <w:t>77人</w:t>
            </w:r>
          </w:p>
        </w:tc>
        <w:tc>
          <w:tcPr>
            <w:tcW w:type="dxa" w:w="1020"/>
            <w:vAlign w:val="center"/>
          </w:tcPr>
          <w:p>
            <w:pPr>
              <w:spacing w:before="20" w:after="20"/>
              <w:jc w:val="right"/>
            </w:pPr>
            <w:r>
              <w:rPr>
                <w:rFonts w:ascii="游ゴシック" w:hAnsi="游ゴシック" w:eastAsia="游ゴシック"/>
                <w:b w:val="0"/>
                <w:i w:val="0"/>
                <w:sz w:val="17"/>
              </w:rPr>
              <w:t>80人</w:t>
            </w:r>
          </w:p>
        </w:tc>
        <w:tc>
          <w:tcPr>
            <w:tcW w:type="dxa" w:w="1020"/>
            <w:vAlign w:val="center"/>
          </w:tcPr>
          <w:p>
            <w:pPr>
              <w:spacing w:before="20" w:after="20"/>
              <w:jc w:val="right"/>
            </w:pPr>
            <w:r>
              <w:rPr>
                <w:rFonts w:ascii="游ゴシック" w:hAnsi="游ゴシック" w:eastAsia="游ゴシック"/>
                <w:b w:val="0"/>
                <w:i w:val="0"/>
                <w:sz w:val="17"/>
              </w:rPr>
              <w:t>79人</w:t>
            </w:r>
          </w:p>
        </w:tc>
        <w:tc>
          <w:tcPr>
            <w:tcW w:type="dxa" w:w="1020"/>
            <w:vAlign w:val="center"/>
          </w:tcPr>
          <w:p>
            <w:pPr>
              <w:spacing w:before="20" w:after="20"/>
              <w:jc w:val="right"/>
            </w:pPr>
            <w:r>
              <w:rPr>
                <w:rFonts w:ascii="游ゴシック" w:hAnsi="游ゴシック" w:eastAsia="游ゴシック"/>
                <w:b w:val="0"/>
                <w:i w:val="0"/>
                <w:sz w:val="17"/>
              </w:rPr>
              <w:t>82人</w:t>
            </w:r>
          </w:p>
        </w:tc>
        <w:tc>
          <w:tcPr>
            <w:tcW w:type="dxa" w:w="1020"/>
            <w:vAlign w:val="center"/>
          </w:tcPr>
          <w:p>
            <w:pPr>
              <w:spacing w:before="20" w:after="20"/>
              <w:jc w:val="right"/>
            </w:pPr>
            <w:r>
              <w:rPr>
                <w:rFonts w:ascii="游ゴシック" w:hAnsi="游ゴシック" w:eastAsia="游ゴシック"/>
                <w:b w:val="0"/>
                <w:i w:val="0"/>
                <w:sz w:val="17"/>
              </w:rPr>
              <w:t>82人</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74人</w:t>
            </w:r>
          </w:p>
        </w:tc>
      </w:tr>
      <w:tr>
        <w:tc>
          <w:tcPr>
            <w:tcW w:type="dxa" w:w="2608"/>
            <w:vAlign w:val="center"/>
          </w:tcPr>
          <w:p>
            <w:pPr>
              <w:keepNext/>
              <w:spacing w:before="20" w:after="20"/>
            </w:pPr>
            <w:r>
              <w:rPr>
                <w:rFonts w:ascii="游ゴシック" w:hAnsi="游ゴシック" w:eastAsia="游ゴシック"/>
                <w:b w:val="0"/>
                <w:i w:val="0"/>
                <w:sz w:val="17"/>
              </w:rPr>
              <w:t>精神障害者保健福祉手帳</w:t>
            </w:r>
          </w:p>
        </w:tc>
        <w:tc>
          <w:tcPr>
            <w:tcW w:type="dxa" w:w="1020"/>
            <w:vAlign w:val="center"/>
          </w:tcPr>
          <w:p>
            <w:pPr>
              <w:keepNext/>
              <w:spacing w:before="20" w:after="20"/>
              <w:jc w:val="right"/>
            </w:pPr>
            <w:r>
              <w:rPr>
                <w:rFonts w:ascii="游ゴシック" w:hAnsi="游ゴシック" w:eastAsia="游ゴシック"/>
                <w:b w:val="0"/>
                <w:i w:val="0"/>
                <w:sz w:val="17"/>
              </w:rPr>
              <w:t>49人</w:t>
            </w:r>
          </w:p>
        </w:tc>
        <w:tc>
          <w:tcPr>
            <w:tcW w:type="dxa" w:w="1020"/>
            <w:vAlign w:val="center"/>
          </w:tcPr>
          <w:p>
            <w:pPr>
              <w:keepNext/>
              <w:spacing w:before="20" w:after="20"/>
              <w:jc w:val="right"/>
            </w:pPr>
            <w:r>
              <w:rPr>
                <w:rFonts w:ascii="游ゴシック" w:hAnsi="游ゴシック" w:eastAsia="游ゴシック"/>
                <w:b w:val="0"/>
                <w:i w:val="0"/>
                <w:sz w:val="17"/>
              </w:rPr>
              <w:t>42人</w:t>
            </w:r>
          </w:p>
        </w:tc>
        <w:tc>
          <w:tcPr>
            <w:tcW w:type="dxa" w:w="1020"/>
            <w:vAlign w:val="center"/>
          </w:tcPr>
          <w:p>
            <w:pPr>
              <w:keepNext/>
              <w:spacing w:before="20" w:after="20"/>
              <w:jc w:val="right"/>
            </w:pPr>
            <w:r>
              <w:rPr>
                <w:rFonts w:ascii="游ゴシック" w:hAnsi="游ゴシック" w:eastAsia="游ゴシック"/>
                <w:b w:val="0"/>
                <w:i w:val="0"/>
                <w:sz w:val="17"/>
              </w:rPr>
              <w:t>40人</w:t>
            </w:r>
          </w:p>
        </w:tc>
        <w:tc>
          <w:tcPr>
            <w:tcW w:type="dxa" w:w="1020"/>
            <w:vAlign w:val="center"/>
          </w:tcPr>
          <w:p>
            <w:pPr>
              <w:keepNext/>
              <w:spacing w:before="20" w:after="20"/>
              <w:jc w:val="right"/>
            </w:pPr>
            <w:r>
              <w:rPr>
                <w:rFonts w:ascii="游ゴシック" w:hAnsi="游ゴシック" w:eastAsia="游ゴシック"/>
                <w:b w:val="0"/>
                <w:i w:val="0"/>
                <w:sz w:val="17"/>
              </w:rPr>
              <w:t>44人</w:t>
            </w:r>
          </w:p>
        </w:tc>
        <w:tc>
          <w:tcPr>
            <w:tcW w:type="dxa" w:w="1020"/>
            <w:vAlign w:val="center"/>
          </w:tcPr>
          <w:p>
            <w:pPr>
              <w:keepNext/>
              <w:spacing w:before="20" w:after="20"/>
              <w:jc w:val="right"/>
            </w:pPr>
            <w:r>
              <w:rPr>
                <w:rFonts w:ascii="游ゴシック" w:hAnsi="游ゴシック" w:eastAsia="游ゴシック"/>
                <w:b w:val="0"/>
                <w:i w:val="0"/>
                <w:sz w:val="17"/>
              </w:rPr>
              <w:t>45人</w:t>
            </w:r>
          </w:p>
        </w:tc>
        <w:tc>
          <w:tcPr>
            <w:tcW w:type="dxa" w:w="1020"/>
            <w:vAlign w:val="center"/>
          </w:tcPr>
          <w:p>
            <w:pPr>
              <w:keepNext/>
              <w:spacing w:before="20" w:after="20"/>
              <w:jc w:val="right"/>
            </w:pPr>
            <w:r>
              <w:rPr>
                <w:rFonts w:ascii="游ゴシック" w:hAnsi="游ゴシック" w:eastAsia="游ゴシック"/>
                <w:b w:val="0"/>
                <w:i w:val="0"/>
                <w:sz w:val="17"/>
              </w:rPr>
              <w:t>―</w:t>
            </w:r>
          </w:p>
        </w:tc>
        <w:tc>
          <w:tcPr>
            <w:tcW w:type="dxa" w:w="1020"/>
            <w:vAlign w:val="center"/>
          </w:tcPr>
          <w:p>
            <w:pPr>
              <w:keepNext/>
              <w:spacing w:before="20" w:after="20"/>
              <w:jc w:val="right"/>
            </w:pPr>
            <w:r>
              <w:rPr>
                <w:rFonts w:ascii="游ゴシック" w:hAnsi="游ゴシック" w:eastAsia="游ゴシック"/>
                <w:b w:val="0"/>
                <w:i w:val="0"/>
                <w:sz w:val="17"/>
              </w:rPr>
              <w:t>62人</w:t>
            </w:r>
          </w:p>
        </w:tc>
      </w:tr>
      <w:tr>
        <w:tc>
          <w:tcPr>
            <w:tcW w:type="dxa" w:w="2608"/>
            <w:vAlign w:val="center"/>
          </w:tcPr>
          <w:p>
            <w:pPr>
              <w:spacing w:before="20" w:after="20"/>
            </w:pPr>
            <w:r>
              <w:rPr>
                <w:rFonts w:ascii="游ゴシック" w:hAnsi="游ゴシック" w:eastAsia="游ゴシック"/>
                <w:b/>
                <w:i w:val="0"/>
                <w:sz w:val="17"/>
              </w:rPr>
              <w:t>合計</w:t>
            </w:r>
          </w:p>
        </w:tc>
        <w:tc>
          <w:tcPr>
            <w:tcW w:type="dxa" w:w="1020"/>
            <w:vAlign w:val="center"/>
          </w:tcPr>
          <w:p>
            <w:pPr>
              <w:spacing w:before="20" w:after="20"/>
              <w:jc w:val="right"/>
            </w:pPr>
            <w:r>
              <w:rPr>
                <w:rFonts w:ascii="游ゴシック" w:hAnsi="游ゴシック" w:eastAsia="游ゴシック"/>
                <w:b/>
                <w:i w:val="0"/>
                <w:sz w:val="17"/>
              </w:rPr>
              <w:t>578人</w:t>
            </w:r>
          </w:p>
        </w:tc>
        <w:tc>
          <w:tcPr>
            <w:tcW w:type="dxa" w:w="1020"/>
            <w:vAlign w:val="center"/>
          </w:tcPr>
          <w:p>
            <w:pPr>
              <w:spacing w:before="20" w:after="20"/>
              <w:jc w:val="right"/>
            </w:pPr>
            <w:r>
              <w:rPr>
                <w:rFonts w:ascii="游ゴシック" w:hAnsi="游ゴシック" w:eastAsia="游ゴシック"/>
                <w:b/>
                <w:i w:val="0"/>
                <w:sz w:val="17"/>
              </w:rPr>
              <w:t>570人</w:t>
            </w:r>
          </w:p>
        </w:tc>
        <w:tc>
          <w:tcPr>
            <w:tcW w:type="dxa" w:w="1020"/>
            <w:vAlign w:val="center"/>
          </w:tcPr>
          <w:p>
            <w:pPr>
              <w:spacing w:before="20" w:after="20"/>
              <w:jc w:val="right"/>
            </w:pPr>
            <w:r>
              <w:rPr>
                <w:rFonts w:ascii="游ゴシック" w:hAnsi="游ゴシック" w:eastAsia="游ゴシック"/>
                <w:b/>
                <w:i w:val="0"/>
                <w:sz w:val="17"/>
              </w:rPr>
              <w:t>557人</w:t>
            </w:r>
          </w:p>
        </w:tc>
        <w:tc>
          <w:tcPr>
            <w:tcW w:type="dxa" w:w="1020"/>
            <w:vAlign w:val="center"/>
          </w:tcPr>
          <w:p>
            <w:pPr>
              <w:spacing w:before="20" w:after="20"/>
              <w:jc w:val="right"/>
            </w:pPr>
            <w:r>
              <w:rPr>
                <w:rFonts w:ascii="游ゴシック" w:hAnsi="游ゴシック" w:eastAsia="游ゴシック"/>
                <w:b/>
                <w:i w:val="0"/>
                <w:sz w:val="17"/>
              </w:rPr>
              <w:t>557人</w:t>
            </w:r>
          </w:p>
        </w:tc>
        <w:tc>
          <w:tcPr>
            <w:tcW w:type="dxa" w:w="1020"/>
            <w:vAlign w:val="center"/>
          </w:tcPr>
          <w:p>
            <w:pPr>
              <w:spacing w:before="20" w:after="20"/>
              <w:jc w:val="right"/>
            </w:pPr>
            <w:r>
              <w:rPr>
                <w:rFonts w:ascii="游ゴシック" w:hAnsi="游ゴシック" w:eastAsia="游ゴシック"/>
                <w:b/>
                <w:i w:val="0"/>
                <w:sz w:val="17"/>
              </w:rPr>
              <w:t>539人</w:t>
            </w:r>
          </w:p>
        </w:tc>
        <w:tc>
          <w:tcPr>
            <w:tcW w:type="dxa" w:w="1020"/>
            <w:vAlign w:val="center"/>
          </w:tcPr>
          <w:p>
            <w:pPr>
              <w:spacing w:before="20" w:after="20"/>
              <w:jc w:val="right"/>
            </w:pPr>
            <w:r>
              <w:rPr>
                <w:rFonts w:ascii="游ゴシック" w:hAnsi="游ゴシック" w:eastAsia="游ゴシック"/>
                <w:b/>
                <w:i w:val="0"/>
                <w:sz w:val="17"/>
              </w:rPr>
              <w:t>―</w:t>
            </w:r>
          </w:p>
        </w:tc>
        <w:tc>
          <w:tcPr>
            <w:tcW w:type="dxa" w:w="1020"/>
            <w:vAlign w:val="center"/>
          </w:tcPr>
          <w:p>
            <w:pPr>
              <w:spacing w:before="20" w:after="20"/>
              <w:jc w:val="right"/>
            </w:pPr>
            <w:r>
              <w:rPr>
                <w:rFonts w:ascii="游ゴシック" w:hAnsi="游ゴシック" w:eastAsia="游ゴシック"/>
                <w:b/>
                <w:i w:val="0"/>
                <w:sz w:val="17"/>
              </w:rPr>
              <w:t>508人</w:t>
            </w:r>
          </w:p>
        </w:tc>
      </w:tr>
    </w:tbl>
    <w:p>
      <w:pPr>
        <w:spacing w:after="40"/>
      </w:pPr>
    </w:p>
    <w:p>
      <w:pPr>
        <w:keepNext/>
        <w:spacing w:before="200" w:after="40"/>
      </w:pPr>
      <w:r>
        <w:rPr>
          <w:rFonts w:ascii="游ゴシック" w:hAnsi="游ゴシック" w:eastAsia="游ゴシック"/>
          <w:b/>
          <w:i w:val="0"/>
          <w:color w:val="1F4D78"/>
          <w:sz w:val="22"/>
        </w:rPr>
        <w:t>【図1】第1部第2章2　障がい者手帳所持者数の推移</w:t>
      </w:r>
    </w:p>
    <w:p>
      <w:pPr>
        <w:keepNext/>
        <w:spacing w:before="0" w:after="40"/>
        <w:jc w:val="center"/>
      </w:pPr>
      <w:r>
        <w:drawing>
          <wp:inline xmlns:a="http://schemas.openxmlformats.org/drawingml/2006/main" xmlns:pic="http://schemas.openxmlformats.org/drawingml/2006/picture">
            <wp:extent cx="5400000" cy="2157922"/>
            <wp:docPr id="1" name="Picture 1"/>
            <wp:cNvGraphicFramePr>
              <a:graphicFrameLocks noChangeAspect="1"/>
            </wp:cNvGraphicFramePr>
            <a:graphic>
              <a:graphicData uri="http://schemas.openxmlformats.org/drawingml/2006/picture">
                <pic:pic>
                  <pic:nvPicPr>
                    <pic:cNvPr id="0" name="f61_techo.png"/>
                    <pic:cNvPicPr/>
                  </pic:nvPicPr>
                  <pic:blipFill>
                    <a:blip r:embed="rId13"/>
                    <a:stretch>
                      <a:fillRect/>
                    </a:stretch>
                  </pic:blipFill>
                  <pic:spPr>
                    <a:xfrm>
                      <a:off x="0" y="0"/>
                      <a:ext cx="5400000" cy="2157922"/>
                    </a:xfrm>
                    <a:prstGeom prst="rect"/>
                  </pic:spPr>
                </pic:pic>
              </a:graphicData>
            </a:graphic>
          </wp:inline>
        </w:drawing>
      </w:r>
    </w:p>
    <w:p>
      <w:pPr>
        <w:spacing w:before="40" w:after="160"/>
        <w:ind w:left="113"/>
      </w:pPr>
      <w:r>
        <w:rPr>
          <w:rFonts w:ascii="游ゴシック" w:hAnsi="游ゴシック" w:eastAsia="游ゴシック"/>
          <w:b w:val="0"/>
          <w:i w:val="0"/>
          <w:sz w:val="17"/>
        </w:rPr>
        <w:t>資料：令和元年〜令和5年はおのまち障がい者基本計画（令和6年3月）、令和7年は町からの受領値（各年4月1日現在・健康福祉課）。</w:t>
      </w:r>
      <w:r>
        <w:rPr>
          <w:rFonts w:ascii="游ゴシック" w:hAnsi="游ゴシック" w:eastAsia="游ゴシック"/>
          <w:b/>
          <w:i w:val="0"/>
          <w:sz w:val="17"/>
        </w:rPr>
        <w:t>右の図の点線は、令和6年を受領していないことを示す。</w:t>
      </w:r>
      <w:r>
        <w:rPr>
          <w:rFonts w:ascii="游ゴシック" w:hAnsi="游ゴシック" w:eastAsia="游ゴシック"/>
          <w:b w:val="0"/>
          <w:i w:val="0"/>
          <w:sz w:val="17"/>
        </w:rPr>
        <w:t>点線の区間は推計ではない</w:t>
      </w:r>
    </w:p>
    <w:p>
      <w:pPr>
        <w:spacing w:after="120"/>
      </w:pPr>
    </w:p>
    <w:p>
      <w:pPr>
        <w:spacing w:before="40" w:after="160"/>
        <w:ind w:left="113"/>
      </w:pPr>
      <w:r>
        <w:rPr>
          <w:rFonts w:ascii="游ゴシック" w:hAnsi="游ゴシック" w:eastAsia="游ゴシック"/>
          <w:b w:val="0"/>
          <w:i w:val="0"/>
          <w:sz w:val="17"/>
        </w:rPr>
        <w:t>資料：令和元年〜令和5年は</w:t>
      </w:r>
      <w:r>
        <w:rPr>
          <w:rFonts w:ascii="游ゴシック" w:hAnsi="游ゴシック" w:eastAsia="游ゴシック"/>
          <w:b/>
          <w:i w:val="0"/>
          <w:sz w:val="17"/>
        </w:rPr>
        <w:t>おのまち障がい者基本計画・第7期障がい福祉計画・第3期障がい児福祉計画（令和6年3月）</w:t>
      </w:r>
      <w:r>
        <w:rPr>
          <w:rFonts w:ascii="游ゴシック" w:hAnsi="游ゴシック" w:eastAsia="游ゴシック"/>
          <w:b w:val="0"/>
          <w:i w:val="0"/>
          <w:sz w:val="17"/>
        </w:rPr>
        <w:t>、令和7年は町からの受領値。いずれも</w:t>
      </w:r>
      <w:r>
        <w:rPr>
          <w:rFonts w:ascii="游ゴシック" w:hAnsi="游ゴシック" w:eastAsia="游ゴシック"/>
          <w:b/>
          <w:i w:val="0"/>
          <w:sz w:val="17"/>
        </w:rPr>
        <w:t>各年4月1日現在・健康福祉課</w:t>
      </w:r>
      <w:r>
        <w:rPr>
          <w:rFonts w:ascii="游ゴシック" w:hAnsi="游ゴシック" w:eastAsia="游ゴシック"/>
          <w:b w:val="0"/>
          <w:i w:val="0"/>
          <w:sz w:val="17"/>
        </w:rPr>
        <w:t>。</w:t>
      </w:r>
      <w:r>
        <w:rPr>
          <w:rFonts w:ascii="游ゴシック" w:hAnsi="游ゴシック" w:eastAsia="游ゴシック"/>
          <w:b/>
          <w:i w:val="0"/>
          <w:sz w:val="17"/>
        </w:rPr>
        <w:t>※ 令和6年は手元にありません（【町データ待ち】）。</w:t>
      </w:r>
      <w:r>
        <w:rPr>
          <w:rFonts w:ascii="游ゴシック" w:hAnsi="游ゴシック" w:eastAsia="游ゴシック"/>
          <w:b w:val="0"/>
          <w:i w:val="0"/>
          <w:sz w:val="17"/>
        </w:rPr>
        <w:t>推計で埋めず、空欄のままとしています。</w:t>
      </w:r>
    </w:p>
    <w:p>
      <w:pPr>
        <w:spacing w:after="120"/>
      </w:pPr>
    </w:p>
    <w:p>
      <w:pPr>
        <w:spacing w:before="60" w:after="60"/>
      </w:pPr>
      <w:r>
        <w:rPr>
          <w:rFonts w:ascii="游ゴシック" w:hAnsi="游ゴシック" w:eastAsia="游ゴシック"/>
          <w:b/>
          <w:i w:val="0"/>
          <w:sz w:val="21"/>
        </w:rPr>
        <w:t>全体では、令和元年の578人から令和7年の508人へ、6年間で70人（12.1％）減っています。</w:t>
      </w:r>
      <w:r>
        <w:rPr>
          <w:rFonts w:ascii="游ゴシック" w:hAnsi="游ゴシック" w:eastAsia="游ゴシック"/>
          <w:b/>
          <w:i w:val="0"/>
          <w:sz w:val="21"/>
        </w:rPr>
        <w:t>ただし、手帳の種類によって動きが逆です。</w:t>
      </w:r>
    </w:p>
    <w:p>
      <w:pPr>
        <w:spacing w:before="60" w:after="60"/>
      </w:pPr>
      <w:r>
        <w:rPr>
          <w:rFonts w:ascii="游ゴシック" w:hAnsi="游ゴシック" w:eastAsia="游ゴシック"/>
          <w:b/>
          <w:i w:val="0"/>
          <w:sz w:val="21"/>
        </w:rPr>
        <w:t>身体障害者手帳は452人から372人へ80人（17.7％）減り、減少のほとんどを占めます。</w:t>
      </w:r>
      <w:r>
        <w:rPr>
          <w:rFonts w:ascii="游ゴシック" w:hAnsi="游ゴシック" w:eastAsia="游ゴシック"/>
          <w:b w:val="0"/>
          <w:i w:val="0"/>
          <w:sz w:val="21"/>
        </w:rPr>
        <w:t>療育手帳は77人から74人へ、ほぼ横ばいです。</w:t>
      </w:r>
      <w:r>
        <w:rPr>
          <w:rFonts w:ascii="游ゴシック" w:hAnsi="游ゴシック" w:eastAsia="游ゴシック"/>
          <w:b/>
          <w:i w:val="0"/>
          <w:sz w:val="21"/>
        </w:rPr>
        <w:t>一方、精神障害者保健福祉手帳は49人から62人へ13人（26.5％）増えています。</w:t>
      </w:r>
      <w:r>
        <w:rPr>
          <w:rFonts w:ascii="游ゴシック" w:hAnsi="游ゴシック" w:eastAsia="游ゴシック"/>
          <w:b w:val="0"/>
          <w:i w:val="0"/>
          <w:sz w:val="21"/>
        </w:rPr>
        <w:t>とくに令和5年の45人から令和7年の62人への増え方（37.8％）が大きくなっています。</w:t>
      </w:r>
    </w:p>
    <w:p>
      <w:pPr>
        <w:spacing w:before="60" w:after="60"/>
      </w:pPr>
      <w:r>
        <w:rPr>
          <w:rFonts w:ascii="游ゴシック" w:hAnsi="游ゴシック" w:eastAsia="游ゴシック"/>
          <w:b/>
          <w:i w:val="0"/>
          <w:sz w:val="21"/>
        </w:rPr>
        <w:t>減少の要因は【町データ待ち】です。</w:t>
      </w:r>
      <w:r>
        <w:rPr>
          <w:rFonts w:ascii="游ゴシック" w:hAnsi="游ゴシック" w:eastAsia="游ゴシック"/>
          <w:b w:val="0"/>
          <w:i w:val="0"/>
          <w:sz w:val="21"/>
        </w:rPr>
        <w:t>人口減少によるものか、返還・死亡によるものか、新規の申請が減っているのかによって、本計画で手当てすべきことが変わります。</w:t>
      </w:r>
    </w:p>
    <w:p>
      <w:pPr>
        <w:spacing w:before="40" w:after="160"/>
        <w:ind w:left="113"/>
      </w:pPr>
      <w:r>
        <w:rPr>
          <w:rFonts w:ascii="游ゴシック" w:hAnsi="游ゴシック" w:eastAsia="游ゴシック"/>
          <w:b w:val="0"/>
          <w:i w:val="0"/>
          <w:sz w:val="17"/>
        </w:rPr>
        <w:t>※ 等級別・年齢別の内訳、重複所持者数は【町データ待ち】です。</w:t>
      </w:r>
      <w:r>
        <w:rPr>
          <w:rFonts w:ascii="游ゴシック" w:hAnsi="游ゴシック" w:eastAsia="游ゴシック"/>
          <w:b/>
          <w:i w:val="0"/>
          <w:sz w:val="17"/>
        </w:rPr>
        <w:t>精神障害者保健福祉手帳の増加は、精神障がいにも対応した地域包括ケアシステム（第2部第6章1・第3部第1章②）を本計画で新たに位置づける根拠となります。</w:t>
      </w:r>
      <w:r>
        <w:rPr>
          <w:rFonts w:ascii="游ゴシック" w:hAnsi="游ゴシック" w:eastAsia="游ゴシック"/>
          <w:b/>
          <w:i w:val="0"/>
          <w:sz w:val="17"/>
        </w:rPr>
        <w:t>前回計画は当該分野に数値目標を置いていませんでした。</w:t>
      </w:r>
    </w:p>
    <w:p>
      <w:pPr>
        <w:pStyle w:val="Heading3"/>
        <w:keepNext/>
        <w:spacing w:before="180" w:after="80"/>
      </w:pPr>
      <w:r>
        <w:rPr>
          <w:rFonts w:ascii="游ゴシック" w:hAnsi="游ゴシック" w:eastAsia="游ゴシック"/>
          <w:b/>
          <w:i w:val="0"/>
          <w:color w:val="1F4D78"/>
          <w:sz w:val="22"/>
        </w:rPr>
        <w:t>3　自立支援医療・難病・特別児童扶養手当等の状況</w:t>
      </w:r>
    </w:p>
    <w:p>
      <w:pPr>
        <w:spacing w:before="60" w:after="60"/>
      </w:pPr>
      <w:r>
        <w:rPr>
          <w:rFonts w:ascii="游ゴシック" w:hAnsi="游ゴシック" w:eastAsia="游ゴシック"/>
          <w:b w:val="0"/>
          <w:i w:val="0"/>
          <w:sz w:val="21"/>
        </w:rPr>
        <w:t>自立支援医療（更生医療・育成医療・精神通院医療）、指定難病の医療費助成、特別児童扶養手当等の受給者数は【町データ待ち】です。</w:t>
      </w:r>
    </w:p>
    <w:p>
      <w:pPr>
        <w:pStyle w:val="Heading3"/>
        <w:keepNext/>
        <w:spacing w:before="180" w:after="80"/>
      </w:pPr>
      <w:r>
        <w:rPr>
          <w:rFonts w:ascii="游ゴシック" w:hAnsi="游ゴシック" w:eastAsia="游ゴシック"/>
          <w:b/>
          <w:i w:val="0"/>
          <w:color w:val="1F4D78"/>
          <w:sz w:val="22"/>
        </w:rPr>
        <w:t>4　障害支援区分の状況</w:t>
      </w:r>
    </w:p>
    <w:p>
      <w:pPr>
        <w:spacing w:before="60" w:after="60"/>
      </w:pPr>
      <w:r>
        <w:rPr>
          <w:rFonts w:ascii="游ゴシック" w:hAnsi="游ゴシック" w:eastAsia="游ゴシック"/>
          <w:b w:val="0"/>
          <w:i w:val="0"/>
          <w:sz w:val="21"/>
        </w:rPr>
        <w:t>障害支援区分の認定者数（区分別）は【町データ待ち】です。</w:t>
      </w:r>
    </w:p>
    <w:p>
      <w:pPr>
        <w:pStyle w:val="Heading3"/>
        <w:keepNext/>
        <w:spacing w:before="180" w:after="80"/>
      </w:pPr>
      <w:r>
        <w:rPr>
          <w:rFonts w:ascii="游ゴシック" w:hAnsi="游ゴシック" w:eastAsia="游ゴシック"/>
          <w:b/>
          <w:i w:val="0"/>
          <w:color w:val="1F4D78"/>
          <w:sz w:val="22"/>
        </w:rPr>
        <w:t>5　障害福祉サービスの利用状況</w:t>
      </w:r>
    </w:p>
    <w:p>
      <w:pPr>
        <w:spacing w:before="60" w:after="60"/>
      </w:pPr>
      <w:r>
        <w:rPr>
          <w:rFonts w:ascii="游ゴシック" w:hAnsi="游ゴシック" w:eastAsia="游ゴシック"/>
          <w:b w:val="0"/>
          <w:i w:val="0"/>
          <w:sz w:val="21"/>
        </w:rPr>
        <w:t>サービス種類別の支給決定量・実利用量、町内外の事業所別の利用状況、セルフプラン件数は【町データ待ち】です。</w:t>
      </w:r>
    </w:p>
    <w:p>
      <w:pPr>
        <w:spacing w:before="60" w:after="60"/>
      </w:pPr>
      <w:r>
        <w:rPr>
          <w:rFonts w:ascii="游ゴシック" w:hAnsi="游ゴシック" w:eastAsia="游ゴシック"/>
          <w:b/>
          <w:i w:val="0"/>
          <w:sz w:val="21"/>
        </w:rPr>
        <w:t>支給決定量と実利用量を分けて把握します。</w:t>
      </w:r>
      <w:r>
        <w:rPr>
          <w:rFonts w:ascii="游ゴシック" w:hAnsi="游ゴシック" w:eastAsia="游ゴシック"/>
          <w:b w:val="0"/>
          <w:i w:val="0"/>
          <w:sz w:val="21"/>
        </w:rPr>
        <w:t>両者の差は、サービスが使えなかった量を表します。見込量（第3部第2章）を実績の推移だけで置かないために必要です。</w:t>
      </w:r>
    </w:p>
    <w:p>
      <w:pPr>
        <w:spacing w:before="40" w:after="160"/>
        <w:ind w:left="113"/>
      </w:pPr>
      <w:r>
        <w:rPr>
          <w:rFonts w:ascii="游ゴシック" w:hAnsi="游ゴシック" w:eastAsia="游ゴシック"/>
          <w:b/>
          <w:i w:val="0"/>
          <w:sz w:val="17"/>
        </w:rPr>
        <w:t>※ 第2号被保険者（40〜64歳）の介護保険の認定者のうち、障がい福祉サービスの受給者証をお持ちの方の人数</w:t>
      </w:r>
      <w:r>
        <w:rPr>
          <w:rFonts w:ascii="游ゴシック" w:hAnsi="游ゴシック" w:eastAsia="游ゴシック"/>
          <w:b w:val="0"/>
          <w:i w:val="0"/>
          <w:sz w:val="17"/>
        </w:rPr>
        <w:t>は、高齢者計画と共通の把握事項です（第1部第1章4-2の3番）。</w:t>
      </w:r>
    </w:p>
    <w:p>
      <w:pPr>
        <w:pStyle w:val="Heading3"/>
        <w:keepNext/>
        <w:spacing w:before="180" w:after="80"/>
      </w:pPr>
      <w:r>
        <w:rPr>
          <w:rFonts w:ascii="游ゴシック" w:hAnsi="游ゴシック" w:eastAsia="游ゴシック"/>
          <w:b/>
          <w:i w:val="0"/>
          <w:color w:val="1F4D78"/>
          <w:sz w:val="22"/>
        </w:rPr>
        <w:t>6　障がい児支援の利用状況</w:t>
      </w:r>
    </w:p>
    <w:p>
      <w:pPr>
        <w:spacing w:before="60" w:after="60"/>
      </w:pPr>
      <w:r>
        <w:rPr>
          <w:rFonts w:ascii="游ゴシック" w:hAnsi="游ゴシック" w:eastAsia="游ゴシック"/>
          <w:b w:val="0"/>
          <w:i w:val="0"/>
          <w:sz w:val="21"/>
        </w:rPr>
        <w:t>児童発達支援、放課後等デイサービス、保育所等訪問支援、障がい児相談支援の利用状況、医療的ケア児等の人数と状況、特別支援学校・特別支援学級の在籍者数と卒業予定者数は【町データ待ち】です。</w:t>
      </w:r>
    </w:p>
    <w:p>
      <w:pPr>
        <w:spacing w:before="40" w:after="160"/>
        <w:ind w:left="113"/>
      </w:pPr>
      <w:r>
        <w:rPr>
          <w:rFonts w:ascii="游ゴシック" w:hAnsi="游ゴシック" w:eastAsia="游ゴシック"/>
          <w:b/>
          <w:i w:val="0"/>
          <w:sz w:val="17"/>
        </w:rPr>
        <w:t>※ 医療的ケア児等については、18歳以上の医療的ケア者・重症心身障害者を含めて把握します。</w:t>
      </w:r>
      <w:r>
        <w:rPr>
          <w:rFonts w:ascii="游ゴシック" w:hAnsi="游ゴシック" w:eastAsia="游ゴシック"/>
          <w:b w:val="0"/>
          <w:i w:val="0"/>
          <w:sz w:val="17"/>
        </w:rPr>
        <w:t>医療的ケア児支援法の改正により、</w:t>
      </w:r>
      <w:r>
        <w:rPr>
          <w:rFonts w:ascii="游ゴシック" w:hAnsi="游ゴシック" w:eastAsia="游ゴシック"/>
          <w:b/>
          <w:i w:val="0"/>
          <w:sz w:val="17"/>
        </w:rPr>
        <w:t>支援の対象に成人期が加わりました</w:t>
      </w:r>
      <w:r>
        <w:rPr>
          <w:rFonts w:ascii="游ゴシック" w:hAnsi="游ゴシック" w:eastAsia="游ゴシック"/>
          <w:b w:val="0"/>
          <w:i w:val="0"/>
          <w:sz w:val="17"/>
        </w:rPr>
        <w:t>（令和9年4月1日施行）。個別避難計画の作成状況もあわせて把握します。</w:t>
      </w:r>
    </w:p>
    <w:p>
      <w:pPr>
        <w:pStyle w:val="Heading3"/>
        <w:keepNext/>
        <w:spacing w:before="180" w:after="80"/>
      </w:pPr>
      <w:r>
        <w:rPr>
          <w:rFonts w:ascii="游ゴシック" w:hAnsi="游ゴシック" w:eastAsia="游ゴシック"/>
          <w:b/>
          <w:i w:val="0"/>
          <w:color w:val="1F4D78"/>
          <w:sz w:val="22"/>
        </w:rPr>
        <w:t>7　サービス提供体制の状況</w:t>
      </w:r>
    </w:p>
    <w:p>
      <w:pPr>
        <w:spacing w:before="60" w:after="60"/>
      </w:pPr>
      <w:r>
        <w:rPr>
          <w:rFonts w:ascii="游ゴシック" w:hAnsi="游ゴシック" w:eastAsia="游ゴシック"/>
          <w:b w:val="0"/>
          <w:i w:val="0"/>
          <w:sz w:val="21"/>
        </w:rPr>
        <w:t>町内・圏域の事業所の状況、町外利用と送迎の状況は【町データ待ち】です。</w:t>
      </w:r>
    </w:p>
    <w:p>
      <w:pPr>
        <w:spacing w:before="60" w:after="60"/>
      </w:pPr>
      <w:r>
        <w:rPr>
          <w:rFonts w:ascii="游ゴシック" w:hAnsi="游ゴシック" w:eastAsia="游ゴシック"/>
          <w:b/>
          <w:i w:val="0"/>
          <w:sz w:val="21"/>
        </w:rPr>
        <w:t>本町には整備されていないサービスが多く、広域連携により確保しています。</w:t>
      </w:r>
      <w:r>
        <w:rPr>
          <w:rFonts w:ascii="游ゴシック" w:hAnsi="游ゴシック" w:eastAsia="游ゴシック"/>
          <w:b w:val="0"/>
          <w:i w:val="0"/>
          <w:sz w:val="21"/>
        </w:rPr>
        <w:t>就労移行支援・就労継続支援A型・就労定着支援の事業所は町内になく、療育機関もありません。</w:t>
      </w:r>
      <w:r>
        <w:rPr>
          <w:rFonts w:ascii="游ゴシック" w:hAnsi="游ゴシック" w:eastAsia="游ゴシック"/>
          <w:b/>
          <w:i w:val="0"/>
          <w:sz w:val="21"/>
        </w:rPr>
        <w:t>町外への通所と送迎の負担が、本計画の重要な課題です</w:t>
      </w:r>
      <w:r>
        <w:rPr>
          <w:rFonts w:ascii="游ゴシック" w:hAnsi="游ゴシック" w:eastAsia="游ゴシック"/>
          <w:b w:val="0"/>
          <w:i w:val="0"/>
          <w:sz w:val="21"/>
        </w:rPr>
        <w:t>（第2部第3章2・第3部第3章3）。</w:t>
      </w:r>
    </w:p>
    <w:p>
      <w:pPr>
        <w:pStyle w:val="Heading3"/>
        <w:keepNext/>
        <w:spacing w:before="180" w:after="80"/>
      </w:pPr>
      <w:r>
        <w:rPr>
          <w:rFonts w:ascii="游ゴシック" w:hAnsi="游ゴシック" w:eastAsia="游ゴシック"/>
          <w:b/>
          <w:i w:val="0"/>
          <w:color w:val="1F4D78"/>
          <w:sz w:val="22"/>
        </w:rPr>
        <w:t>8　アンケート調査の結果</w:t>
      </w:r>
    </w:p>
    <w:p>
      <w:pPr>
        <w:spacing w:before="60" w:after="60"/>
      </w:pPr>
      <w:r>
        <w:rPr>
          <w:rFonts w:ascii="游ゴシック" w:hAnsi="游ゴシック" w:eastAsia="游ゴシック"/>
          <w:b w:val="0"/>
          <w:i w:val="0"/>
          <w:sz w:val="21"/>
        </w:rPr>
        <w:t>今期（令和8年度）のアンケート調査の結果は【町データ待ち】です。単純集計・クロス集計・自由回答の概要を掲載します。</w:t>
      </w:r>
    </w:p>
    <w:p>
      <w:pPr>
        <w:spacing w:before="40" w:after="160"/>
        <w:ind w:left="113"/>
      </w:pPr>
      <w:r>
        <w:rPr>
          <w:rFonts w:ascii="游ゴシック" w:hAnsi="游ゴシック" w:eastAsia="游ゴシック"/>
          <w:b w:val="0"/>
          <w:i w:val="0"/>
          <w:sz w:val="17"/>
        </w:rPr>
        <w:t>※ 本節は、委託仕様書の成果品「アンケート調査結果及びヒアリング調査結果報告書」の要約です。</w:t>
      </w:r>
    </w:p>
    <w:p>
      <w:pPr>
        <w:pStyle w:val="Heading3"/>
        <w:keepNext/>
        <w:spacing w:before="180" w:after="80"/>
      </w:pPr>
      <w:r>
        <w:rPr>
          <w:rFonts w:ascii="游ゴシック" w:hAnsi="游ゴシック" w:eastAsia="游ゴシック"/>
          <w:b/>
          <w:i w:val="0"/>
          <w:color w:val="1F4D78"/>
          <w:sz w:val="22"/>
        </w:rPr>
        <w:t>9　関係者団体等ヒアリングの結果</w:t>
      </w:r>
    </w:p>
    <w:p>
      <w:pPr>
        <w:spacing w:before="60" w:after="60"/>
      </w:pPr>
      <w:r>
        <w:rPr>
          <w:rFonts w:ascii="游ゴシック" w:hAnsi="游ゴシック" w:eastAsia="游ゴシック"/>
          <w:b w:val="0"/>
          <w:i w:val="0"/>
          <w:sz w:val="21"/>
        </w:rPr>
        <w:t>相談支援事業所、サービス事業所、教育、医療、防災等の関係者からのご意見は【町データ待ち】です。</w:t>
      </w:r>
    </w:p>
    <w:p>
      <w:r>
        <w:br w:type="page"/>
      </w:r>
    </w:p>
    <w:p>
      <w:pPr>
        <w:pStyle w:val="Heading2"/>
        <w:keepNext/>
        <w:spacing w:before="180" w:after="100"/>
      </w:pPr>
      <w:bookmarkStart w:id="104" w:name="_Toc_004"/>
      <w:r>
        <w:rPr>
          <w:rFonts w:ascii="游ゴシック" w:hAnsi="游ゴシック" w:eastAsia="游ゴシック"/>
          <w:b/>
          <w:i w:val="0"/>
          <w:color w:val="2E74B5"/>
          <w:sz w:val="25"/>
        </w:rPr>
        <w:t>第3章　現行計画の評価と課題</w:t>
      </w:r>
      <w:bookmarkEnd w:id="104"/>
    </w:p>
    <w:p>
      <w:pPr>
        <w:pStyle w:val="Heading3"/>
        <w:keepNext/>
        <w:spacing w:before="180" w:after="80"/>
      </w:pPr>
      <w:r>
        <w:rPr>
          <w:rFonts w:ascii="游ゴシック" w:hAnsi="游ゴシック" w:eastAsia="游ゴシック"/>
          <w:b/>
          <w:i w:val="0"/>
          <w:color w:val="1F4D78"/>
          <w:sz w:val="22"/>
        </w:rPr>
        <w:t>1　成果目標の達成状況</w:t>
      </w:r>
    </w:p>
    <w:p>
      <w:pPr>
        <w:spacing w:before="60" w:after="60"/>
      </w:pPr>
      <w:r>
        <w:rPr>
          <w:rFonts w:ascii="游ゴシック" w:hAnsi="游ゴシック" w:eastAsia="游ゴシック"/>
          <w:b w:val="0"/>
          <w:i w:val="0"/>
          <w:sz w:val="21"/>
        </w:rPr>
        <w:t>現行計画（第7期障がい福祉計画・第3期障がい児福祉計画）の成果目標と実績の対比は【町データ待ち】です。</w:t>
      </w:r>
    </w:p>
    <w:p>
      <w:pPr>
        <w:spacing w:before="40" w:after="160"/>
        <w:ind w:left="113"/>
      </w:pPr>
      <w:r>
        <w:rPr>
          <w:rFonts w:ascii="游ゴシック" w:hAnsi="游ゴシック" w:eastAsia="游ゴシック"/>
          <w:b/>
          <w:i w:val="0"/>
          <w:sz w:val="17"/>
        </w:rPr>
        <w:t>※ 現行計画の目標値には、成り立たない区分があります。</w:t>
      </w:r>
      <w:r>
        <w:rPr>
          <w:rFonts w:ascii="游ゴシック" w:hAnsi="游ゴシック" w:eastAsia="游ゴシック"/>
          <w:b w:val="0"/>
          <w:i w:val="0"/>
          <w:sz w:val="17"/>
        </w:rPr>
        <w:t>扱いを定めたうえで評価します（『小野町_障がい計画_前回からの追加と計画素案の構成』第3章）。</w:t>
      </w:r>
    </w:p>
    <w:p>
      <w:pPr>
        <w:pStyle w:val="Heading3"/>
        <w:keepNext/>
        <w:spacing w:before="180" w:after="80"/>
      </w:pPr>
      <w:r>
        <w:rPr>
          <w:rFonts w:ascii="游ゴシック" w:hAnsi="游ゴシック" w:eastAsia="游ゴシック"/>
          <w:b/>
          <w:i w:val="0"/>
          <w:color w:val="1F4D78"/>
          <w:sz w:val="22"/>
        </w:rPr>
        <w:t>2　活動指標・サービス見込量の実績</w:t>
      </w:r>
    </w:p>
    <w:p>
      <w:pPr>
        <w:spacing w:before="60" w:after="60"/>
      </w:pPr>
      <w:r>
        <w:rPr>
          <w:rFonts w:ascii="游ゴシック" w:hAnsi="游ゴシック" w:eastAsia="游ゴシック"/>
          <w:b/>
          <w:i w:val="0"/>
          <w:sz w:val="21"/>
        </w:rPr>
        <w:t>現行計画（第7期）の実績は令和8年度末まで確定しません。</w:t>
      </w:r>
      <w:r>
        <w:rPr>
          <w:rFonts w:ascii="游ゴシック" w:hAnsi="游ゴシック" w:eastAsia="游ゴシック"/>
          <w:b w:val="0"/>
          <w:i w:val="0"/>
          <w:sz w:val="21"/>
        </w:rPr>
        <w:t>ここでは、</w:t>
      </w:r>
      <w:r>
        <w:rPr>
          <w:rFonts w:ascii="游ゴシック" w:hAnsi="游ゴシック" w:eastAsia="游ゴシック"/>
          <w:b/>
          <w:i w:val="0"/>
          <w:sz w:val="21"/>
        </w:rPr>
        <w:t>前回計画が載せている第6期（令和3〜5年度）の見込量と実績</w:t>
      </w:r>
      <w:r>
        <w:rPr>
          <w:rFonts w:ascii="游ゴシック" w:hAnsi="游ゴシック" w:eastAsia="游ゴシック"/>
          <w:b w:val="0"/>
          <w:i w:val="0"/>
          <w:sz w:val="21"/>
        </w:rPr>
        <w:t>を整理します。</w:t>
      </w:r>
      <w:r>
        <w:rPr>
          <w:rFonts w:ascii="游ゴシック" w:hAnsi="游ゴシック" w:eastAsia="游ゴシック"/>
          <w:b/>
          <w:i w:val="0"/>
          <w:sz w:val="21"/>
        </w:rPr>
        <w:t>見込量の置き方の癖を読み取るためです。</w:t>
      </w:r>
    </w:p>
    <w:p>
      <w:pPr>
        <w:keepNext/>
        <w:spacing w:before="200" w:after="40"/>
      </w:pPr>
      <w:r>
        <w:rPr>
          <w:rFonts w:ascii="游ゴシック" w:hAnsi="游ゴシック" w:eastAsia="游ゴシック"/>
          <w:b/>
          <w:i w:val="0"/>
          <w:color w:val="1F4D78"/>
          <w:sz w:val="22"/>
        </w:rPr>
        <w:t>【表11】第1部　総論　第3章　現行計画の評価と課題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907"/>
        <w:gridCol w:w="1587"/>
        <w:gridCol w:w="1587"/>
        <w:gridCol w:w="1587"/>
        <w:gridCol w:w="1474"/>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令和3年度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6→7（117％）</w:t>
            </w:r>
          </w:p>
        </w:tc>
        <w:tc>
          <w:tcPr>
            <w:tcW w:type="dxa" w:w="1587"/>
            <w:vAlign w:val="center"/>
          </w:tcPr>
          <w:p>
            <w:pPr>
              <w:spacing w:before="20" w:after="20"/>
              <w:jc w:val="right"/>
            </w:pPr>
            <w:r>
              <w:rPr>
                <w:rFonts w:ascii="游ゴシック" w:hAnsi="游ゴシック" w:eastAsia="游ゴシック"/>
                <w:b w:val="0"/>
                <w:i w:val="0"/>
                <w:sz w:val="17"/>
              </w:rPr>
              <w:t>6→4（67％）</w:t>
            </w:r>
          </w:p>
        </w:tc>
        <w:tc>
          <w:tcPr>
            <w:tcW w:type="dxa" w:w="1587"/>
            <w:vAlign w:val="center"/>
          </w:tcPr>
          <w:p>
            <w:pPr>
              <w:spacing w:before="20" w:after="20"/>
              <w:jc w:val="right"/>
            </w:pPr>
            <w:r>
              <w:rPr>
                <w:rFonts w:ascii="游ゴシック" w:hAnsi="游ゴシック" w:eastAsia="游ゴシック"/>
                <w:b w:val="0"/>
                <w:i w:val="0"/>
                <w:sz w:val="17"/>
              </w:rPr>
              <w:t>6→6（100％）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50→28（56％）</w:t>
            </w:r>
          </w:p>
        </w:tc>
        <w:tc>
          <w:tcPr>
            <w:tcW w:type="dxa" w:w="1587"/>
            <w:vAlign w:val="center"/>
          </w:tcPr>
          <w:p>
            <w:pPr>
              <w:spacing w:before="20" w:after="20"/>
              <w:jc w:val="right"/>
            </w:pPr>
            <w:r>
              <w:rPr>
                <w:rFonts w:ascii="游ゴシック" w:hAnsi="游ゴシック" w:eastAsia="游ゴシック"/>
                <w:b w:val="0"/>
                <w:i w:val="0"/>
                <w:sz w:val="17"/>
              </w:rPr>
              <w:t>50→20（40％）</w:t>
            </w:r>
          </w:p>
        </w:tc>
        <w:tc>
          <w:tcPr>
            <w:tcW w:type="dxa" w:w="1587"/>
            <w:vAlign w:val="center"/>
          </w:tcPr>
          <w:p>
            <w:pPr>
              <w:spacing w:before="20" w:after="20"/>
              <w:jc w:val="right"/>
            </w:pPr>
            <w:r>
              <w:rPr>
                <w:rFonts w:ascii="游ゴシック" w:hAnsi="游ゴシック" w:eastAsia="游ゴシック"/>
                <w:b w:val="0"/>
                <w:i w:val="0"/>
                <w:sz w:val="17"/>
              </w:rPr>
              <w:t>50→24（48％）</w:t>
            </w:r>
          </w:p>
        </w:tc>
        <w:tc>
          <w:tcPr>
            <w:tcW w:type="dxa" w:w="1474"/>
            <w:vAlign w:val="center"/>
          </w:tcPr>
          <w:p>
            <w:pPr>
              <w:spacing w:before="20" w:after="20"/>
              <w:jc w:val="right"/>
            </w:pPr>
            <w:r>
              <w:rPr>
                <w:rFonts w:ascii="游ゴシック" w:hAnsi="游ゴシック" w:eastAsia="游ゴシック"/>
                <w:b w:val="0"/>
                <w:i w:val="0"/>
                <w:sz w:val="17"/>
              </w:rPr>
              <w:t>4</w:t>
            </w:r>
          </w:p>
        </w:tc>
      </w:tr>
      <w:tr>
        <w:tc>
          <w:tcPr>
            <w:tcW w:type="dxa" w:w="2608"/>
            <w:vAlign w:val="center"/>
          </w:tcPr>
          <w:p>
            <w:pPr>
              <w:spacing w:before="20" w:after="20"/>
            </w:pPr>
            <w:r>
              <w:rPr>
                <w:rFonts w:ascii="游ゴシック" w:hAnsi="游ゴシック" w:eastAsia="游ゴシック"/>
                <w:b w:val="0"/>
                <w:i w:val="0"/>
                <w:sz w:val="17"/>
              </w:rPr>
              <w:t>共同生活援助</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12→12（100％）</w:t>
            </w:r>
          </w:p>
        </w:tc>
        <w:tc>
          <w:tcPr>
            <w:tcW w:type="dxa" w:w="1587"/>
            <w:vAlign w:val="center"/>
          </w:tcPr>
          <w:p>
            <w:pPr>
              <w:spacing w:before="20" w:after="20"/>
              <w:jc w:val="right"/>
            </w:pPr>
            <w:r>
              <w:rPr>
                <w:rFonts w:ascii="游ゴシック" w:hAnsi="游ゴシック" w:eastAsia="游ゴシック"/>
                <w:b w:val="0"/>
                <w:i w:val="0"/>
                <w:sz w:val="17"/>
              </w:rPr>
              <w:t>12→13（108％）</w:t>
            </w:r>
          </w:p>
        </w:tc>
        <w:tc>
          <w:tcPr>
            <w:tcW w:type="dxa" w:w="1587"/>
            <w:vAlign w:val="center"/>
          </w:tcPr>
          <w:p>
            <w:pPr>
              <w:spacing w:before="20" w:after="20"/>
              <w:jc w:val="right"/>
            </w:pPr>
            <w:r>
              <w:rPr>
                <w:rFonts w:ascii="游ゴシック" w:hAnsi="游ゴシック" w:eastAsia="游ゴシック"/>
                <w:b w:val="0"/>
                <w:i w:val="0"/>
                <w:sz w:val="17"/>
              </w:rPr>
              <w:t>12→14（117％）</w:t>
            </w:r>
          </w:p>
        </w:tc>
        <w:tc>
          <w:tcPr>
            <w:tcW w:type="dxa" w:w="1474"/>
            <w:vAlign w:val="center"/>
          </w:tcPr>
          <w:p>
            <w:pPr>
              <w:spacing w:before="20" w:after="20"/>
              <w:jc w:val="right"/>
            </w:pPr>
            <w:r>
              <w:rPr>
                <w:rFonts w:ascii="游ゴシック" w:hAnsi="游ゴシック" w:eastAsia="游ゴシック"/>
                <w:b w:val="0"/>
                <w:i w:val="0"/>
                <w:sz w:val="17"/>
              </w:rPr>
              <w:t>14</w:t>
            </w:r>
          </w:p>
        </w:tc>
      </w:tr>
      <w:tr>
        <w:tc>
          <w:tcPr>
            <w:tcW w:type="dxa" w:w="2608"/>
            <w:vAlign w:val="center"/>
          </w:tcPr>
          <w:p>
            <w:pPr>
              <w:spacing w:before="20" w:after="20"/>
            </w:pPr>
            <w:r>
              <w:rPr>
                <w:rFonts w:ascii="游ゴシック" w:hAnsi="游ゴシック" w:eastAsia="游ゴシック"/>
                <w:b w:val="0"/>
                <w:i w:val="0"/>
                <w:sz w:val="17"/>
              </w:rPr>
              <w:t>就労定着支援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1→2（200％）</w:t>
            </w:r>
          </w:p>
        </w:tc>
        <w:tc>
          <w:tcPr>
            <w:tcW w:type="dxa" w:w="1587"/>
            <w:vAlign w:val="center"/>
          </w:tcPr>
          <w:p>
            <w:pPr>
              <w:spacing w:before="20" w:after="20"/>
              <w:jc w:val="right"/>
            </w:pPr>
            <w:r>
              <w:rPr>
                <w:rFonts w:ascii="游ゴシック" w:hAnsi="游ゴシック" w:eastAsia="游ゴシック"/>
                <w:b w:val="0"/>
                <w:i w:val="0"/>
                <w:sz w:val="17"/>
              </w:rPr>
              <w:t>1→3（300％）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22→11（50％）</w:t>
            </w:r>
          </w:p>
        </w:tc>
        <w:tc>
          <w:tcPr>
            <w:tcW w:type="dxa" w:w="1587"/>
            <w:vAlign w:val="center"/>
          </w:tcPr>
          <w:p>
            <w:pPr>
              <w:spacing w:before="20" w:after="20"/>
              <w:jc w:val="right"/>
            </w:pPr>
            <w:r>
              <w:rPr>
                <w:rFonts w:ascii="游ゴシック" w:hAnsi="游ゴシック" w:eastAsia="游ゴシック"/>
                <w:b w:val="0"/>
                <w:i w:val="0"/>
                <w:sz w:val="17"/>
              </w:rPr>
              <w:t>22→28（127％）</w:t>
            </w:r>
          </w:p>
        </w:tc>
        <w:tc>
          <w:tcPr>
            <w:tcW w:type="dxa" w:w="1587"/>
            <w:vAlign w:val="center"/>
          </w:tcPr>
          <w:p>
            <w:pPr>
              <w:spacing w:before="20" w:after="20"/>
              <w:jc w:val="right"/>
            </w:pPr>
            <w:r>
              <w:rPr>
                <w:rFonts w:ascii="游ゴシック" w:hAnsi="游ゴシック" w:eastAsia="游ゴシック"/>
                <w:b w:val="0"/>
                <w:i w:val="0"/>
                <w:sz w:val="17"/>
              </w:rPr>
              <w:t>22→54（245％）</w:t>
            </w:r>
          </w:p>
        </w:tc>
        <w:tc>
          <w:tcPr>
            <w:tcW w:type="dxa" w:w="1474"/>
            <w:vAlign w:val="center"/>
          </w:tcPr>
          <w:p>
            <w:pPr>
              <w:spacing w:before="20" w:after="20"/>
              <w:jc w:val="right"/>
            </w:pPr>
            <w:r>
              <w:rPr>
                <w:rFonts w:ascii="游ゴシック" w:hAnsi="游ゴシック" w:eastAsia="游ゴシック"/>
                <w:b w:val="0"/>
                <w:i w:val="0"/>
                <w:sz w:val="17"/>
              </w:rPr>
              <w:t>61</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0→2（―）</w:t>
            </w:r>
          </w:p>
        </w:tc>
        <w:tc>
          <w:tcPr>
            <w:tcW w:type="dxa" w:w="1587"/>
            <w:vAlign w:val="center"/>
          </w:tcPr>
          <w:p>
            <w:pPr>
              <w:spacing w:before="20" w:after="20"/>
              <w:jc w:val="right"/>
            </w:pPr>
            <w:r>
              <w:rPr>
                <w:rFonts w:ascii="游ゴシック" w:hAnsi="游ゴシック" w:eastAsia="游ゴシック"/>
                <w:b w:val="0"/>
                <w:i w:val="0"/>
                <w:sz w:val="17"/>
              </w:rPr>
              <w:t>0→4（―）</w:t>
            </w:r>
          </w:p>
        </w:tc>
        <w:tc>
          <w:tcPr>
            <w:tcW w:type="dxa" w:w="1474"/>
            <w:vAlign w:val="center"/>
          </w:tcPr>
          <w:p>
            <w:pPr>
              <w:spacing w:before="20" w:after="20"/>
              <w:jc w:val="right"/>
            </w:pPr>
            <w:r>
              <w:rPr>
                <w:rFonts w:ascii="游ゴシック" w:hAnsi="游ゴシック" w:eastAsia="游ゴシック"/>
                <w:b w:val="0"/>
                <w:i w:val="0"/>
                <w:sz w:val="17"/>
              </w:rPr>
              <w:t>2</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0→42（―）</w:t>
            </w:r>
          </w:p>
        </w:tc>
        <w:tc>
          <w:tcPr>
            <w:tcW w:type="dxa" w:w="1587"/>
            <w:vAlign w:val="center"/>
          </w:tcPr>
          <w:p>
            <w:pPr>
              <w:spacing w:before="20" w:after="20"/>
              <w:jc w:val="right"/>
            </w:pPr>
            <w:r>
              <w:rPr>
                <w:rFonts w:ascii="游ゴシック" w:hAnsi="游ゴシック" w:eastAsia="游ゴシック"/>
                <w:b w:val="0"/>
                <w:i w:val="0"/>
                <w:sz w:val="17"/>
              </w:rPr>
              <w:t>0→84（―）</w:t>
            </w:r>
          </w:p>
        </w:tc>
        <w:tc>
          <w:tcPr>
            <w:tcW w:type="dxa" w:w="1474"/>
            <w:vAlign w:val="center"/>
          </w:tcPr>
          <w:p>
            <w:pPr>
              <w:spacing w:before="20" w:after="20"/>
              <w:jc w:val="right"/>
            </w:pPr>
            <w:r>
              <w:rPr>
                <w:rFonts w:ascii="游ゴシック" w:hAnsi="游ゴシック" w:eastAsia="游ゴシック"/>
                <w:b w:val="0"/>
                <w:i w:val="0"/>
                <w:sz w:val="17"/>
              </w:rPr>
              <w:t>46</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43→33（77％）</w:t>
            </w:r>
          </w:p>
        </w:tc>
        <w:tc>
          <w:tcPr>
            <w:tcW w:type="dxa" w:w="1587"/>
            <w:vAlign w:val="center"/>
          </w:tcPr>
          <w:p>
            <w:pPr>
              <w:spacing w:before="20" w:after="20"/>
              <w:jc w:val="right"/>
            </w:pPr>
            <w:r>
              <w:rPr>
                <w:rFonts w:ascii="游ゴシック" w:hAnsi="游ゴシック" w:eastAsia="游ゴシック"/>
                <w:b w:val="0"/>
                <w:i w:val="0"/>
                <w:sz w:val="17"/>
              </w:rPr>
              <w:t>44→33（75％）</w:t>
            </w:r>
          </w:p>
        </w:tc>
        <w:tc>
          <w:tcPr>
            <w:tcW w:type="dxa" w:w="1587"/>
            <w:vAlign w:val="center"/>
          </w:tcPr>
          <w:p>
            <w:pPr>
              <w:spacing w:before="20" w:after="20"/>
              <w:jc w:val="right"/>
            </w:pPr>
            <w:r>
              <w:rPr>
                <w:rFonts w:ascii="游ゴシック" w:hAnsi="游ゴシック" w:eastAsia="游ゴシック"/>
                <w:b w:val="0"/>
                <w:i w:val="0"/>
                <w:sz w:val="17"/>
              </w:rPr>
              <w:t>45→36（80％）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998→561（56％）</w:t>
            </w:r>
          </w:p>
        </w:tc>
        <w:tc>
          <w:tcPr>
            <w:tcW w:type="dxa" w:w="1587"/>
            <w:vAlign w:val="center"/>
          </w:tcPr>
          <w:p>
            <w:pPr>
              <w:spacing w:before="20" w:after="20"/>
              <w:jc w:val="right"/>
            </w:pPr>
            <w:r>
              <w:rPr>
                <w:rFonts w:ascii="游ゴシック" w:hAnsi="游ゴシック" w:eastAsia="游ゴシック"/>
                <w:b w:val="0"/>
                <w:i w:val="0"/>
                <w:sz w:val="17"/>
              </w:rPr>
              <w:t>1078→595（55％）</w:t>
            </w:r>
          </w:p>
        </w:tc>
        <w:tc>
          <w:tcPr>
            <w:tcW w:type="dxa" w:w="1587"/>
            <w:vAlign w:val="center"/>
          </w:tcPr>
          <w:p>
            <w:pPr>
              <w:spacing w:before="20" w:after="20"/>
              <w:jc w:val="right"/>
            </w:pPr>
            <w:r>
              <w:rPr>
                <w:rFonts w:ascii="游ゴシック" w:hAnsi="游ゴシック" w:eastAsia="游ゴシック"/>
                <w:b w:val="0"/>
                <w:i w:val="0"/>
                <w:sz w:val="17"/>
              </w:rPr>
              <w:t>1164→612（53％）</w:t>
            </w:r>
          </w:p>
        </w:tc>
        <w:tc>
          <w:tcPr>
            <w:tcW w:type="dxa" w:w="1474"/>
            <w:vAlign w:val="center"/>
          </w:tcPr>
          <w:p>
            <w:pPr>
              <w:spacing w:before="20" w:after="20"/>
              <w:jc w:val="right"/>
            </w:pPr>
            <w:r>
              <w:rPr>
                <w:rFonts w:ascii="游ゴシック" w:hAnsi="游ゴシック" w:eastAsia="游ゴシック"/>
                <w:b w:val="0"/>
                <w:i w:val="0"/>
                <w:sz w:val="17"/>
              </w:rPr>
              <w:t>874</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9→5（56％）</w:t>
            </w:r>
          </w:p>
        </w:tc>
        <w:tc>
          <w:tcPr>
            <w:tcW w:type="dxa" w:w="1587"/>
            <w:vAlign w:val="center"/>
          </w:tcPr>
          <w:p>
            <w:pPr>
              <w:spacing w:before="20" w:after="20"/>
              <w:jc w:val="right"/>
            </w:pPr>
            <w:r>
              <w:rPr>
                <w:rFonts w:ascii="游ゴシック" w:hAnsi="游ゴシック" w:eastAsia="游ゴシック"/>
                <w:b w:val="0"/>
                <w:i w:val="0"/>
                <w:sz w:val="17"/>
              </w:rPr>
              <w:t>9→6（67％）</w:t>
            </w:r>
          </w:p>
        </w:tc>
        <w:tc>
          <w:tcPr>
            <w:tcW w:type="dxa" w:w="1587"/>
            <w:vAlign w:val="center"/>
          </w:tcPr>
          <w:p>
            <w:pPr>
              <w:spacing w:before="20" w:after="20"/>
              <w:jc w:val="right"/>
            </w:pPr>
            <w:r>
              <w:rPr>
                <w:rFonts w:ascii="游ゴシック" w:hAnsi="游ゴシック" w:eastAsia="游ゴシック"/>
                <w:b w:val="0"/>
                <w:i w:val="0"/>
                <w:sz w:val="17"/>
              </w:rPr>
              <w:t>10→4（40％）</w:t>
            </w:r>
          </w:p>
        </w:tc>
        <w:tc>
          <w:tcPr>
            <w:tcW w:type="dxa" w:w="1474"/>
            <w:vAlign w:val="center"/>
          </w:tcPr>
          <w:p>
            <w:pPr>
              <w:spacing w:before="20" w:after="20"/>
              <w:jc w:val="right"/>
            </w:pPr>
            <w:r>
              <w:rPr>
                <w:rFonts w:ascii="游ゴシック" w:hAnsi="游ゴシック" w:eastAsia="游ゴシック"/>
                <w:b w:val="0"/>
                <w:i w:val="0"/>
                <w:sz w:val="17"/>
              </w:rPr>
              <w:t>5</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時間</w:t>
            </w:r>
          </w:p>
        </w:tc>
        <w:tc>
          <w:tcPr>
            <w:tcW w:type="dxa" w:w="1587"/>
            <w:vAlign w:val="center"/>
          </w:tcPr>
          <w:p>
            <w:pPr>
              <w:spacing w:before="20" w:after="20"/>
              <w:jc w:val="right"/>
            </w:pPr>
            <w:r>
              <w:rPr>
                <w:rFonts w:ascii="游ゴシック" w:hAnsi="游ゴシック" w:eastAsia="游ゴシック"/>
                <w:b w:val="0"/>
                <w:i w:val="0"/>
                <w:sz w:val="17"/>
              </w:rPr>
              <w:t>25→50（200％）</w:t>
            </w:r>
          </w:p>
        </w:tc>
        <w:tc>
          <w:tcPr>
            <w:tcW w:type="dxa" w:w="1587"/>
            <w:vAlign w:val="center"/>
          </w:tcPr>
          <w:p>
            <w:pPr>
              <w:spacing w:before="20" w:after="20"/>
              <w:jc w:val="right"/>
            </w:pPr>
            <w:r>
              <w:rPr>
                <w:rFonts w:ascii="游ゴシック" w:hAnsi="游ゴシック" w:eastAsia="游ゴシック"/>
                <w:b w:val="0"/>
                <w:i w:val="0"/>
                <w:sz w:val="17"/>
              </w:rPr>
              <w:t>25→42（168％）</w:t>
            </w:r>
          </w:p>
        </w:tc>
        <w:tc>
          <w:tcPr>
            <w:tcW w:type="dxa" w:w="1587"/>
            <w:vAlign w:val="center"/>
          </w:tcPr>
          <w:p>
            <w:pPr>
              <w:spacing w:before="20" w:after="20"/>
              <w:jc w:val="right"/>
            </w:pPr>
            <w:r>
              <w:rPr>
                <w:rFonts w:ascii="游ゴシック" w:hAnsi="游ゴシック" w:eastAsia="游ゴシック"/>
                <w:b w:val="0"/>
                <w:i w:val="0"/>
                <w:sz w:val="17"/>
              </w:rPr>
              <w:t>26→28（108％）</w:t>
            </w:r>
          </w:p>
        </w:tc>
        <w:tc>
          <w:tcPr>
            <w:tcW w:type="dxa" w:w="1474"/>
            <w:vAlign w:val="center"/>
          </w:tcPr>
          <w:p>
            <w:pPr>
              <w:spacing w:before="20" w:after="20"/>
              <w:jc w:val="right"/>
            </w:pPr>
            <w:r>
              <w:rPr>
                <w:rFonts w:ascii="游ゴシック" w:hAnsi="游ゴシック" w:eastAsia="游ゴシック"/>
                <w:b w:val="0"/>
                <w:i w:val="0"/>
                <w:sz w:val="17"/>
              </w:rPr>
              <w:t>30</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27→32（119％）</w:t>
            </w:r>
          </w:p>
        </w:tc>
        <w:tc>
          <w:tcPr>
            <w:tcW w:type="dxa" w:w="1587"/>
            <w:vAlign w:val="center"/>
          </w:tcPr>
          <w:p>
            <w:pPr>
              <w:spacing w:before="20" w:after="20"/>
              <w:jc w:val="right"/>
            </w:pPr>
            <w:r>
              <w:rPr>
                <w:rFonts w:ascii="游ゴシック" w:hAnsi="游ゴシック" w:eastAsia="游ゴシック"/>
                <w:b w:val="0"/>
                <w:i w:val="0"/>
                <w:sz w:val="17"/>
              </w:rPr>
              <w:t>28→33（118％）</w:t>
            </w:r>
          </w:p>
        </w:tc>
        <w:tc>
          <w:tcPr>
            <w:tcW w:type="dxa" w:w="1587"/>
            <w:vAlign w:val="center"/>
          </w:tcPr>
          <w:p>
            <w:pPr>
              <w:spacing w:before="20" w:after="20"/>
              <w:jc w:val="right"/>
            </w:pPr>
            <w:r>
              <w:rPr>
                <w:rFonts w:ascii="游ゴシック" w:hAnsi="游ゴシック" w:eastAsia="游ゴシック"/>
                <w:b w:val="0"/>
                <w:i w:val="0"/>
                <w:sz w:val="17"/>
              </w:rPr>
              <w:t>29→31（107％）</w:t>
            </w:r>
          </w:p>
        </w:tc>
        <w:tc>
          <w:tcPr>
            <w:tcW w:type="dxa" w:w="1474"/>
            <w:vAlign w:val="center"/>
          </w:tcPr>
          <w:p>
            <w:pPr>
              <w:spacing w:before="20" w:after="20"/>
              <w:jc w:val="right"/>
            </w:pPr>
            <w:r>
              <w:rPr>
                <w:rFonts w:ascii="游ゴシック" w:hAnsi="游ゴシック" w:eastAsia="游ゴシック"/>
                <w:b w:val="0"/>
                <w:i w:val="0"/>
                <w:sz w:val="17"/>
              </w:rPr>
              <w:t>391</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306→112（37％）</w:t>
            </w:r>
          </w:p>
        </w:tc>
        <w:tc>
          <w:tcPr>
            <w:tcW w:type="dxa" w:w="1587"/>
            <w:vAlign w:val="center"/>
          </w:tcPr>
          <w:p>
            <w:pPr>
              <w:spacing w:before="20" w:after="20"/>
              <w:jc w:val="right"/>
            </w:pPr>
            <w:r>
              <w:rPr>
                <w:rFonts w:ascii="游ゴシック" w:hAnsi="游ゴシック" w:eastAsia="游ゴシック"/>
                <w:b w:val="0"/>
                <w:i w:val="0"/>
                <w:sz w:val="17"/>
              </w:rPr>
              <w:t>318→106（33％）</w:t>
            </w:r>
          </w:p>
        </w:tc>
        <w:tc>
          <w:tcPr>
            <w:tcW w:type="dxa" w:w="1587"/>
            <w:vAlign w:val="center"/>
          </w:tcPr>
          <w:p>
            <w:pPr>
              <w:spacing w:before="20" w:after="20"/>
              <w:jc w:val="right"/>
            </w:pPr>
            <w:r>
              <w:rPr>
                <w:rFonts w:ascii="游ゴシック" w:hAnsi="游ゴシック" w:eastAsia="游ゴシック"/>
                <w:b w:val="0"/>
                <w:i w:val="0"/>
                <w:sz w:val="17"/>
              </w:rPr>
              <w:t>330→93（28％）</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施設入所支援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19→16（84％）</w:t>
            </w:r>
          </w:p>
        </w:tc>
        <w:tc>
          <w:tcPr>
            <w:tcW w:type="dxa" w:w="1587"/>
            <w:vAlign w:val="center"/>
          </w:tcPr>
          <w:p>
            <w:pPr>
              <w:spacing w:before="20" w:after="20"/>
              <w:jc w:val="right"/>
            </w:pPr>
            <w:r>
              <w:rPr>
                <w:rFonts w:ascii="游ゴシック" w:hAnsi="游ゴシック" w:eastAsia="游ゴシック"/>
                <w:b w:val="0"/>
                <w:i w:val="0"/>
                <w:sz w:val="17"/>
              </w:rPr>
              <w:t>19→15（79％）</w:t>
            </w:r>
          </w:p>
        </w:tc>
        <w:tc>
          <w:tcPr>
            <w:tcW w:type="dxa" w:w="1587"/>
            <w:vAlign w:val="center"/>
          </w:tcPr>
          <w:p>
            <w:pPr>
              <w:spacing w:before="20" w:after="20"/>
              <w:jc w:val="right"/>
            </w:pPr>
            <w:r>
              <w:rPr>
                <w:rFonts w:ascii="游ゴシック" w:hAnsi="游ゴシック" w:eastAsia="游ゴシック"/>
                <w:b w:val="0"/>
                <w:i w:val="0"/>
                <w:sz w:val="17"/>
              </w:rPr>
              <w:t>19→14（74％）</w:t>
            </w:r>
          </w:p>
        </w:tc>
        <w:tc>
          <w:tcPr>
            <w:tcW w:type="dxa" w:w="1474"/>
            <w:vAlign w:val="center"/>
          </w:tcPr>
          <w:p>
            <w:pPr>
              <w:spacing w:before="20" w:after="20"/>
              <w:jc w:val="right"/>
            </w:pPr>
            <w:r>
              <w:rPr>
                <w:rFonts w:ascii="游ゴシック" w:hAnsi="游ゴシック" w:eastAsia="游ゴシック"/>
                <w:b w:val="0"/>
                <w:i w:val="0"/>
                <w:sz w:val="17"/>
              </w:rPr>
              <w:t>15</w:t>
            </w:r>
          </w:p>
        </w:tc>
      </w:tr>
      <w:tr>
        <w:tc>
          <w:tcPr>
            <w:tcW w:type="dxa" w:w="2608"/>
            <w:vAlign w:val="center"/>
          </w:tcPr>
          <w:p>
            <w:pPr>
              <w:spacing w:before="20" w:after="20"/>
            </w:pPr>
            <w:r>
              <w:rPr>
                <w:rFonts w:ascii="游ゴシック" w:hAnsi="游ゴシック" w:eastAsia="游ゴシック"/>
                <w:b w:val="0"/>
                <w:i w:val="0"/>
                <w:sz w:val="17"/>
              </w:rPr>
              <w:t>日中一時支援事業</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28→23（82％）</w:t>
            </w:r>
          </w:p>
        </w:tc>
        <w:tc>
          <w:tcPr>
            <w:tcW w:type="dxa" w:w="1587"/>
            <w:vAlign w:val="center"/>
          </w:tcPr>
          <w:p>
            <w:pPr>
              <w:spacing w:before="20" w:after="20"/>
              <w:jc w:val="right"/>
            </w:pPr>
            <w:r>
              <w:rPr>
                <w:rFonts w:ascii="游ゴシック" w:hAnsi="游ゴシック" w:eastAsia="游ゴシック"/>
                <w:b w:val="0"/>
                <w:i w:val="0"/>
                <w:sz w:val="17"/>
              </w:rPr>
              <w:t>28→22（79％）</w:t>
            </w:r>
          </w:p>
        </w:tc>
        <w:tc>
          <w:tcPr>
            <w:tcW w:type="dxa" w:w="1587"/>
            <w:vAlign w:val="center"/>
          </w:tcPr>
          <w:p>
            <w:pPr>
              <w:spacing w:before="20" w:after="20"/>
              <w:jc w:val="right"/>
            </w:pPr>
            <w:r>
              <w:rPr>
                <w:rFonts w:ascii="游ゴシック" w:hAnsi="游ゴシック" w:eastAsia="游ゴシック"/>
                <w:b w:val="0"/>
                <w:i w:val="0"/>
                <w:sz w:val="17"/>
              </w:rPr>
              <w:t>28→24（86％）</w:t>
            </w:r>
          </w:p>
        </w:tc>
        <w:tc>
          <w:tcPr>
            <w:tcW w:type="dxa" w:w="1474"/>
            <w:vAlign w:val="center"/>
          </w:tcPr>
          <w:p>
            <w:pPr>
              <w:spacing w:before="20" w:after="20"/>
              <w:jc w:val="right"/>
            </w:pPr>
            <w:r>
              <w:rPr>
                <w:rFonts w:ascii="游ゴシック" w:hAnsi="游ゴシック" w:eastAsia="游ゴシック"/>
                <w:b w:val="0"/>
                <w:i w:val="0"/>
                <w:sz w:val="17"/>
              </w:rPr>
              <w:t>24</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33→31（94％）</w:t>
            </w:r>
          </w:p>
        </w:tc>
        <w:tc>
          <w:tcPr>
            <w:tcW w:type="dxa" w:w="1587"/>
            <w:vAlign w:val="center"/>
          </w:tcPr>
          <w:p>
            <w:pPr>
              <w:spacing w:before="20" w:after="20"/>
              <w:jc w:val="right"/>
            </w:pPr>
            <w:r>
              <w:rPr>
                <w:rFonts w:ascii="游ゴシック" w:hAnsi="游ゴシック" w:eastAsia="游ゴシック"/>
                <w:b w:val="0"/>
                <w:i w:val="0"/>
                <w:sz w:val="17"/>
              </w:rPr>
              <w:t>33→29（88％）</w:t>
            </w:r>
          </w:p>
        </w:tc>
        <w:tc>
          <w:tcPr>
            <w:tcW w:type="dxa" w:w="1587"/>
            <w:vAlign w:val="center"/>
          </w:tcPr>
          <w:p>
            <w:pPr>
              <w:spacing w:before="20" w:after="20"/>
              <w:jc w:val="right"/>
            </w:pPr>
            <w:r>
              <w:rPr>
                <w:rFonts w:ascii="游ゴシック" w:hAnsi="游ゴシック" w:eastAsia="游ゴシック"/>
                <w:b w:val="0"/>
                <w:i w:val="0"/>
                <w:sz w:val="17"/>
              </w:rPr>
              <w:t>33→28（85％）</w:t>
            </w:r>
          </w:p>
        </w:tc>
        <w:tc>
          <w:tcPr>
            <w:tcW w:type="dxa" w:w="1474"/>
            <w:vAlign w:val="center"/>
          </w:tcPr>
          <w:p>
            <w:pPr>
              <w:spacing w:before="20" w:after="20"/>
              <w:jc w:val="right"/>
            </w:pPr>
            <w:r>
              <w:rPr>
                <w:rFonts w:ascii="游ゴシック" w:hAnsi="游ゴシック" w:eastAsia="游ゴシック"/>
                <w:b w:val="0"/>
                <w:i w:val="0"/>
                <w:sz w:val="17"/>
              </w:rPr>
              <w:t>26</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728→589（81％）</w:t>
            </w:r>
          </w:p>
        </w:tc>
        <w:tc>
          <w:tcPr>
            <w:tcW w:type="dxa" w:w="1587"/>
            <w:vAlign w:val="center"/>
          </w:tcPr>
          <w:p>
            <w:pPr>
              <w:spacing w:before="20" w:after="20"/>
              <w:jc w:val="right"/>
            </w:pPr>
            <w:r>
              <w:rPr>
                <w:rFonts w:ascii="游ゴシック" w:hAnsi="游ゴシック" w:eastAsia="游ゴシック"/>
                <w:b w:val="0"/>
                <w:i w:val="0"/>
                <w:sz w:val="17"/>
              </w:rPr>
              <w:t>728→551（76％）</w:t>
            </w:r>
          </w:p>
        </w:tc>
        <w:tc>
          <w:tcPr>
            <w:tcW w:type="dxa" w:w="1587"/>
            <w:vAlign w:val="center"/>
          </w:tcPr>
          <w:p>
            <w:pPr>
              <w:spacing w:before="20" w:after="20"/>
              <w:jc w:val="right"/>
            </w:pPr>
            <w:r>
              <w:rPr>
                <w:rFonts w:ascii="游ゴシック" w:hAnsi="游ゴシック" w:eastAsia="游ゴシック"/>
                <w:b w:val="0"/>
                <w:i w:val="0"/>
                <w:sz w:val="17"/>
              </w:rPr>
              <w:t>728→504（69％）</w:t>
            </w:r>
          </w:p>
        </w:tc>
        <w:tc>
          <w:tcPr>
            <w:tcW w:type="dxa" w:w="1474"/>
            <w:vAlign w:val="center"/>
          </w:tcPr>
          <w:p>
            <w:pPr>
              <w:spacing w:before="20" w:after="20"/>
              <w:jc w:val="right"/>
            </w:pPr>
            <w:r>
              <w:rPr>
                <w:rFonts w:ascii="游ゴシック" w:hAnsi="游ゴシック" w:eastAsia="游ゴシック"/>
                <w:b w:val="0"/>
                <w:i w:val="0"/>
                <w:sz w:val="17"/>
              </w:rPr>
              <w:t>728</w:t>
            </w:r>
          </w:p>
        </w:tc>
      </w:tr>
      <w:tr>
        <w:tc>
          <w:tcPr>
            <w:tcW w:type="dxa" w:w="2608"/>
            <w:vAlign w:val="center"/>
          </w:tcPr>
          <w:p>
            <w:pPr>
              <w:spacing w:before="20" w:after="20"/>
            </w:pPr>
            <w:r>
              <w:rPr>
                <w:rFonts w:ascii="游ゴシック" w:hAnsi="游ゴシック" w:eastAsia="游ゴシック"/>
                <w:b w:val="0"/>
                <w:i w:val="0"/>
                <w:sz w:val="17"/>
              </w:rPr>
              <w:t>療養介護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587"/>
            <w:vAlign w:val="center"/>
          </w:tcPr>
          <w:p>
            <w:pPr>
              <w:spacing w:before="20" w:after="20"/>
              <w:jc w:val="right"/>
            </w:pPr>
            <w:r>
              <w:rPr>
                <w:rFonts w:ascii="游ゴシック" w:hAnsi="游ゴシック" w:eastAsia="游ゴシック"/>
                <w:b w:val="0"/>
                <w:i w:val="0"/>
                <w:sz w:val="17"/>
              </w:rPr>
              <w:t>2→2（100％）</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17→21（124％）</w:t>
            </w:r>
          </w:p>
        </w:tc>
        <w:tc>
          <w:tcPr>
            <w:tcW w:type="dxa" w:w="1587"/>
            <w:vAlign w:val="center"/>
          </w:tcPr>
          <w:p>
            <w:pPr>
              <w:spacing w:before="20" w:after="20"/>
              <w:jc w:val="right"/>
            </w:pPr>
            <w:r>
              <w:rPr>
                <w:rFonts w:ascii="游ゴシック" w:hAnsi="游ゴシック" w:eastAsia="游ゴシック"/>
                <w:b w:val="0"/>
                <w:i w:val="0"/>
                <w:sz w:val="17"/>
              </w:rPr>
              <w:t>17→14（82％）</w:t>
            </w:r>
          </w:p>
        </w:tc>
        <w:tc>
          <w:tcPr>
            <w:tcW w:type="dxa" w:w="1587"/>
            <w:vAlign w:val="center"/>
          </w:tcPr>
          <w:p>
            <w:pPr>
              <w:spacing w:before="20" w:after="20"/>
              <w:jc w:val="right"/>
            </w:pPr>
            <w:r>
              <w:rPr>
                <w:rFonts w:ascii="游ゴシック" w:hAnsi="游ゴシック" w:eastAsia="游ゴシック"/>
                <w:b w:val="0"/>
                <w:i w:val="0"/>
                <w:sz w:val="17"/>
              </w:rPr>
              <w:t>17→18（106％）</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22→0（0％）</w:t>
            </w:r>
          </w:p>
        </w:tc>
        <w:tc>
          <w:tcPr>
            <w:tcW w:type="dxa" w:w="1587"/>
            <w:vAlign w:val="center"/>
          </w:tcPr>
          <w:p>
            <w:pPr>
              <w:spacing w:before="20" w:after="20"/>
              <w:jc w:val="right"/>
            </w:pPr>
            <w:r>
              <w:rPr>
                <w:rFonts w:ascii="游ゴシック" w:hAnsi="游ゴシック" w:eastAsia="游ゴシック"/>
                <w:b w:val="0"/>
                <w:i w:val="0"/>
                <w:sz w:val="17"/>
              </w:rPr>
              <w:t>22→15（68％）</w:t>
            </w:r>
          </w:p>
        </w:tc>
        <w:tc>
          <w:tcPr>
            <w:tcW w:type="dxa" w:w="1587"/>
            <w:vAlign w:val="center"/>
          </w:tcPr>
          <w:p>
            <w:pPr>
              <w:spacing w:before="20" w:after="20"/>
              <w:jc w:val="right"/>
            </w:pPr>
            <w:r>
              <w:rPr>
                <w:rFonts w:ascii="游ゴシック" w:hAnsi="游ゴシック" w:eastAsia="游ゴシック"/>
                <w:b w:val="0"/>
                <w:i w:val="0"/>
                <w:sz w:val="17"/>
              </w:rPr>
              <w:t>22→23（105％）</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計画相談支援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7→11（157％）</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474"/>
            <w:vAlign w:val="center"/>
          </w:tcPr>
          <w:p>
            <w:pPr>
              <w:spacing w:before="20" w:after="20"/>
              <w:jc w:val="right"/>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w:t>
      </w:r>
      <w:r>
        <w:rPr>
          <w:rFonts w:ascii="游ゴシック" w:hAnsi="游ゴシック" w:eastAsia="游ゴシック"/>
          <w:b/>
          <w:i w:val="0"/>
          <w:sz w:val="17"/>
        </w:rPr>
        <w:t>本表は同計画の PDF を機械で読み取ったもの</w:t>
      </w:r>
      <w:r>
        <w:rPr>
          <w:rFonts w:ascii="游ゴシック" w:hAnsi="游ゴシック" w:eastAsia="游ゴシック"/>
          <w:b w:val="0"/>
          <w:i w:val="0"/>
          <w:sz w:val="17"/>
        </w:rPr>
        <w:t>で、書き写していません（`ono_shogai_zenkai.py`）。「見込量→実績」の形で示し、括弧内は見込量に対する実績の割合です。令和5年度は実績見込。</w:t>
      </w:r>
      <w:r>
        <w:rPr>
          <w:rFonts w:ascii="游ゴシック" w:hAnsi="游ゴシック" w:eastAsia="游ゴシック"/>
          <w:b/>
          <w:i w:val="0"/>
          <w:sz w:val="17"/>
        </w:rPr>
        <w:t>実績・見込量とも全年度0のサービスは省いています</w:t>
      </w:r>
      <w:r>
        <w:rPr>
          <w:rFonts w:ascii="游ゴシック" w:hAnsi="游ゴシック" w:eastAsia="游ゴシック"/>
          <w:b w:val="0"/>
          <w:i w:val="0"/>
          <w:sz w:val="17"/>
        </w:rPr>
        <w:t>（29件）。</w:t>
      </w:r>
    </w:p>
    <w:p>
      <w:pPr>
        <w:spacing w:after="120"/>
      </w:pPr>
    </w:p>
    <w:p>
      <w:pPr>
        <w:spacing w:before="60" w:after="60"/>
      </w:pPr>
      <w:r>
        <w:rPr>
          <w:rFonts w:ascii="游ゴシック" w:hAnsi="游ゴシック" w:eastAsia="游ゴシック"/>
          <w:b/>
          <w:i w:val="0"/>
          <w:sz w:val="21"/>
        </w:rPr>
        <w:t>読み取れることが3つあります。</w:t>
      </w:r>
    </w:p>
    <w:p>
      <w:pPr>
        <w:spacing w:before="60" w:after="60"/>
      </w:pPr>
      <w:r>
        <w:rPr>
          <w:rFonts w:ascii="游ゴシック" w:hAnsi="游ゴシック" w:eastAsia="游ゴシック"/>
          <w:b/>
          <w:i w:val="0"/>
          <w:sz w:val="21"/>
        </w:rPr>
        <w:t>①人数はおおむね見込みどおりでも、量（人日）が大きく下回ります。</w:t>
      </w:r>
      <w:r>
        <w:rPr>
          <w:rFonts w:ascii="游ゴシック" w:hAnsi="游ゴシック" w:eastAsia="游ゴシック"/>
          <w:b w:val="0"/>
          <w:i w:val="0"/>
          <w:sz w:val="21"/>
        </w:rPr>
        <w:t>放課後等デイサービスは人数が見込みの107〜119％である一方、</w:t>
      </w:r>
      <w:r>
        <w:rPr>
          <w:rFonts w:ascii="游ゴシック" w:hAnsi="游ゴシック" w:eastAsia="游ゴシック"/>
          <w:b/>
          <w:i w:val="0"/>
          <w:sz w:val="21"/>
        </w:rPr>
        <w:t>人日は28〜37％</w:t>
      </w:r>
      <w:r>
        <w:rPr>
          <w:rFonts w:ascii="游ゴシック" w:hAnsi="游ゴシック" w:eastAsia="游ゴシック"/>
          <w:b w:val="0"/>
          <w:i w:val="0"/>
          <w:sz w:val="21"/>
        </w:rPr>
        <w:t>にとどまります。就労継続支援（Ｂ型）も人数75〜80％に対し人日53〜56％、生活介護も人数85〜94％に対し人日69〜81％です。</w:t>
      </w:r>
      <w:r>
        <w:rPr>
          <w:rFonts w:ascii="游ゴシック" w:hAnsi="游ゴシック" w:eastAsia="游ゴシック"/>
          <w:b/>
          <w:i w:val="0"/>
          <w:sz w:val="21"/>
        </w:rPr>
        <w:t>お一人あたりの利用日数が、見込みよりずっと少ない</w:t>
      </w:r>
      <w:r>
        <w:rPr>
          <w:rFonts w:ascii="游ゴシック" w:hAnsi="游ゴシック" w:eastAsia="游ゴシック"/>
          <w:b w:val="0"/>
          <w:i w:val="0"/>
          <w:sz w:val="21"/>
        </w:rPr>
        <w:t>ということです。</w:t>
      </w:r>
      <w:r>
        <w:rPr>
          <w:rFonts w:ascii="游ゴシック" w:hAnsi="游ゴシック" w:eastAsia="游ゴシック"/>
          <w:b/>
          <w:i w:val="0"/>
          <w:sz w:val="21"/>
        </w:rPr>
        <w:t>第8期の見込量は、人数と1人あたり日数を分けて置きます</w:t>
      </w:r>
      <w:r>
        <w:rPr>
          <w:rFonts w:ascii="游ゴシック" w:hAnsi="游ゴシック" w:eastAsia="游ゴシック"/>
          <w:b w:val="0"/>
          <w:i w:val="0"/>
          <w:sz w:val="21"/>
        </w:rPr>
        <w:t>（第3部第2章）。</w:t>
      </w:r>
    </w:p>
    <w:p>
      <w:pPr>
        <w:spacing w:before="60" w:after="60"/>
      </w:pPr>
      <w:r>
        <w:rPr>
          <w:rFonts w:ascii="游ゴシック" w:hAnsi="游ゴシック" w:eastAsia="游ゴシック"/>
          <w:b/>
          <w:i w:val="0"/>
          <w:sz w:val="21"/>
        </w:rPr>
        <w:t>②居宅介護はこれと逆です。</w:t>
      </w:r>
      <w:r>
        <w:rPr>
          <w:rFonts w:ascii="游ゴシック" w:hAnsi="游ゴシック" w:eastAsia="游ゴシック"/>
          <w:b w:val="0"/>
          <w:i w:val="0"/>
          <w:sz w:val="21"/>
        </w:rPr>
        <w:t>人数は見込みの40〜67％ですが、時間は108〜200％です。</w:t>
      </w:r>
      <w:r>
        <w:rPr>
          <w:rFonts w:ascii="游ゴシック" w:hAnsi="游ゴシック" w:eastAsia="游ゴシック"/>
          <w:b/>
          <w:i w:val="0"/>
          <w:sz w:val="21"/>
        </w:rPr>
        <w:t>少ない人数の方が、見込みより多く使っておられます。</w:t>
      </w:r>
    </w:p>
    <w:p>
      <w:pPr>
        <w:spacing w:before="60" w:after="60"/>
      </w:pPr>
      <w:r>
        <w:rPr>
          <w:rFonts w:ascii="游ゴシック" w:hAnsi="游ゴシック" w:eastAsia="游ゴシック"/>
          <w:b/>
          <w:i w:val="0"/>
          <w:sz w:val="21"/>
        </w:rPr>
        <w:t>③計画相談支援は見込みを大きく上回っています</w:t>
      </w:r>
      <w:r>
        <w:rPr>
          <w:rFonts w:ascii="游ゴシック" w:hAnsi="游ゴシック" w:eastAsia="游ゴシック"/>
          <w:b w:val="0"/>
          <w:i w:val="0"/>
          <w:sz w:val="21"/>
        </w:rPr>
        <w:t>（157〜171％）。</w:t>
      </w:r>
      <w:r>
        <w:rPr>
          <w:rFonts w:ascii="游ゴシック" w:hAnsi="游ゴシック" w:eastAsia="游ゴシック"/>
          <w:b/>
          <w:i w:val="0"/>
          <w:sz w:val="21"/>
        </w:rPr>
        <w:t>望まないセルフプランの解消（成果目標⑤）を考えるうえで、出発点となる数字です。</w:t>
      </w:r>
    </w:p>
    <w:p>
      <w:pPr>
        <w:spacing w:after="120"/>
      </w:pPr>
    </w:p>
    <w:p>
      <w:pPr>
        <w:spacing w:before="60" w:after="60"/>
      </w:pPr>
      <w:r>
        <w:rPr>
          <w:rFonts w:ascii="游ゴシック" w:hAnsi="游ゴシック" w:eastAsia="游ゴシック"/>
          <w:b/>
          <w:i w:val="0"/>
          <w:sz w:val="21"/>
        </w:rPr>
        <w:t>前回計画の短期入所の見込量については、引き継ぐ前に確かめるべき点があります。</w:t>
      </w:r>
    </w:p>
    <w:p>
      <w:pPr>
        <w:keepNext/>
        <w:spacing w:before="200" w:after="40"/>
      </w:pPr>
      <w:r>
        <w:rPr>
          <w:rFonts w:ascii="游ゴシック" w:hAnsi="游ゴシック" w:eastAsia="游ゴシック"/>
          <w:b/>
          <w:i w:val="0"/>
          <w:color w:val="1F4D78"/>
          <w:sz w:val="22"/>
        </w:rPr>
        <w:t>【表12】第1部　総論　第3章　現行計画の評価と課題（2）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3969"/>
        <w:gridCol w:w="328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494"/>
            <w:vAlign w:val="center"/>
          </w:tcPr>
          <w:p>
            <w:pPr>
              <w:keepNext/>
              <w:spacing w:before="20" w:after="20"/>
            </w:pPr>
            <w:r>
              <w:rPr>
                <w:rFonts w:ascii="游ゴシック" w:hAnsi="游ゴシック" w:eastAsia="游ゴシック"/>
                <w:b/>
                <w:i w:val="0"/>
                <w:sz w:val="17"/>
              </w:rPr>
              <w:t>短期入所（福祉型）</w:t>
            </w:r>
          </w:p>
        </w:tc>
        <w:tc>
          <w:tcPr>
            <w:tcW w:type="dxa" w:w="3969"/>
            <w:vAlign w:val="center"/>
          </w:tcPr>
          <w:p>
            <w:pPr>
              <w:keepNext/>
              <w:spacing w:before="20" w:after="20"/>
            </w:pPr>
            <w:r>
              <w:rPr>
                <w:rFonts w:ascii="游ゴシック" w:hAnsi="游ゴシック" w:eastAsia="游ゴシック"/>
                <w:b/>
                <w:i w:val="0"/>
                <w:sz w:val="17"/>
              </w:rPr>
              <w:t>2〜3人／14〜21人日</w:t>
            </w:r>
            <w:r>
              <w:rPr>
                <w:rFonts w:ascii="游ゴシック" w:hAnsi="游ゴシック" w:eastAsia="游ゴシック"/>
                <w:b w:val="0"/>
                <w:i w:val="0"/>
                <w:sz w:val="17"/>
              </w:rPr>
              <w:t>（実績あり）</w:t>
            </w:r>
          </w:p>
        </w:tc>
        <w:tc>
          <w:tcPr>
            <w:tcW w:type="dxa" w:w="3288"/>
            <w:vAlign w:val="center"/>
          </w:tcPr>
          <w:p>
            <w:pPr>
              <w:keepNext/>
              <w:spacing w:before="20" w:after="20"/>
            </w:pPr>
            <w:r>
              <w:rPr>
                <w:rFonts w:ascii="游ゴシック" w:hAnsi="游ゴシック" w:eastAsia="游ゴシック"/>
                <w:b/>
                <w:i w:val="0"/>
                <w:sz w:val="17"/>
              </w:rPr>
              <w:t>0人／0人日</w:t>
            </w:r>
          </w:p>
        </w:tc>
      </w:tr>
      <w:tr>
        <w:tc>
          <w:tcPr>
            <w:tcW w:type="dxa" w:w="2494"/>
            <w:vAlign w:val="center"/>
          </w:tcPr>
          <w:p>
            <w:pPr>
              <w:spacing w:before="20" w:after="20"/>
            </w:pPr>
            <w:r>
              <w:rPr>
                <w:rFonts w:ascii="游ゴシック" w:hAnsi="游ゴシック" w:eastAsia="游ゴシック"/>
                <w:b/>
                <w:i w:val="0"/>
                <w:sz w:val="17"/>
              </w:rPr>
              <w:t>短期入所（医療型）</w:t>
            </w:r>
          </w:p>
        </w:tc>
        <w:tc>
          <w:tcPr>
            <w:tcW w:type="dxa" w:w="3969"/>
            <w:vAlign w:val="center"/>
          </w:tcPr>
          <w:p>
            <w:pPr>
              <w:spacing w:before="20" w:after="20"/>
            </w:pPr>
            <w:r>
              <w:rPr>
                <w:rFonts w:ascii="游ゴシック" w:hAnsi="游ゴシック" w:eastAsia="游ゴシック"/>
                <w:b/>
                <w:i w:val="0"/>
                <w:sz w:val="17"/>
              </w:rPr>
              <w:t>0人／0人日</w:t>
            </w:r>
            <w:r>
              <w:rPr>
                <w:rFonts w:ascii="游ゴシック" w:hAnsi="游ゴシック" w:eastAsia="游ゴシック"/>
                <w:b w:val="0"/>
                <w:i w:val="0"/>
                <w:sz w:val="17"/>
              </w:rPr>
              <w:t>（全年度0）</w:t>
            </w:r>
          </w:p>
        </w:tc>
        <w:tc>
          <w:tcPr>
            <w:tcW w:type="dxa" w:w="3288"/>
            <w:vAlign w:val="center"/>
          </w:tcPr>
          <w:p>
            <w:pPr>
              <w:spacing w:before="20" w:after="20"/>
            </w:pPr>
            <w:r>
              <w:rPr>
                <w:rFonts w:ascii="游ゴシック" w:hAnsi="游ゴシック" w:eastAsia="游ゴシック"/>
                <w:b/>
                <w:i w:val="0"/>
                <w:sz w:val="17"/>
              </w:rPr>
              <w:t>2人／24人日</w:t>
            </w:r>
          </w:p>
        </w:tc>
      </w:tr>
    </w:tbl>
    <w:p>
      <w:pPr>
        <w:spacing w:after="40"/>
      </w:pPr>
    </w:p>
    <w:p>
      <w:pPr>
        <w:spacing w:after="120"/>
      </w:pPr>
    </w:p>
    <w:p>
      <w:pPr>
        <w:spacing w:before="60" w:after="60"/>
      </w:pPr>
      <w:r>
        <w:rPr>
          <w:rFonts w:ascii="游ゴシック" w:hAnsi="游ゴシック" w:eastAsia="游ゴシック"/>
          <w:b/>
          <w:i w:val="0"/>
          <w:sz w:val="21"/>
        </w:rPr>
        <w:t>障がい児の第7期の見込量についても、同じく確かめる点があります。</w:t>
      </w:r>
    </w:p>
    <w:p>
      <w:pPr>
        <w:keepNext/>
        <w:spacing w:before="200" w:after="40"/>
      </w:pPr>
      <w:r>
        <w:rPr>
          <w:rFonts w:ascii="游ゴシック" w:hAnsi="游ゴシック" w:eastAsia="游ゴシック"/>
          <w:b/>
          <w:i w:val="0"/>
          <w:color w:val="1F4D78"/>
          <w:sz w:val="22"/>
        </w:rPr>
        <w:t>【表13】第1部　総論　第3章　現行計画の評価と課題（3）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268"/>
        <w:gridCol w:w="2268"/>
        <w:gridCol w:w="3175"/>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第6期の実績（令和5年度）</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第7期の見込量（前回計画）</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041"/>
            <w:vAlign w:val="center"/>
          </w:tcPr>
          <w:p>
            <w:pPr>
              <w:keepNext/>
              <w:spacing w:before="20" w:after="20"/>
            </w:pPr>
            <w:r>
              <w:rPr>
                <w:rFonts w:ascii="游ゴシック" w:hAnsi="游ゴシック" w:eastAsia="游ゴシック"/>
                <w:b w:val="0"/>
                <w:i w:val="0"/>
                <w:sz w:val="17"/>
              </w:rPr>
              <w:t>児童発達支援</w:t>
            </w:r>
          </w:p>
        </w:tc>
        <w:tc>
          <w:tcPr>
            <w:tcW w:type="dxa" w:w="2268"/>
            <w:vAlign w:val="center"/>
          </w:tcPr>
          <w:p>
            <w:pPr>
              <w:keepNext/>
              <w:spacing w:before="20" w:after="20"/>
            </w:pPr>
            <w:r>
              <w:rPr>
                <w:rFonts w:ascii="游ゴシック" w:hAnsi="游ゴシック" w:eastAsia="游ゴシック"/>
                <w:b w:val="0"/>
                <w:i w:val="0"/>
                <w:sz w:val="17"/>
              </w:rPr>
              <w:t>6人／24人日</w:t>
            </w:r>
          </w:p>
        </w:tc>
        <w:tc>
          <w:tcPr>
            <w:tcW w:type="dxa" w:w="2268"/>
            <w:vAlign w:val="center"/>
          </w:tcPr>
          <w:p>
            <w:pPr>
              <w:keepNext/>
              <w:spacing w:before="20" w:after="20"/>
            </w:pPr>
            <w:r>
              <w:rPr>
                <w:rFonts w:ascii="游ゴシック" w:hAnsi="游ゴシック" w:eastAsia="游ゴシック"/>
                <w:b w:val="0"/>
                <w:i w:val="0"/>
                <w:sz w:val="17"/>
              </w:rPr>
              <w:t>38人／4人日</w:t>
            </w:r>
          </w:p>
        </w:tc>
        <w:tc>
          <w:tcPr>
            <w:tcW w:type="dxa" w:w="3175"/>
            <w:vAlign w:val="center"/>
          </w:tcPr>
          <w:p>
            <w:pPr>
              <w:keepNext/>
              <w:spacing w:before="20" w:after="20"/>
            </w:pPr>
            <w:r>
              <w:rPr>
                <w:rFonts w:ascii="游ゴシック" w:hAnsi="游ゴシック" w:eastAsia="游ゴシック"/>
                <w:b w:val="0"/>
                <w:i w:val="0"/>
                <w:sz w:val="17"/>
              </w:rPr>
              <w:t>「38 人・4 人日」。第6期の実績は6人・24〜28人日。</w:t>
            </w:r>
            <w:r>
              <w:rPr>
                <w:rFonts w:ascii="游ゴシック" w:hAnsi="游ゴシック" w:eastAsia="游ゴシック"/>
                <w:b/>
                <w:i w:val="0"/>
                <w:sz w:val="17"/>
              </w:rPr>
              <w:t>人と人日が入れ替わっているとみられる</w:t>
            </w:r>
          </w:p>
        </w:tc>
      </w:tr>
      <w:tr>
        <w:tc>
          <w:tcPr>
            <w:tcW w:type="dxa" w:w="2041"/>
            <w:vAlign w:val="center"/>
          </w:tcPr>
          <w:p>
            <w:pPr>
              <w:spacing w:before="20" w:after="20"/>
            </w:pPr>
            <w:r>
              <w:rPr>
                <w:rFonts w:ascii="游ゴシック" w:hAnsi="游ゴシック" w:eastAsia="游ゴシック"/>
                <w:b w:val="0"/>
                <w:i w:val="0"/>
                <w:sz w:val="17"/>
              </w:rPr>
              <w:t>放課後等デイサービス</w:t>
            </w:r>
          </w:p>
        </w:tc>
        <w:tc>
          <w:tcPr>
            <w:tcW w:type="dxa" w:w="2268"/>
            <w:vAlign w:val="center"/>
          </w:tcPr>
          <w:p>
            <w:pPr>
              <w:spacing w:before="20" w:after="20"/>
            </w:pPr>
            <w:r>
              <w:rPr>
                <w:rFonts w:ascii="游ゴシック" w:hAnsi="游ゴシック" w:eastAsia="游ゴシック"/>
                <w:b w:val="0"/>
                <w:i w:val="0"/>
                <w:sz w:val="17"/>
              </w:rPr>
              <w:t>31人／93人日</w:t>
            </w:r>
          </w:p>
        </w:tc>
        <w:tc>
          <w:tcPr>
            <w:tcW w:type="dxa" w:w="2268"/>
            <w:vAlign w:val="center"/>
          </w:tcPr>
          <w:p>
            <w:pPr>
              <w:spacing w:before="20" w:after="20"/>
            </w:pPr>
            <w:r>
              <w:rPr>
                <w:rFonts w:ascii="游ゴシック" w:hAnsi="游ゴシック" w:eastAsia="游ゴシック"/>
                <w:b w:val="0"/>
                <w:i w:val="0"/>
                <w:sz w:val="17"/>
              </w:rPr>
              <w:t>391人／23人日</w:t>
            </w:r>
          </w:p>
        </w:tc>
        <w:tc>
          <w:tcPr>
            <w:tcW w:type="dxa" w:w="3175"/>
            <w:vAlign w:val="center"/>
          </w:tcPr>
          <w:p>
            <w:pPr>
              <w:spacing w:before="20" w:after="20"/>
            </w:pPr>
            <w:r>
              <w:rPr>
                <w:rFonts w:ascii="游ゴシック" w:hAnsi="游ゴシック" w:eastAsia="游ゴシック"/>
                <w:b w:val="0"/>
                <w:i w:val="0"/>
                <w:sz w:val="17"/>
              </w:rPr>
              <w:t>「391 人・23 人日」。第6期の実績は31人・93人日。</w:t>
            </w:r>
            <w:r>
              <w:rPr>
                <w:rFonts w:ascii="游ゴシック" w:hAnsi="游ゴシック" w:eastAsia="游ゴシック"/>
                <w:b/>
                <w:i w:val="0"/>
                <w:sz w:val="17"/>
              </w:rPr>
              <w:t>本町の手帳所持者は508人であり、月391人の利用はありえない</w:t>
            </w:r>
          </w:p>
        </w:tc>
      </w:tr>
    </w:tbl>
    <w:p>
      <w:pPr>
        <w:spacing w:after="40"/>
      </w:pPr>
    </w:p>
    <w:p>
      <w:pPr>
        <w:spacing w:before="40" w:after="160"/>
        <w:ind w:left="113"/>
      </w:pPr>
      <w:r>
        <w:rPr>
          <w:rFonts w:ascii="游ゴシック" w:hAnsi="游ゴシック" w:eastAsia="游ゴシック"/>
          <w:b/>
          <w:i w:val="0"/>
          <w:sz w:val="17"/>
        </w:rPr>
        <w:t>※ 人と人日が入れ替わっているとみられます。</w:t>
      </w:r>
      <w:r>
        <w:rPr>
          <w:rFonts w:ascii="游ゴシック" w:hAnsi="游ゴシック" w:eastAsia="游ゴシック"/>
          <w:b/>
          <w:i w:val="0"/>
          <w:sz w:val="17"/>
        </w:rPr>
        <w:t>本町の手帳所持者は508人であり、放課後等デイサービスを月391人が利用することはありえません。</w:t>
      </w:r>
      <w:r>
        <w:rPr>
          <w:rFonts w:ascii="游ゴシック" w:hAnsi="游ゴシック" w:eastAsia="游ゴシック"/>
          <w:b w:val="0"/>
          <w:i w:val="0"/>
          <w:sz w:val="17"/>
        </w:rPr>
        <w:t>当方の読み違いである可能性も残るため、</w:t>
      </w:r>
      <w:r>
        <w:rPr>
          <w:rFonts w:ascii="游ゴシック" w:hAnsi="游ゴシック" w:eastAsia="游ゴシック"/>
          <w:b/>
          <w:i w:val="0"/>
          <w:sz w:val="17"/>
        </w:rPr>
        <w:t>値は前回計画のまま載せ、町に確かめたうえで第8期に用います</w:t>
      </w:r>
      <w:r>
        <w:rPr>
          <w:rFonts w:ascii="游ゴシック" w:hAnsi="游ゴシック" w:eastAsia="游ゴシック"/>
          <w:b w:val="0"/>
          <w:i w:val="0"/>
          <w:sz w:val="17"/>
        </w:rPr>
        <w:t>（【町データ待ち】）。なお、障がい児の表だけ見出しが「◆第7期の目標」となっており、ほかの「◆第7期の見込量」と違います。</w:t>
      </w:r>
    </w:p>
    <w:p>
      <w:pPr>
        <w:spacing w:after="120"/>
      </w:pPr>
    </w:p>
    <w:p>
      <w:pPr>
        <w:spacing w:before="40" w:after="160"/>
        <w:ind w:left="113"/>
      </w:pPr>
      <w:r>
        <w:rPr>
          <w:rFonts w:ascii="游ゴシック" w:hAnsi="游ゴシック" w:eastAsia="游ゴシック"/>
          <w:b/>
          <w:i w:val="0"/>
          <w:sz w:val="17"/>
        </w:rPr>
        <w:t>※ 実績のある福祉型を0とし、実績のない医療型に見込みを立てています。</w:t>
      </w:r>
      <w:r>
        <w:rPr>
          <w:rFonts w:ascii="游ゴシック" w:hAnsi="游ゴシック" w:eastAsia="游ゴシック"/>
          <w:b w:val="0"/>
          <w:i w:val="0"/>
          <w:sz w:val="17"/>
        </w:rPr>
        <w:t>前回計画の本文は「短期入所（医療型）については、今後も利用が見込まれることから、第7期は各年度3人、24人日（一人あたり12人日）として算出しています」としていますが、</w:t>
      </w:r>
      <w:r>
        <w:rPr>
          <w:rFonts w:ascii="游ゴシック" w:hAnsi="游ゴシック" w:eastAsia="游ゴシック"/>
          <w:b/>
          <w:i w:val="0"/>
          <w:sz w:val="17"/>
        </w:rPr>
        <w:t>表は2人</w:t>
      </w:r>
      <w:r>
        <w:rPr>
          <w:rFonts w:ascii="游ゴシック" w:hAnsi="游ゴシック" w:eastAsia="游ゴシック"/>
          <w:b w:val="0"/>
          <w:i w:val="0"/>
          <w:sz w:val="17"/>
        </w:rPr>
        <w:t>です。24人日÷12人日＝2人ですので、</w:t>
      </w:r>
      <w:r>
        <w:rPr>
          <w:rFonts w:ascii="游ゴシック" w:hAnsi="游ゴシック" w:eastAsia="游ゴシック"/>
          <w:b/>
          <w:i w:val="0"/>
          <w:sz w:val="17"/>
        </w:rPr>
        <w:t>本文の3人のほうが表とも計算とも合いません。</w:t>
      </w:r>
      <w:r>
        <w:rPr>
          <w:rFonts w:ascii="游ゴシック" w:hAnsi="游ゴシック" w:eastAsia="游ゴシック"/>
          <w:b/>
          <w:i w:val="0"/>
          <w:sz w:val="17"/>
        </w:rPr>
        <w:t>第8期は、実績のある福祉型に見込みを置きます</w:t>
      </w:r>
      <w:r>
        <w:rPr>
          <w:rFonts w:ascii="游ゴシック" w:hAnsi="游ゴシック" w:eastAsia="游ゴシック"/>
          <w:b w:val="0"/>
          <w:i w:val="0"/>
          <w:sz w:val="17"/>
        </w:rPr>
        <w:t>（【町データ待ち】）。</w:t>
      </w:r>
    </w:p>
    <w:p>
      <w:pPr>
        <w:pStyle w:val="Heading3"/>
        <w:keepNext/>
        <w:spacing w:before="180" w:after="80"/>
      </w:pPr>
      <w:r>
        <w:rPr>
          <w:rFonts w:ascii="游ゴシック" w:hAnsi="游ゴシック" w:eastAsia="游ゴシック"/>
          <w:b/>
          <w:i w:val="0"/>
          <w:color w:val="1F4D78"/>
          <w:sz w:val="22"/>
        </w:rPr>
        <w:t>3　分野別施策の取組状況</w:t>
      </w:r>
    </w:p>
    <w:p>
      <w:pPr>
        <w:spacing w:before="60" w:after="60"/>
      </w:pPr>
      <w:r>
        <w:rPr>
          <w:rFonts w:ascii="游ゴシック" w:hAnsi="游ゴシック" w:eastAsia="游ゴシック"/>
          <w:b w:val="0"/>
          <w:i w:val="0"/>
          <w:sz w:val="21"/>
        </w:rPr>
        <w:t>第2部の各分野の取組状況と課題を整理します。取組の実績は【町データ待ち】です。</w:t>
      </w:r>
    </w:p>
    <w:p>
      <w:pPr>
        <w:pStyle w:val="Heading3"/>
        <w:keepNext/>
        <w:spacing w:before="180" w:after="80"/>
      </w:pPr>
      <w:r>
        <w:rPr>
          <w:rFonts w:ascii="游ゴシック" w:hAnsi="游ゴシック" w:eastAsia="游ゴシック"/>
          <w:b/>
          <w:i w:val="0"/>
          <w:color w:val="1F4D78"/>
          <w:sz w:val="22"/>
        </w:rPr>
        <w:t>4　次期計画に向けた課題</w:t>
      </w:r>
    </w:p>
    <w:p>
      <w:pPr>
        <w:spacing w:before="60" w:after="60"/>
      </w:pPr>
      <w:r>
        <w:rPr>
          <w:rFonts w:ascii="游ゴシック" w:hAnsi="游ゴシック" w:eastAsia="游ゴシック"/>
          <w:b w:val="0"/>
          <w:i w:val="0"/>
          <w:sz w:val="21"/>
        </w:rPr>
        <w:t>前回調査及びヒアリングから、次期計画に向けた課題を次のとおり整理しました。</w:t>
      </w:r>
      <w:r>
        <w:rPr>
          <w:rFonts w:ascii="游ゴシック" w:hAnsi="游ゴシック" w:eastAsia="游ゴシック"/>
          <w:b/>
          <w:i w:val="0"/>
          <w:sz w:val="21"/>
        </w:rPr>
        <w:t>今期調査の結果を受けて確定します。</w:t>
      </w:r>
    </w:p>
    <w:p>
      <w:pPr>
        <w:keepNext/>
        <w:spacing w:before="200" w:after="40"/>
      </w:pPr>
      <w:r>
        <w:rPr>
          <w:rFonts w:ascii="游ゴシック" w:hAnsi="游ゴシック" w:eastAsia="游ゴシック"/>
          <w:b/>
          <w:i w:val="0"/>
          <w:color w:val="1F4D78"/>
          <w:sz w:val="22"/>
        </w:rPr>
        <w:t>【表14】第1部　総論　第3章　現行計画の評価と課題（4）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3515"/>
        <w:gridCol w:w="2835"/>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調査項目</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前回調査の結果</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3402"/>
            <w:vAlign w:val="center"/>
          </w:tcPr>
          <w:p>
            <w:pPr>
              <w:spacing w:before="20" w:after="20"/>
            </w:pPr>
            <w:r>
              <w:rPr>
                <w:rFonts w:ascii="游ゴシック" w:hAnsi="游ゴシック" w:eastAsia="游ゴシック"/>
                <w:b w:val="0"/>
                <w:i w:val="0"/>
                <w:sz w:val="17"/>
              </w:rPr>
              <w:t>地域で生活するために必要な支援（最多）</w:t>
            </w:r>
          </w:p>
        </w:tc>
        <w:tc>
          <w:tcPr>
            <w:tcW w:type="dxa" w:w="3515"/>
            <w:vAlign w:val="center"/>
          </w:tcPr>
          <w:p>
            <w:pPr>
              <w:spacing w:before="20" w:after="20"/>
            </w:pPr>
            <w:r>
              <w:rPr>
                <w:rFonts w:ascii="游ゴシック" w:hAnsi="游ゴシック" w:eastAsia="游ゴシック"/>
                <w:b w:val="0"/>
                <w:i w:val="0"/>
                <w:sz w:val="17"/>
              </w:rPr>
              <w:t>経済的な負担の軽減　54.6％</w:t>
            </w:r>
          </w:p>
        </w:tc>
        <w:tc>
          <w:tcPr>
            <w:tcW w:type="dxa" w:w="2835"/>
            <w:vAlign w:val="center"/>
          </w:tcPr>
          <w:p>
            <w:pPr>
              <w:spacing w:before="20" w:after="20"/>
            </w:pPr>
            <w:r>
              <w:rPr>
                <w:rFonts w:ascii="游ゴシック" w:hAnsi="游ゴシック" w:eastAsia="游ゴシック"/>
                <w:b w:val="0"/>
                <w:i w:val="0"/>
                <w:sz w:val="17"/>
              </w:rPr>
              <w:t>第2部第7章5</w:t>
            </w:r>
          </w:p>
        </w:tc>
      </w:tr>
      <w:tr>
        <w:tc>
          <w:tcPr>
            <w:tcW w:type="dxa" w:w="3402"/>
            <w:vAlign w:val="center"/>
          </w:tcPr>
          <w:p>
            <w:pPr>
              <w:spacing w:before="20" w:after="20"/>
            </w:pPr>
            <w:r>
              <w:rPr>
                <w:rFonts w:ascii="游ゴシック" w:hAnsi="游ゴシック" w:eastAsia="游ゴシック"/>
                <w:b w:val="0"/>
                <w:i w:val="0"/>
                <w:sz w:val="17"/>
              </w:rPr>
              <w:t>外出の目的（最多）</w:t>
            </w:r>
          </w:p>
        </w:tc>
        <w:tc>
          <w:tcPr>
            <w:tcW w:type="dxa" w:w="3515"/>
            <w:vAlign w:val="center"/>
          </w:tcPr>
          <w:p>
            <w:pPr>
              <w:spacing w:before="20" w:after="20"/>
            </w:pPr>
            <w:r>
              <w:rPr>
                <w:rFonts w:ascii="游ゴシック" w:hAnsi="游ゴシック" w:eastAsia="游ゴシック"/>
                <w:b w:val="0"/>
                <w:i w:val="0"/>
                <w:sz w:val="17"/>
              </w:rPr>
              <w:t>医療機関への受診　73.0％</w:t>
            </w:r>
          </w:p>
        </w:tc>
        <w:tc>
          <w:tcPr>
            <w:tcW w:type="dxa" w:w="2835"/>
            <w:vAlign w:val="center"/>
          </w:tcPr>
          <w:p>
            <w:pPr>
              <w:spacing w:before="20" w:after="20"/>
            </w:pPr>
            <w:r>
              <w:rPr>
                <w:rFonts w:ascii="游ゴシック" w:hAnsi="游ゴシック" w:eastAsia="游ゴシック"/>
                <w:b w:val="0"/>
                <w:i w:val="0"/>
                <w:sz w:val="17"/>
              </w:rPr>
              <w:t>第2部第6章2</w:t>
            </w:r>
          </w:p>
        </w:tc>
      </w:tr>
      <w:tr>
        <w:tc>
          <w:tcPr>
            <w:tcW w:type="dxa" w:w="3402"/>
            <w:vAlign w:val="center"/>
          </w:tcPr>
          <w:p>
            <w:pPr>
              <w:spacing w:before="20" w:after="20"/>
            </w:pPr>
            <w:r>
              <w:rPr>
                <w:rFonts w:ascii="游ゴシック" w:hAnsi="游ゴシック" w:eastAsia="游ゴシック"/>
                <w:b w:val="0"/>
                <w:i w:val="0"/>
                <w:sz w:val="17"/>
              </w:rPr>
              <w:t>在宅で医療的なケアを受けている</w:t>
            </w:r>
          </w:p>
        </w:tc>
        <w:tc>
          <w:tcPr>
            <w:tcW w:type="dxa" w:w="3515"/>
            <w:vAlign w:val="center"/>
          </w:tcPr>
          <w:p>
            <w:pPr>
              <w:spacing w:before="20" w:after="20"/>
            </w:pPr>
            <w:r>
              <w:rPr>
                <w:rFonts w:ascii="游ゴシック" w:hAnsi="游ゴシック" w:eastAsia="游ゴシック"/>
                <w:b w:val="0"/>
                <w:i w:val="0"/>
                <w:sz w:val="17"/>
              </w:rPr>
              <w:t>43.2％</w:t>
            </w:r>
          </w:p>
        </w:tc>
        <w:tc>
          <w:tcPr>
            <w:tcW w:type="dxa" w:w="2835"/>
            <w:vAlign w:val="center"/>
          </w:tcPr>
          <w:p>
            <w:pPr>
              <w:spacing w:before="20" w:after="20"/>
            </w:pPr>
            <w:r>
              <w:rPr>
                <w:rFonts w:ascii="游ゴシック" w:hAnsi="游ゴシック" w:eastAsia="游ゴシック"/>
                <w:b w:val="0"/>
                <w:i w:val="0"/>
                <w:sz w:val="17"/>
              </w:rPr>
              <w:t>第2部第6章3</w:t>
            </w:r>
          </w:p>
        </w:tc>
      </w:tr>
      <w:tr>
        <w:tc>
          <w:tcPr>
            <w:tcW w:type="dxa" w:w="3402"/>
            <w:vAlign w:val="center"/>
          </w:tcPr>
          <w:p>
            <w:pPr>
              <w:spacing w:before="20" w:after="20"/>
            </w:pPr>
            <w:r>
              <w:rPr>
                <w:rFonts w:ascii="游ゴシック" w:hAnsi="游ゴシック" w:eastAsia="游ゴシック"/>
                <w:b w:val="0"/>
                <w:i w:val="0"/>
                <w:sz w:val="17"/>
              </w:rPr>
              <w:t>相談相手</w:t>
            </w:r>
          </w:p>
        </w:tc>
        <w:tc>
          <w:tcPr>
            <w:tcW w:type="dxa" w:w="3515"/>
            <w:vAlign w:val="center"/>
          </w:tcPr>
          <w:p>
            <w:pPr>
              <w:spacing w:before="20" w:after="20"/>
            </w:pPr>
            <w:r>
              <w:rPr>
                <w:rFonts w:ascii="游ゴシック" w:hAnsi="游ゴシック" w:eastAsia="游ゴシック"/>
                <w:b w:val="0"/>
                <w:i w:val="0"/>
                <w:sz w:val="17"/>
              </w:rPr>
              <w:t>家族　79.6％／医療職　32.9％</w:t>
            </w:r>
          </w:p>
        </w:tc>
        <w:tc>
          <w:tcPr>
            <w:tcW w:type="dxa" w:w="2835"/>
            <w:vAlign w:val="center"/>
          </w:tcPr>
          <w:p>
            <w:pPr>
              <w:spacing w:before="20" w:after="20"/>
            </w:pPr>
            <w:r>
              <w:rPr>
                <w:rFonts w:ascii="游ゴシック" w:hAnsi="游ゴシック" w:eastAsia="游ゴシック"/>
                <w:b w:val="0"/>
                <w:i w:val="0"/>
                <w:sz w:val="17"/>
              </w:rPr>
              <w:t>第2部第7章1</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3515"/>
            <w:vAlign w:val="center"/>
          </w:tcPr>
          <w:p>
            <w:pPr>
              <w:spacing w:before="20" w:after="20"/>
            </w:pPr>
            <w:r>
              <w:rPr>
                <w:rFonts w:ascii="游ゴシック" w:hAnsi="游ゴシック" w:eastAsia="游ゴシック"/>
                <w:b w:val="0"/>
                <w:i w:val="0"/>
                <w:sz w:val="17"/>
              </w:rPr>
              <w:t>障がいのある方　35.4％／障がいのある子ども　54.5％</w:t>
            </w:r>
          </w:p>
        </w:tc>
        <w:tc>
          <w:tcPr>
            <w:tcW w:type="dxa" w:w="2835"/>
            <w:vAlign w:val="center"/>
          </w:tcPr>
          <w:p>
            <w:pPr>
              <w:spacing w:before="20" w:after="20"/>
            </w:pPr>
            <w:r>
              <w:rPr>
                <w:rFonts w:ascii="游ゴシック" w:hAnsi="游ゴシック" w:eastAsia="游ゴシック"/>
                <w:b w:val="0"/>
                <w:i w:val="0"/>
                <w:sz w:val="17"/>
              </w:rPr>
              <w:t>第2部第5章1</w:t>
            </w:r>
          </w:p>
        </w:tc>
      </w:tr>
      <w:tr>
        <w:tc>
          <w:tcPr>
            <w:tcW w:type="dxa" w:w="3402"/>
            <w:vAlign w:val="center"/>
          </w:tcPr>
          <w:p>
            <w:pPr>
              <w:spacing w:before="20" w:after="20"/>
            </w:pPr>
            <w:r>
              <w:rPr>
                <w:rFonts w:ascii="游ゴシック" w:hAnsi="游ゴシック" w:eastAsia="游ゴシック"/>
                <w:b w:val="0"/>
                <w:i w:val="0"/>
                <w:sz w:val="17"/>
              </w:rPr>
              <w:t>個別避難計画の作成を希望する</w:t>
            </w:r>
          </w:p>
        </w:tc>
        <w:tc>
          <w:tcPr>
            <w:tcW w:type="dxa" w:w="3515"/>
            <w:vAlign w:val="center"/>
          </w:tcPr>
          <w:p>
            <w:pPr>
              <w:spacing w:before="20" w:after="20"/>
            </w:pPr>
            <w:r>
              <w:rPr>
                <w:rFonts w:ascii="游ゴシック" w:hAnsi="游ゴシック" w:eastAsia="游ゴシック"/>
                <w:b w:val="0"/>
                <w:i w:val="0"/>
                <w:sz w:val="17"/>
              </w:rPr>
              <w:t>30.7％／40.9％（同上の別）</w:t>
            </w:r>
          </w:p>
        </w:tc>
        <w:tc>
          <w:tcPr>
            <w:tcW w:type="dxa" w:w="2835"/>
            <w:vAlign w:val="center"/>
          </w:tcPr>
          <w:p>
            <w:pPr>
              <w:spacing w:before="20" w:after="20"/>
            </w:pPr>
            <w:r>
              <w:rPr>
                <w:rFonts w:ascii="游ゴシック" w:hAnsi="游ゴシック" w:eastAsia="游ゴシック"/>
                <w:b w:val="0"/>
                <w:i w:val="0"/>
                <w:sz w:val="17"/>
              </w:rPr>
              <w:t>第2部第5章1</w:t>
            </w:r>
          </w:p>
        </w:tc>
      </w:tr>
      <w:tr>
        <w:tc>
          <w:tcPr>
            <w:tcW w:type="dxa" w:w="3402"/>
            <w:vAlign w:val="center"/>
          </w:tcPr>
          <w:p>
            <w:pPr>
              <w:spacing w:before="20" w:after="20"/>
            </w:pPr>
            <w:r>
              <w:rPr>
                <w:rFonts w:ascii="游ゴシック" w:hAnsi="游ゴシック" w:eastAsia="游ゴシック"/>
                <w:b w:val="0"/>
                <w:i w:val="0"/>
                <w:sz w:val="17"/>
              </w:rPr>
              <w:t>投薬・治療が受けられない不安</w:t>
            </w:r>
          </w:p>
        </w:tc>
        <w:tc>
          <w:tcPr>
            <w:tcW w:type="dxa" w:w="3515"/>
            <w:vAlign w:val="center"/>
          </w:tcPr>
          <w:p>
            <w:pPr>
              <w:spacing w:before="20" w:after="20"/>
            </w:pPr>
            <w:r>
              <w:rPr>
                <w:rFonts w:ascii="游ゴシック" w:hAnsi="游ゴシック" w:eastAsia="游ゴシック"/>
                <w:b w:val="0"/>
                <w:i w:val="0"/>
                <w:sz w:val="17"/>
              </w:rPr>
              <w:t>50.7％</w:t>
            </w:r>
          </w:p>
        </w:tc>
        <w:tc>
          <w:tcPr>
            <w:tcW w:type="dxa" w:w="2835"/>
            <w:vAlign w:val="center"/>
          </w:tcPr>
          <w:p>
            <w:pPr>
              <w:spacing w:before="20" w:after="20"/>
            </w:pPr>
            <w:r>
              <w:rPr>
                <w:rFonts w:ascii="游ゴシック" w:hAnsi="游ゴシック" w:eastAsia="游ゴシック"/>
                <w:b w:val="0"/>
                <w:i w:val="0"/>
                <w:sz w:val="17"/>
              </w:rPr>
              <w:t>第2部第5章1・第6章2</w:t>
            </w:r>
          </w:p>
        </w:tc>
      </w:tr>
      <w:tr>
        <w:tc>
          <w:tcPr>
            <w:tcW w:type="dxa" w:w="3402"/>
            <w:vAlign w:val="center"/>
          </w:tcPr>
          <w:p>
            <w:pPr>
              <w:spacing w:before="20" w:after="20"/>
            </w:pPr>
            <w:r>
              <w:rPr>
                <w:rFonts w:ascii="游ゴシック" w:hAnsi="游ゴシック" w:eastAsia="游ゴシック"/>
                <w:b w:val="0"/>
                <w:i w:val="0"/>
                <w:sz w:val="17"/>
              </w:rPr>
              <w:t>主介助者が70歳以上</w:t>
            </w:r>
          </w:p>
        </w:tc>
        <w:tc>
          <w:tcPr>
            <w:tcW w:type="dxa" w:w="3515"/>
            <w:vAlign w:val="center"/>
          </w:tcPr>
          <w:p>
            <w:pPr>
              <w:spacing w:before="20" w:after="20"/>
            </w:pPr>
            <w:r>
              <w:rPr>
                <w:rFonts w:ascii="游ゴシック" w:hAnsi="游ゴシック" w:eastAsia="游ゴシック"/>
                <w:b w:val="0"/>
                <w:i w:val="0"/>
                <w:sz w:val="17"/>
              </w:rPr>
              <w:t>35.6％</w:t>
            </w:r>
          </w:p>
        </w:tc>
        <w:tc>
          <w:tcPr>
            <w:tcW w:type="dxa" w:w="2835"/>
            <w:vAlign w:val="center"/>
          </w:tcPr>
          <w:p>
            <w:pPr>
              <w:spacing w:before="20" w:after="20"/>
            </w:pPr>
            <w:r>
              <w:rPr>
                <w:rFonts w:ascii="游ゴシック" w:hAnsi="游ゴシック" w:eastAsia="游ゴシック"/>
                <w:b w:val="0"/>
                <w:i w:val="0"/>
                <w:sz w:val="17"/>
              </w:rPr>
              <w:t>第2部第7章4</w:t>
            </w:r>
          </w:p>
        </w:tc>
      </w:tr>
      <w:tr>
        <w:tc>
          <w:tcPr>
            <w:tcW w:type="dxa" w:w="3402"/>
            <w:vAlign w:val="center"/>
          </w:tcPr>
          <w:p>
            <w:pPr>
              <w:spacing w:before="20" w:after="20"/>
            </w:pPr>
            <w:r>
              <w:rPr>
                <w:rFonts w:ascii="游ゴシック" w:hAnsi="游ゴシック" w:eastAsia="游ゴシック"/>
                <w:b w:val="0"/>
                <w:i w:val="0"/>
                <w:sz w:val="17"/>
              </w:rPr>
              <w:t>主介助者の健康状態が「よくない」</w:t>
            </w:r>
          </w:p>
        </w:tc>
        <w:tc>
          <w:tcPr>
            <w:tcW w:type="dxa" w:w="3515"/>
            <w:vAlign w:val="center"/>
          </w:tcPr>
          <w:p>
            <w:pPr>
              <w:spacing w:before="20" w:after="20"/>
            </w:pPr>
            <w:r>
              <w:rPr>
                <w:rFonts w:ascii="游ゴシック" w:hAnsi="游ゴシック" w:eastAsia="游ゴシック"/>
                <w:b w:val="0"/>
                <w:i w:val="0"/>
                <w:sz w:val="17"/>
              </w:rPr>
              <w:t>19.8％</w:t>
            </w:r>
          </w:p>
        </w:tc>
        <w:tc>
          <w:tcPr>
            <w:tcW w:type="dxa" w:w="2835"/>
            <w:vAlign w:val="center"/>
          </w:tcPr>
          <w:p>
            <w:pPr>
              <w:spacing w:before="20" w:after="20"/>
            </w:pPr>
            <w:r>
              <w:rPr>
                <w:rFonts w:ascii="游ゴシック" w:hAnsi="游ゴシック" w:eastAsia="游ゴシック"/>
                <w:b w:val="0"/>
                <w:i w:val="0"/>
                <w:sz w:val="17"/>
              </w:rPr>
              <w:t>第2部第7章4</w:t>
            </w:r>
          </w:p>
        </w:tc>
      </w:tr>
      <w:tr>
        <w:tc>
          <w:tcPr>
            <w:tcW w:type="dxa" w:w="3402"/>
            <w:vAlign w:val="center"/>
          </w:tcPr>
          <w:p>
            <w:pPr>
              <w:spacing w:before="20" w:after="20"/>
            </w:pPr>
            <w:r>
              <w:rPr>
                <w:rFonts w:ascii="游ゴシック" w:hAnsi="游ゴシック" w:eastAsia="游ゴシック"/>
                <w:b w:val="0"/>
                <w:i w:val="0"/>
                <w:sz w:val="17"/>
              </w:rPr>
              <w:t>障がい児の主介助者が女性</w:t>
            </w:r>
          </w:p>
        </w:tc>
        <w:tc>
          <w:tcPr>
            <w:tcW w:type="dxa" w:w="3515"/>
            <w:vAlign w:val="center"/>
          </w:tcPr>
          <w:p>
            <w:pPr>
              <w:spacing w:before="20" w:after="20"/>
            </w:pPr>
            <w:r>
              <w:rPr>
                <w:rFonts w:ascii="游ゴシック" w:hAnsi="游ゴシック" w:eastAsia="游ゴシック"/>
                <w:b w:val="0"/>
                <w:i w:val="0"/>
                <w:sz w:val="17"/>
              </w:rPr>
              <w:t>94.1％</w:t>
            </w:r>
          </w:p>
        </w:tc>
        <w:tc>
          <w:tcPr>
            <w:tcW w:type="dxa" w:w="2835"/>
            <w:vAlign w:val="center"/>
          </w:tcPr>
          <w:p>
            <w:pPr>
              <w:spacing w:before="20" w:after="20"/>
            </w:pPr>
            <w:r>
              <w:rPr>
                <w:rFonts w:ascii="游ゴシック" w:hAnsi="游ゴシック" w:eastAsia="游ゴシック"/>
                <w:b w:val="0"/>
                <w:i w:val="0"/>
                <w:sz w:val="17"/>
              </w:rPr>
              <w:t>第2部第7章4</w:t>
            </w:r>
          </w:p>
        </w:tc>
      </w:tr>
      <w:tr>
        <w:tc>
          <w:tcPr>
            <w:tcW w:type="dxa" w:w="3402"/>
            <w:vAlign w:val="center"/>
          </w:tcPr>
          <w:p>
            <w:pPr>
              <w:spacing w:before="20" w:after="20"/>
            </w:pPr>
            <w:r>
              <w:rPr>
                <w:rFonts w:ascii="游ゴシック" w:hAnsi="游ゴシック" w:eastAsia="游ゴシック"/>
                <w:b w:val="0"/>
                <w:i w:val="0"/>
                <w:sz w:val="17"/>
              </w:rPr>
              <w:t>成年後見制度を「名前も内容も知らない」</w:t>
            </w:r>
          </w:p>
        </w:tc>
        <w:tc>
          <w:tcPr>
            <w:tcW w:type="dxa" w:w="3515"/>
            <w:vAlign w:val="center"/>
          </w:tcPr>
          <w:p>
            <w:pPr>
              <w:spacing w:before="20" w:after="20"/>
            </w:pPr>
            <w:r>
              <w:rPr>
                <w:rFonts w:ascii="游ゴシック" w:hAnsi="游ゴシック" w:eastAsia="游ゴシック"/>
                <w:b w:val="0"/>
                <w:i w:val="0"/>
                <w:sz w:val="17"/>
              </w:rPr>
              <w:t>約4割</w:t>
            </w:r>
          </w:p>
        </w:tc>
        <w:tc>
          <w:tcPr>
            <w:tcW w:type="dxa" w:w="2835"/>
            <w:vAlign w:val="center"/>
          </w:tcPr>
          <w:p>
            <w:pPr>
              <w:spacing w:before="20" w:after="20"/>
            </w:pPr>
            <w:r>
              <w:rPr>
                <w:rFonts w:ascii="游ゴシック" w:hAnsi="游ゴシック" w:eastAsia="游ゴシック"/>
                <w:b w:val="0"/>
                <w:i w:val="0"/>
                <w:sz w:val="17"/>
              </w:rPr>
              <w:t>第2部第2章1</w:t>
            </w:r>
          </w:p>
        </w:tc>
      </w:tr>
      <w:tr>
        <w:tc>
          <w:tcPr>
            <w:tcW w:type="dxa" w:w="3402"/>
            <w:vAlign w:val="center"/>
          </w:tcPr>
          <w:p>
            <w:pPr>
              <w:spacing w:before="20" w:after="20"/>
            </w:pPr>
            <w:r>
              <w:rPr>
                <w:rFonts w:ascii="游ゴシック" w:hAnsi="游ゴシック" w:eastAsia="游ゴシック"/>
                <w:b w:val="0"/>
                <w:i w:val="0"/>
                <w:sz w:val="17"/>
              </w:rPr>
              <w:t>差別や嫌な思いの経験</w:t>
            </w:r>
          </w:p>
        </w:tc>
        <w:tc>
          <w:tcPr>
            <w:tcW w:type="dxa" w:w="3515"/>
            <w:vAlign w:val="center"/>
          </w:tcPr>
          <w:p>
            <w:pPr>
              <w:spacing w:before="20" w:after="20"/>
            </w:pPr>
            <w:r>
              <w:rPr>
                <w:rFonts w:ascii="游ゴシック" w:hAnsi="游ゴシック" w:eastAsia="游ゴシック"/>
                <w:b w:val="0"/>
                <w:i w:val="0"/>
                <w:sz w:val="17"/>
              </w:rPr>
              <w:t>障がいのある方　約3割／障がいのある子ども　約7割／精神障がいのある方　約6割</w:t>
            </w:r>
          </w:p>
        </w:tc>
        <w:tc>
          <w:tcPr>
            <w:tcW w:type="dxa" w:w="2835"/>
            <w:vAlign w:val="center"/>
          </w:tcPr>
          <w:p>
            <w:pPr>
              <w:spacing w:before="20" w:after="20"/>
            </w:pPr>
            <w:r>
              <w:rPr>
                <w:rFonts w:ascii="游ゴシック" w:hAnsi="游ゴシック" w:eastAsia="游ゴシック"/>
                <w:b w:val="0"/>
                <w:i w:val="0"/>
                <w:sz w:val="17"/>
              </w:rPr>
              <w:t>第2部第2章2</w:t>
            </w:r>
          </w:p>
        </w:tc>
      </w:tr>
      <w:tr>
        <w:tc>
          <w:tcPr>
            <w:tcW w:type="dxa" w:w="3402"/>
            <w:vAlign w:val="center"/>
          </w:tcPr>
          <w:p>
            <w:pPr>
              <w:spacing w:before="20" w:after="20"/>
            </w:pPr>
            <w:r>
              <w:rPr>
                <w:rFonts w:ascii="游ゴシック" w:hAnsi="游ゴシック" w:eastAsia="游ゴシック"/>
                <w:b w:val="0"/>
                <w:i w:val="0"/>
                <w:sz w:val="17"/>
              </w:rPr>
              <w:t>外出時の困りごと（精神障がいのある方の費用）</w:t>
            </w:r>
          </w:p>
        </w:tc>
        <w:tc>
          <w:tcPr>
            <w:tcW w:type="dxa" w:w="3515"/>
            <w:vAlign w:val="center"/>
          </w:tcPr>
          <w:p>
            <w:pPr>
              <w:spacing w:before="20" w:after="20"/>
            </w:pPr>
            <w:r>
              <w:rPr>
                <w:rFonts w:ascii="游ゴシック" w:hAnsi="游ゴシック" w:eastAsia="游ゴシック"/>
                <w:b w:val="0"/>
                <w:i w:val="0"/>
                <w:sz w:val="17"/>
              </w:rPr>
              <w:t>44.1％</w:t>
            </w:r>
          </w:p>
        </w:tc>
        <w:tc>
          <w:tcPr>
            <w:tcW w:type="dxa" w:w="2835"/>
            <w:vAlign w:val="center"/>
          </w:tcPr>
          <w:p>
            <w:pPr>
              <w:spacing w:before="20" w:after="20"/>
            </w:pPr>
            <w:r>
              <w:rPr>
                <w:rFonts w:ascii="游ゴシック" w:hAnsi="游ゴシック" w:eastAsia="游ゴシック"/>
                <w:b w:val="0"/>
                <w:i w:val="0"/>
                <w:sz w:val="17"/>
              </w:rPr>
              <w:t>第2部第3章2</w:t>
            </w:r>
          </w:p>
        </w:tc>
      </w:tr>
      <w:tr>
        <w:tc>
          <w:tcPr>
            <w:tcW w:type="dxa" w:w="3402"/>
            <w:vAlign w:val="center"/>
          </w:tcPr>
          <w:p>
            <w:pPr>
              <w:spacing w:before="20" w:after="20"/>
            </w:pPr>
            <w:r>
              <w:rPr>
                <w:rFonts w:ascii="游ゴシック" w:hAnsi="游ゴシック" w:eastAsia="游ゴシック"/>
                <w:b w:val="0"/>
                <w:i w:val="0"/>
                <w:sz w:val="17"/>
              </w:rPr>
              <w:t>障がい児の今後の利用意向</w:t>
            </w:r>
          </w:p>
        </w:tc>
        <w:tc>
          <w:tcPr>
            <w:tcW w:type="dxa" w:w="3515"/>
            <w:vAlign w:val="center"/>
          </w:tcPr>
          <w:p>
            <w:pPr>
              <w:spacing w:before="20" w:after="20"/>
            </w:pPr>
            <w:r>
              <w:rPr>
                <w:rFonts w:ascii="游ゴシック" w:hAnsi="游ゴシック" w:eastAsia="游ゴシック"/>
                <w:b w:val="0"/>
                <w:i w:val="0"/>
                <w:sz w:val="17"/>
              </w:rPr>
              <w:t>就労系　63.6％／放課後等デイサービス　63.6％</w:t>
            </w:r>
          </w:p>
        </w:tc>
        <w:tc>
          <w:tcPr>
            <w:tcW w:type="dxa" w:w="2835"/>
            <w:vAlign w:val="center"/>
          </w:tcPr>
          <w:p>
            <w:pPr>
              <w:spacing w:before="20" w:after="20"/>
            </w:pPr>
            <w:r>
              <w:rPr>
                <w:rFonts w:ascii="游ゴシック" w:hAnsi="游ゴシック" w:eastAsia="游ゴシック"/>
                <w:b w:val="0"/>
                <w:i w:val="0"/>
                <w:sz w:val="17"/>
              </w:rPr>
              <w:t>第2部第8章4・第9章1</w:t>
            </w:r>
          </w:p>
        </w:tc>
      </w:tr>
      <w:tr>
        <w:tc>
          <w:tcPr>
            <w:tcW w:type="dxa" w:w="3402"/>
            <w:vAlign w:val="center"/>
          </w:tcPr>
          <w:p>
            <w:pPr>
              <w:spacing w:before="20" w:after="20"/>
            </w:pPr>
            <w:r>
              <w:rPr>
                <w:rFonts w:ascii="游ゴシック" w:hAnsi="游ゴシック" w:eastAsia="游ゴシック"/>
                <w:b w:val="0"/>
                <w:i w:val="0"/>
                <w:sz w:val="17"/>
              </w:rPr>
              <w:t>障がい児の進路希望（最多）</w:t>
            </w:r>
          </w:p>
        </w:tc>
        <w:tc>
          <w:tcPr>
            <w:tcW w:type="dxa" w:w="3515"/>
            <w:vAlign w:val="center"/>
          </w:tcPr>
          <w:p>
            <w:pPr>
              <w:spacing w:before="20" w:after="20"/>
            </w:pPr>
            <w:r>
              <w:rPr>
                <w:rFonts w:ascii="游ゴシック" w:hAnsi="游ゴシック" w:eastAsia="游ゴシック"/>
                <w:b w:val="0"/>
                <w:i w:val="0"/>
                <w:sz w:val="17"/>
              </w:rPr>
              <w:t>特別支援学校高等部　45.0％</w:t>
            </w:r>
          </w:p>
        </w:tc>
        <w:tc>
          <w:tcPr>
            <w:tcW w:type="dxa" w:w="2835"/>
            <w:vAlign w:val="center"/>
          </w:tcPr>
          <w:p>
            <w:pPr>
              <w:spacing w:before="20" w:after="20"/>
            </w:pPr>
            <w:r>
              <w:rPr>
                <w:rFonts w:ascii="游ゴシック" w:hAnsi="游ゴシック" w:eastAsia="游ゴシック"/>
                <w:b w:val="0"/>
                <w:i w:val="0"/>
                <w:sz w:val="17"/>
              </w:rPr>
              <w:t>第2部第8章4</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資料：おのまち障がい者基本計画・第7期障がい福祉計画・第3期障がい児福祉計画（令和6年3月）策定時の調査。</w:t>
      </w:r>
      <w:r>
        <w:rPr>
          <w:rFonts w:ascii="游ゴシック" w:hAnsi="游ゴシック" w:eastAsia="游ゴシック"/>
          <w:b/>
          <w:i w:val="0"/>
          <w:sz w:val="17"/>
        </w:rPr>
        <w:t>今期調査の結果は【町データ待ち】であり、受領後に本表を今期の値に置き換えます。</w:t>
      </w:r>
    </w:p>
    <w:p>
      <w:r>
        <w:br w:type="page"/>
      </w:r>
    </w:p>
    <w:p>
      <w:pPr>
        <w:pStyle w:val="Heading1"/>
        <w:keepNext/>
        <w:spacing w:before="240" w:after="100"/>
      </w:pPr>
      <w:bookmarkStart w:id="105" w:name="_Toc_005"/>
      <w:r>
        <w:rPr>
          <w:rFonts w:ascii="游ゴシック" w:hAnsi="游ゴシック" w:eastAsia="游ゴシック"/>
          <w:b/>
          <w:i w:val="0"/>
          <w:color w:val="2E74B5"/>
          <w:sz w:val="30"/>
        </w:rPr>
        <w:t>第2部　おのまち障がい者計画</w:t>
      </w:r>
      <w:bookmarkEnd w:id="105"/>
    </w:p>
    <w:p>
      <w:pPr>
        <w:spacing w:before="60" w:after="60"/>
      </w:pPr>
      <w:r>
        <w:rPr>
          <w:rFonts w:ascii="游ゴシック" w:hAnsi="游ゴシック" w:eastAsia="游ゴシック"/>
          <w:b/>
          <w:i w:val="0"/>
          <w:sz w:val="21"/>
        </w:rPr>
        <w:t>本部は、障害者基本法第11条第3項に基づく市町村障害者計画です。</w:t>
      </w:r>
      <w:r>
        <w:rPr>
          <w:rFonts w:ascii="游ゴシック" w:hAnsi="游ゴシック" w:eastAsia="游ゴシック"/>
          <w:b w:val="0"/>
          <w:i w:val="0"/>
          <w:sz w:val="21"/>
        </w:rPr>
        <w:t>現行計画の分野を継承し、10の章により施策の方向を示します。各章は「現状と課題」と「施策の方向」で構成します。</w:t>
      </w:r>
    </w:p>
    <w:p>
      <w:pPr>
        <w:keepNext/>
        <w:spacing w:before="200" w:after="40"/>
      </w:pPr>
      <w:r>
        <w:rPr>
          <w:rFonts w:ascii="游ゴシック" w:hAnsi="游ゴシック" w:eastAsia="游ゴシック"/>
          <w:b/>
          <w:i w:val="0"/>
          <w:color w:val="1F4D78"/>
          <w:sz w:val="22"/>
        </w:rPr>
        <w:t>【表15】第2部　おのまち障がい者計画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6236"/>
        <w:gridCol w:w="204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節数</w:t>
            </w:r>
          </w:p>
        </w:tc>
      </w:tr>
      <w:tr>
        <w:tc>
          <w:tcPr>
            <w:tcW w:type="dxa" w:w="1474"/>
            <w:vAlign w:val="center"/>
          </w:tcPr>
          <w:p>
            <w:pPr>
              <w:spacing w:before="20" w:after="20"/>
            </w:pPr>
            <w:r>
              <w:rPr>
                <w:rFonts w:ascii="游ゴシック" w:hAnsi="游ゴシック" w:eastAsia="游ゴシック"/>
                <w:b w:val="0"/>
                <w:i w:val="0"/>
                <w:sz w:val="17"/>
              </w:rPr>
              <w:t>第1章</w:t>
            </w:r>
          </w:p>
        </w:tc>
        <w:tc>
          <w:tcPr>
            <w:tcW w:type="dxa" w:w="6236"/>
            <w:vAlign w:val="center"/>
          </w:tcPr>
          <w:p>
            <w:pPr>
              <w:spacing w:before="20" w:after="20"/>
            </w:pPr>
            <w:r>
              <w:rPr>
                <w:rFonts w:ascii="游ゴシック" w:hAnsi="游ゴシック" w:eastAsia="游ゴシック"/>
                <w:b w:val="0"/>
                <w:i w:val="0"/>
                <w:sz w:val="17"/>
              </w:rPr>
              <w:t>基本的な考え方</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第2章</w:t>
            </w:r>
          </w:p>
        </w:tc>
        <w:tc>
          <w:tcPr>
            <w:tcW w:type="dxa" w:w="6236"/>
            <w:vAlign w:val="center"/>
          </w:tcPr>
          <w:p>
            <w:pPr>
              <w:spacing w:before="20" w:after="20"/>
            </w:pPr>
            <w:r>
              <w:rPr>
                <w:rFonts w:ascii="游ゴシック" w:hAnsi="游ゴシック" w:eastAsia="游ゴシック"/>
                <w:b w:val="0"/>
                <w:i w:val="0"/>
                <w:sz w:val="17"/>
              </w:rPr>
              <w:t>差別解消・権利擁護の推進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第3章</w:t>
            </w:r>
          </w:p>
        </w:tc>
        <w:tc>
          <w:tcPr>
            <w:tcW w:type="dxa" w:w="6236"/>
            <w:vAlign w:val="center"/>
          </w:tcPr>
          <w:p>
            <w:pPr>
              <w:spacing w:before="20" w:after="20"/>
            </w:pPr>
            <w:r>
              <w:rPr>
                <w:rFonts w:ascii="游ゴシック" w:hAnsi="游ゴシック" w:eastAsia="游ゴシック"/>
                <w:b w:val="0"/>
                <w:i w:val="0"/>
                <w:sz w:val="17"/>
              </w:rPr>
              <w:t>安全・安心な生活環境の整備</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第4章</w:t>
            </w:r>
          </w:p>
        </w:tc>
        <w:tc>
          <w:tcPr>
            <w:tcW w:type="dxa" w:w="6236"/>
            <w:vAlign w:val="center"/>
          </w:tcPr>
          <w:p>
            <w:pPr>
              <w:spacing w:before="20" w:after="20"/>
            </w:pPr>
            <w:r>
              <w:rPr>
                <w:rFonts w:ascii="游ゴシック" w:hAnsi="游ゴシック" w:eastAsia="游ゴシック"/>
                <w:b w:val="0"/>
                <w:i w:val="0"/>
                <w:sz w:val="17"/>
              </w:rPr>
              <w:t>情報アクセシビリティの向上及び意思疎通支援の充実</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第5章</w:t>
            </w:r>
          </w:p>
        </w:tc>
        <w:tc>
          <w:tcPr>
            <w:tcW w:type="dxa" w:w="6236"/>
            <w:vAlign w:val="center"/>
          </w:tcPr>
          <w:p>
            <w:pPr>
              <w:spacing w:before="20" w:after="20"/>
            </w:pPr>
            <w:r>
              <w:rPr>
                <w:rFonts w:ascii="游ゴシック" w:hAnsi="游ゴシック" w:eastAsia="游ゴシック"/>
                <w:b w:val="0"/>
                <w:i w:val="0"/>
                <w:sz w:val="17"/>
              </w:rPr>
              <w:t>防犯・防災の推進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第6章</w:t>
            </w:r>
          </w:p>
        </w:tc>
        <w:tc>
          <w:tcPr>
            <w:tcW w:type="dxa" w:w="6236"/>
            <w:vAlign w:val="center"/>
          </w:tcPr>
          <w:p>
            <w:pPr>
              <w:spacing w:before="20" w:after="20"/>
            </w:pPr>
            <w:r>
              <w:rPr>
                <w:rFonts w:ascii="游ゴシック" w:hAnsi="游ゴシック" w:eastAsia="游ゴシック"/>
                <w:b w:val="0"/>
                <w:i w:val="0"/>
                <w:sz w:val="17"/>
              </w:rPr>
              <w:t>保健・医療の充実</w:t>
            </w:r>
          </w:p>
        </w:tc>
        <w:tc>
          <w:tcPr>
            <w:tcW w:type="dxa" w:w="2041"/>
            <w:vAlign w:val="center"/>
          </w:tcPr>
          <w:p>
            <w:pPr>
              <w:spacing w:before="20" w:after="20"/>
            </w:pPr>
            <w:r>
              <w:rPr>
                <w:rFonts w:ascii="游ゴシック" w:hAnsi="游ゴシック" w:eastAsia="游ゴシック"/>
                <w:b w:val="0"/>
                <w:i w:val="0"/>
                <w:sz w:val="17"/>
              </w:rPr>
              <w:t>5節</w:t>
            </w:r>
          </w:p>
        </w:tc>
      </w:tr>
      <w:tr>
        <w:tc>
          <w:tcPr>
            <w:tcW w:type="dxa" w:w="1474"/>
            <w:vAlign w:val="center"/>
          </w:tcPr>
          <w:p>
            <w:pPr>
              <w:spacing w:before="20" w:after="20"/>
            </w:pPr>
            <w:r>
              <w:rPr>
                <w:rFonts w:ascii="游ゴシック" w:hAnsi="游ゴシック" w:eastAsia="游ゴシック"/>
                <w:b w:val="0"/>
                <w:i w:val="0"/>
                <w:sz w:val="17"/>
              </w:rPr>
              <w:t>第7章</w:t>
            </w:r>
          </w:p>
        </w:tc>
        <w:tc>
          <w:tcPr>
            <w:tcW w:type="dxa" w:w="6236"/>
            <w:vAlign w:val="center"/>
          </w:tcPr>
          <w:p>
            <w:pPr>
              <w:spacing w:before="20" w:after="20"/>
            </w:pPr>
            <w:r>
              <w:rPr>
                <w:rFonts w:ascii="游ゴシック" w:hAnsi="游ゴシック" w:eastAsia="游ゴシック"/>
                <w:b w:val="0"/>
                <w:i w:val="0"/>
                <w:sz w:val="17"/>
              </w:rPr>
              <w:t>自立生活支援・相談支援体制の充実</w:t>
            </w:r>
          </w:p>
        </w:tc>
        <w:tc>
          <w:tcPr>
            <w:tcW w:type="dxa" w:w="2041"/>
            <w:vAlign w:val="center"/>
          </w:tcPr>
          <w:p>
            <w:pPr>
              <w:spacing w:before="20" w:after="20"/>
            </w:pPr>
            <w:r>
              <w:rPr>
                <w:rFonts w:ascii="游ゴシック" w:hAnsi="游ゴシック" w:eastAsia="游ゴシック"/>
                <w:b w:val="0"/>
                <w:i w:val="0"/>
                <w:sz w:val="17"/>
              </w:rPr>
              <w:t>6節</w:t>
            </w:r>
          </w:p>
        </w:tc>
      </w:tr>
      <w:tr>
        <w:tc>
          <w:tcPr>
            <w:tcW w:type="dxa" w:w="1474"/>
            <w:vAlign w:val="center"/>
          </w:tcPr>
          <w:p>
            <w:pPr>
              <w:spacing w:before="20" w:after="20"/>
            </w:pPr>
            <w:r>
              <w:rPr>
                <w:rFonts w:ascii="游ゴシック" w:hAnsi="游ゴシック" w:eastAsia="游ゴシック"/>
                <w:b w:val="0"/>
                <w:i w:val="0"/>
                <w:sz w:val="17"/>
              </w:rPr>
              <w:t>第8章</w:t>
            </w:r>
          </w:p>
        </w:tc>
        <w:tc>
          <w:tcPr>
            <w:tcW w:type="dxa" w:w="6236"/>
            <w:vAlign w:val="center"/>
          </w:tcPr>
          <w:p>
            <w:pPr>
              <w:spacing w:before="20" w:after="20"/>
            </w:pPr>
            <w:r>
              <w:rPr>
                <w:rFonts w:ascii="游ゴシック" w:hAnsi="游ゴシック" w:eastAsia="游ゴシック"/>
                <w:b w:val="0"/>
                <w:i w:val="0"/>
                <w:sz w:val="17"/>
              </w:rPr>
              <w:t>教育の振興</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keepNext/>
              <w:spacing w:before="20" w:after="20"/>
            </w:pPr>
            <w:r>
              <w:rPr>
                <w:rFonts w:ascii="游ゴシック" w:hAnsi="游ゴシック" w:eastAsia="游ゴシック"/>
                <w:b w:val="0"/>
                <w:i w:val="0"/>
                <w:sz w:val="17"/>
              </w:rPr>
              <w:t>第9章</w:t>
            </w:r>
          </w:p>
        </w:tc>
        <w:tc>
          <w:tcPr>
            <w:tcW w:type="dxa" w:w="6236"/>
            <w:vAlign w:val="center"/>
          </w:tcPr>
          <w:p>
            <w:pPr>
              <w:keepNext/>
              <w:spacing w:before="20" w:after="20"/>
            </w:pPr>
            <w:r>
              <w:rPr>
                <w:rFonts w:ascii="游ゴシック" w:hAnsi="游ゴシック" w:eastAsia="游ゴシック"/>
                <w:b w:val="0"/>
                <w:i w:val="0"/>
                <w:sz w:val="17"/>
              </w:rPr>
              <w:t>雇用・就業、経済的自立の支援</w:t>
            </w:r>
          </w:p>
        </w:tc>
        <w:tc>
          <w:tcPr>
            <w:tcW w:type="dxa" w:w="2041"/>
            <w:vAlign w:val="center"/>
          </w:tcPr>
          <w:p>
            <w:pPr>
              <w:keepNext/>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第10章</w:t>
            </w:r>
          </w:p>
        </w:tc>
        <w:tc>
          <w:tcPr>
            <w:tcW w:type="dxa" w:w="6236"/>
            <w:vAlign w:val="center"/>
          </w:tcPr>
          <w:p>
            <w:pPr>
              <w:spacing w:before="20" w:after="20"/>
            </w:pPr>
            <w:r>
              <w:rPr>
                <w:rFonts w:ascii="游ゴシック" w:hAnsi="游ゴシック" w:eastAsia="游ゴシック"/>
                <w:b w:val="0"/>
                <w:i w:val="0"/>
                <w:sz w:val="17"/>
              </w:rPr>
              <w:t>文化芸術活動・スポーツ等の振興</w:t>
            </w:r>
          </w:p>
        </w:tc>
        <w:tc>
          <w:tcPr>
            <w:tcW w:type="dxa" w:w="2041"/>
            <w:vAlign w:val="center"/>
          </w:tcPr>
          <w:p>
            <w:pPr>
              <w:spacing w:before="20" w:after="20"/>
            </w:pPr>
            <w:r>
              <w:rPr>
                <w:rFonts w:ascii="游ゴシック" w:hAnsi="游ゴシック" w:eastAsia="游ゴシック"/>
                <w:b w:val="0"/>
                <w:i w:val="0"/>
                <w:sz w:val="17"/>
              </w:rPr>
              <w:t>3節</w:t>
            </w:r>
          </w:p>
        </w:tc>
      </w:tr>
    </w:tbl>
    <w:p>
      <w:pPr>
        <w:spacing w:after="40"/>
      </w:pPr>
    </w:p>
    <w:p>
      <w:r>
        <w:br w:type="page"/>
      </w:r>
    </w:p>
    <w:p>
      <w:pPr>
        <w:pStyle w:val="Heading2"/>
        <w:keepNext/>
        <w:spacing w:before="180" w:after="100"/>
      </w:pPr>
      <w:bookmarkStart w:id="106" w:name="_Toc_006"/>
      <w:r>
        <w:rPr>
          <w:rFonts w:ascii="游ゴシック" w:hAnsi="游ゴシック" w:eastAsia="游ゴシック"/>
          <w:b/>
          <w:i w:val="0"/>
          <w:color w:val="2E74B5"/>
          <w:sz w:val="25"/>
        </w:rPr>
        <w:t>第1章　基本的な考え方</w:t>
      </w:r>
      <w:bookmarkEnd w:id="106"/>
    </w:p>
    <w:p>
      <w:pPr>
        <w:pStyle w:val="Heading3"/>
        <w:keepNext/>
        <w:spacing w:before="180" w:after="80"/>
      </w:pPr>
      <w:r>
        <w:rPr>
          <w:rFonts w:ascii="游ゴシック" w:hAnsi="游ゴシック" w:eastAsia="游ゴシック"/>
          <w:b/>
          <w:i w:val="0"/>
          <w:color w:val="1F4D78"/>
          <w:sz w:val="22"/>
        </w:rPr>
        <w:t>1　基本理念</w:t>
      </w:r>
    </w:p>
    <w:p>
      <w:pPr>
        <w:spacing w:before="60" w:after="60"/>
      </w:pPr>
      <w:r>
        <w:rPr>
          <w:rFonts w:ascii="游ゴシック" w:hAnsi="游ゴシック" w:eastAsia="游ゴシック"/>
          <w:b/>
          <w:i w:val="0"/>
          <w:sz w:val="21"/>
        </w:rPr>
        <w:t>基本理念は、現行計画の理念を基本としつつ、小野町自立支援協議会にお諮りして定めます（【協議会で設定】）。</w:t>
      </w:r>
    </w:p>
    <w:p>
      <w:pPr>
        <w:pStyle w:val="Heading3"/>
        <w:keepNext/>
        <w:spacing w:before="180" w:after="80"/>
      </w:pPr>
      <w:r>
        <w:rPr>
          <w:rFonts w:ascii="游ゴシック" w:hAnsi="游ゴシック" w:eastAsia="游ゴシック"/>
          <w:b/>
          <w:i w:val="0"/>
          <w:color w:val="1F4D78"/>
          <w:sz w:val="22"/>
        </w:rPr>
        <w:t>2　基本目標</w:t>
      </w:r>
    </w:p>
    <w:p>
      <w:pPr>
        <w:spacing w:before="60" w:after="60"/>
      </w:pPr>
      <w:r>
        <w:rPr>
          <w:rFonts w:ascii="游ゴシック" w:hAnsi="游ゴシック" w:eastAsia="游ゴシック"/>
          <w:b w:val="0"/>
          <w:i w:val="0"/>
          <w:sz w:val="21"/>
        </w:rPr>
        <w:t>基本目標は【協議会で設定】です。</w:t>
      </w:r>
    </w:p>
    <w:p>
      <w:pPr>
        <w:pStyle w:val="Heading3"/>
        <w:keepNext/>
        <w:spacing w:before="180" w:after="80"/>
      </w:pPr>
      <w:r>
        <w:rPr>
          <w:rFonts w:ascii="游ゴシック" w:hAnsi="游ゴシック" w:eastAsia="游ゴシック"/>
          <w:b/>
          <w:i w:val="0"/>
          <w:color w:val="1F4D78"/>
          <w:sz w:val="22"/>
        </w:rPr>
        <w:t>3　施策体系</w:t>
      </w:r>
    </w:p>
    <w:p>
      <w:pPr>
        <w:spacing w:before="60" w:after="60"/>
      </w:pPr>
      <w:r>
        <w:rPr>
          <w:rFonts w:ascii="游ゴシック" w:hAnsi="游ゴシック" w:eastAsia="游ゴシック"/>
          <w:b w:val="0"/>
          <w:i w:val="0"/>
          <w:sz w:val="21"/>
        </w:rPr>
        <w:t>施策体系は、本部の第2章から第10章までの9分野と、第3部の成果目標・見込量を対応させた形で示します（【協議会で設定】）。</w:t>
      </w:r>
    </w:p>
    <w:p>
      <w:pPr>
        <w:pStyle w:val="Heading3"/>
        <w:keepNext/>
        <w:spacing w:before="180" w:after="80"/>
      </w:pPr>
      <w:r>
        <w:rPr>
          <w:rFonts w:ascii="游ゴシック" w:hAnsi="游ゴシック" w:eastAsia="游ゴシック"/>
          <w:b/>
          <w:i w:val="0"/>
          <w:color w:val="1F4D78"/>
          <w:sz w:val="22"/>
        </w:rPr>
        <w:t>4　横断的視点</w:t>
      </w:r>
    </w:p>
    <w:p>
      <w:pPr>
        <w:spacing w:before="60" w:after="60"/>
      </w:pPr>
      <w:r>
        <w:rPr>
          <w:rFonts w:ascii="游ゴシック" w:hAnsi="游ゴシック" w:eastAsia="游ゴシック"/>
          <w:b w:val="0"/>
          <w:i w:val="0"/>
          <w:sz w:val="21"/>
        </w:rPr>
        <w:t>次の視点を、すべての分野に通じるものとして置きます。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障がいのある方の意思の尊重と意思決定支援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障がいの特性に応じた配慮</w:t>
      </w:r>
      <w:r>
        <w:rPr>
          <w:rFonts w:ascii="游ゴシック" w:hAnsi="游ゴシック" w:eastAsia="游ゴシック"/>
          <w:b w:val="0"/>
          <w:i w:val="0"/>
          <w:sz w:val="21"/>
        </w:rPr>
        <w:t>（身体・知的・精神・発達・難病・高次脳機能障がい）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ライフステージを通じた切れ目のない支援</w:t>
      </w:r>
      <w:r>
        <w:rPr>
          <w:rFonts w:ascii="游ゴシック" w:hAnsi="游ゴシック" w:eastAsia="游ゴシック"/>
          <w:b w:val="0"/>
          <w:i w:val="0"/>
          <w:sz w:val="21"/>
        </w:rPr>
        <w:t>（早期療育・就学・18歳移行・65歳到達）</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家族への支援</w:t>
      </w:r>
      <w:r>
        <w:rPr>
          <w:rFonts w:ascii="游ゴシック" w:hAnsi="游ゴシック" w:eastAsia="游ゴシック"/>
          <w:b w:val="0"/>
          <w:i w:val="0"/>
          <w:sz w:val="21"/>
        </w:rPr>
        <w:t>（法第77条第1項第3号の改正により法定の視点となりました）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（第3期地域福祉計画との連携）</w:t>
      </w:r>
    </w:p>
    <w:p>
      <w:r>
        <w:br w:type="page"/>
      </w:r>
    </w:p>
    <w:p>
      <w:pPr>
        <w:pStyle w:val="Heading2"/>
        <w:keepNext/>
        <w:spacing w:before="180" w:after="100"/>
      </w:pPr>
      <w:bookmarkStart w:id="107" w:name="_Toc_007"/>
      <w:r>
        <w:rPr>
          <w:rFonts w:ascii="游ゴシック" w:hAnsi="游ゴシック" w:eastAsia="游ゴシック"/>
          <w:b/>
          <w:i w:val="0"/>
          <w:color w:val="2E74B5"/>
          <w:sz w:val="25"/>
        </w:rPr>
        <w:t>第2章　差別解消・権利擁護の推進</w:t>
      </w:r>
      <w:bookmarkEnd w:id="107"/>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前回調査では、差別や嫌な思いを経験した方が障がいのある方で約3割、障がいのある子どもで約7割、精神障がいのある方で約6割に上ります。</w:t>
      </w:r>
      <w:r>
        <w:rPr>
          <w:rFonts w:ascii="游ゴシック" w:hAnsi="游ゴシック" w:eastAsia="游ゴシック"/>
          <w:b/>
          <w:i w:val="0"/>
          <w:sz w:val="21"/>
        </w:rPr>
        <w:t>障害者差別解消法の認知は、とりわけ障がいのある子どもで低い</w:t>
      </w:r>
      <w:r>
        <w:rPr>
          <w:rFonts w:ascii="游ゴシック" w:hAnsi="游ゴシック" w:eastAsia="游ゴシック"/>
          <w:b w:val="0"/>
          <w:i w:val="0"/>
          <w:sz w:val="21"/>
        </w:rPr>
        <w:t>状況です。成年後見制度を「名前も内容も知らない」方は約4割です。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権利擁護の推進、虐待の防止</w:t>
      </w:r>
    </w:p>
    <w:p>
      <w:pPr>
        <w:spacing w:before="40" w:after="40"/>
        <w:ind w:left="227"/>
      </w:pPr>
      <w:r>
        <w:rPr>
          <w:rFonts w:ascii="游ゴシック" w:hAnsi="游ゴシック" w:eastAsia="游ゴシック"/>
          <w:b w:val="0"/>
          <w:i w:val="0"/>
          <w:sz w:val="21"/>
        </w:rPr>
        <w:t>・障がいのある方への虐待の防止と早期発見に努めます。</w:t>
      </w:r>
      <w:r>
        <w:rPr>
          <w:rFonts w:ascii="游ゴシック" w:hAnsi="游ゴシック" w:eastAsia="游ゴシック"/>
          <w:b/>
          <w:i w:val="0"/>
          <w:sz w:val="21"/>
        </w:rPr>
        <w:t>虐待防止センターの連絡先を、サービス利用の有無にかかわらず周知します。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成年後見制度の周知と利用支援</w:t>
      </w:r>
      <w:r>
        <w:rPr>
          <w:rFonts w:ascii="游ゴシック" w:hAnsi="游ゴシック" w:eastAsia="游ゴシック"/>
          <w:b w:val="0"/>
          <w:i w:val="0"/>
          <w:sz w:val="21"/>
        </w:rPr>
        <w:t>を進めます。制度を「名前も内容も知らない」方が約4割である現状を踏まえ、広報と、支援者を通じた個別の働きかけの両方で行います。中核機関の体制は第3期地域福祉計画と整合を図ります（【町データ待ち】）。</w:t>
      </w:r>
    </w:p>
    <w:p>
      <w:pPr>
        <w:spacing w:before="60" w:after="60"/>
      </w:pPr>
      <w:r>
        <w:rPr>
          <w:rFonts w:ascii="游ゴシック" w:hAnsi="游ゴシック" w:eastAsia="游ゴシック"/>
          <w:b/>
          <w:i w:val="0"/>
          <w:sz w:val="21"/>
        </w:rPr>
        <w:t>2　差別の解消の推進</w:t>
      </w:r>
    </w:p>
    <w:p>
      <w:pPr>
        <w:spacing w:before="40" w:after="40"/>
        <w:ind w:left="227"/>
      </w:pPr>
      <w:r>
        <w:rPr>
          <w:rFonts w:ascii="游ゴシック" w:hAnsi="游ゴシック" w:eastAsia="游ゴシック"/>
          <w:b w:val="0"/>
          <w:i w:val="0"/>
          <w:sz w:val="21"/>
        </w:rPr>
        <w:t>・障害者差別解消法と</w:t>
      </w:r>
      <w:r>
        <w:rPr>
          <w:rFonts w:ascii="游ゴシック" w:hAnsi="游ゴシック" w:eastAsia="游ゴシック"/>
          <w:b/>
          <w:i w:val="0"/>
          <w:sz w:val="21"/>
        </w:rPr>
        <w:t>合理的配慮</w:t>
      </w:r>
      <w:r>
        <w:rPr>
          <w:rFonts w:ascii="游ゴシック" w:hAnsi="游ゴシック" w:eastAsia="游ゴシック"/>
          <w:b w:val="0"/>
          <w:i w:val="0"/>
          <w:sz w:val="21"/>
        </w:rPr>
        <w:t>の周知を、広報おのまちと防災無線を軸に行います。</w:t>
      </w:r>
      <w:r>
        <w:rPr>
          <w:rFonts w:ascii="游ゴシック" w:hAnsi="游ゴシック" w:eastAsia="游ゴシック"/>
          <w:b/>
          <w:i w:val="0"/>
          <w:sz w:val="21"/>
        </w:rPr>
        <w:t>抽象的な説明ではなく、町内で実際にあった配慮の例を示します。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障がいのある子どもへの周知を特に手厚くします。</w:t>
      </w:r>
      <w:r>
        <w:rPr>
          <w:rFonts w:ascii="游ゴシック" w:hAnsi="游ゴシック" w:eastAsia="游ゴシック"/>
          <w:b w:val="0"/>
          <w:i w:val="0"/>
          <w:sz w:val="21"/>
        </w:rPr>
        <w:t>差別や嫌な思いの経験が約7割と最も高い一方、法の認知が最も低い層です。学校を通じた周知を行います。</w:t>
      </w:r>
    </w:p>
    <w:p>
      <w:pPr>
        <w:spacing w:before="60" w:after="60"/>
      </w:pPr>
      <w:r>
        <w:rPr>
          <w:rFonts w:ascii="游ゴシック" w:hAnsi="游ゴシック" w:eastAsia="游ゴシック"/>
          <w:b/>
          <w:i w:val="0"/>
          <w:sz w:val="21"/>
        </w:rPr>
        <w:t>3　意思決定支援の推進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障がいのある方ご本人の意思を尊重した支援</w:t>
      </w:r>
      <w:r>
        <w:rPr>
          <w:rFonts w:ascii="游ゴシック" w:hAnsi="游ゴシック" w:eastAsia="游ゴシック"/>
          <w:b w:val="0"/>
          <w:i w:val="0"/>
          <w:sz w:val="21"/>
        </w:rPr>
        <w:t>を進めます（基本指針 別表第二 六の項④）。相談支援専門員・サービス管理責任者を通じて意思決定支援の考え方を共有します。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本人の意思を確かめる手だてを、計画相談支援の過程に組み込みます。</w:t>
      </w:r>
      <w:r>
        <w:rPr>
          <w:rFonts w:ascii="游ゴシック" w:hAnsi="游ゴシック" w:eastAsia="游ゴシック"/>
          <w:b w:val="0"/>
          <w:i w:val="0"/>
          <w:sz w:val="21"/>
        </w:rPr>
        <w:t>セルフプランの方についても、意思の確認の機会を確保します（第7章1）。</w:t>
      </w:r>
    </w:p>
    <w:p>
      <w:pPr>
        <w:spacing w:after="120"/>
      </w:pPr>
    </w:p>
    <w:p>
      <w:pPr>
        <w:keepNext/>
        <w:spacing w:before="200" w:after="40"/>
      </w:pPr>
      <w:r>
        <w:rPr>
          <w:rFonts w:ascii="游ゴシック" w:hAnsi="游ゴシック" w:eastAsia="游ゴシック"/>
          <w:b/>
          <w:i w:val="0"/>
          <w:color w:val="1F4D78"/>
          <w:sz w:val="22"/>
        </w:rPr>
        <w:t>【表16】第2部　おのまち障がい者計画　第2章　差別解消・権利擁護の推進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第2章の指標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8" w:name="_Toc_008"/>
      <w:r>
        <w:rPr>
          <w:rFonts w:ascii="游ゴシック" w:hAnsi="游ゴシック" w:eastAsia="游ゴシック"/>
          <w:b/>
          <w:i w:val="0"/>
          <w:color w:val="2E74B5"/>
          <w:sz w:val="25"/>
        </w:rPr>
        <w:t>第3章　安全・安心な生活環境の整備</w:t>
      </w:r>
      <w:bookmarkEnd w:id="108"/>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外出時の困りごととして、段差、公共交通の少なさ、費用が挙げられています（費用は精神障がいのある方で44.1％）。</w:t>
      </w:r>
      <w:r>
        <w:rPr>
          <w:rFonts w:ascii="游ゴシック" w:hAnsi="游ゴシック" w:eastAsia="游ゴシック"/>
          <w:b/>
          <w:i w:val="0"/>
          <w:sz w:val="21"/>
        </w:rPr>
        <w:t>町内に療育機関がなく、町外への通所と送迎の負担が生じています。</w:t>
      </w:r>
      <w:r>
        <w:rPr>
          <w:rFonts w:ascii="游ゴシック" w:hAnsi="游ゴシック" w:eastAsia="游ゴシック"/>
          <w:b w:val="0"/>
          <w:i w:val="0"/>
          <w:sz w:val="21"/>
        </w:rPr>
        <w:t>住まいについては、グループホームの定員、公営住宅の入居、住宅セーフティネット制度の利用の状況が【町データ待ち】です。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住宅の確保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住宅確保要配慮者の居住支援</w:t>
      </w:r>
      <w:r>
        <w:rPr>
          <w:rFonts w:ascii="游ゴシック" w:hAnsi="游ゴシック" w:eastAsia="游ゴシック"/>
          <w:b w:val="0"/>
          <w:i w:val="0"/>
          <w:sz w:val="21"/>
        </w:rPr>
        <w:t>について、住宅セーフティネット法に基づく県の計画（福島県賃貸住宅供給促進計画）と整合を図ります。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居住支援協議会</w:t>
      </w:r>
      <w:r>
        <w:rPr>
          <w:rFonts w:ascii="游ゴシック" w:hAnsi="游ゴシック" w:eastAsia="游ゴシック"/>
          <w:b w:val="0"/>
          <w:i w:val="0"/>
          <w:sz w:val="21"/>
        </w:rPr>
        <w:t>（改正後の住宅セーフティネット法第81条第1項）の設置状況を確かめ、連携先として位置づけます（【町データ待ち】）。</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グループホームからの地域移行、単身生活への移行</w:t>
      </w:r>
      <w:r>
        <w:rPr>
          <w:rFonts w:ascii="游ゴシック" w:hAnsi="游ゴシック" w:eastAsia="游ゴシック"/>
          <w:b w:val="0"/>
          <w:i w:val="0"/>
          <w:sz w:val="21"/>
        </w:rPr>
        <w:t>の受け皿として、公営住宅と民間賃貸住宅の双方を視野に入れます（成果目標①と対応します）。</w:t>
      </w:r>
    </w:p>
    <w:p>
      <w:pPr>
        <w:spacing w:before="60" w:after="60"/>
      </w:pPr>
      <w:r>
        <w:rPr>
          <w:rFonts w:ascii="游ゴシック" w:hAnsi="游ゴシック" w:eastAsia="游ゴシック"/>
          <w:b/>
          <w:i w:val="0"/>
          <w:sz w:val="21"/>
        </w:rPr>
        <w:t>2　移動しやすい環境の整備</w:t>
      </w:r>
    </w:p>
    <w:p>
      <w:pPr>
        <w:spacing w:before="40" w:after="40"/>
        <w:ind w:left="227"/>
      </w:pPr>
      <w:r>
        <w:rPr>
          <w:rFonts w:ascii="游ゴシック" w:hAnsi="游ゴシック" w:eastAsia="游ゴシック"/>
          <w:b w:val="0"/>
          <w:i w:val="0"/>
          <w:sz w:val="21"/>
        </w:rPr>
        <w:t>・移動支援事業・日中一時支援事業の利用により、外出の機会を確保します。</w:t>
      </w:r>
      <w:r>
        <w:rPr>
          <w:rFonts w:ascii="游ゴシック" w:hAnsi="游ゴシック" w:eastAsia="游ゴシック"/>
          <w:b/>
          <w:i w:val="0"/>
          <w:sz w:val="21"/>
        </w:rPr>
        <w:t>外出の目的の最多は医療機関への受診（73.0％）であり、通院の支援と切り離せません</w:t>
      </w:r>
      <w:r>
        <w:rPr>
          <w:rFonts w:ascii="游ゴシック" w:hAnsi="游ゴシック" w:eastAsia="游ゴシック"/>
          <w:b w:val="0"/>
          <w:i w:val="0"/>
          <w:sz w:val="21"/>
        </w:rPr>
        <w:t>（第6章2）。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町外の事業所に通う方の送迎</w:t>
      </w:r>
      <w:r>
        <w:rPr>
          <w:rFonts w:ascii="游ゴシック" w:hAnsi="游ゴシック" w:eastAsia="游ゴシック"/>
          <w:b w:val="0"/>
          <w:i w:val="0"/>
          <w:sz w:val="21"/>
        </w:rPr>
        <w:t>について、実態を把握したうえで支援の在り方を検討します（第3部第3章3）。</w:t>
      </w:r>
    </w:p>
    <w:p>
      <w:pPr>
        <w:spacing w:before="40" w:after="40"/>
        <w:ind w:left="227"/>
      </w:pPr>
      <w:r>
        <w:rPr>
          <w:rFonts w:ascii="游ゴシック" w:hAnsi="游ゴシック" w:eastAsia="游ゴシック"/>
          <w:b w:val="0"/>
          <w:i w:val="0"/>
          <w:sz w:val="21"/>
        </w:rPr>
        <w:t>・小野町地域公共交通計画と整合を図り、町営バス・デマンド型交通の利用しやすさを高めます。</w:t>
      </w:r>
      <w:r>
        <w:rPr>
          <w:rFonts w:ascii="游ゴシック" w:hAnsi="游ゴシック" w:eastAsia="游ゴシック"/>
          <w:b/>
          <w:i w:val="0"/>
          <w:sz w:val="21"/>
        </w:rPr>
        <w:t>費用の負担が外出の障壁となっている</w:t>
      </w:r>
      <w:r>
        <w:rPr>
          <w:rFonts w:ascii="游ゴシック" w:hAnsi="游ゴシック" w:eastAsia="游ゴシック"/>
          <w:b w:val="0"/>
          <w:i w:val="0"/>
          <w:sz w:val="21"/>
        </w:rPr>
        <w:t>（精神障がいのある方で44.1％）ことを踏まえます。</w:t>
      </w:r>
    </w:p>
    <w:p>
      <w:pPr>
        <w:spacing w:before="60" w:after="60"/>
      </w:pPr>
      <w:r>
        <w:rPr>
          <w:rFonts w:ascii="游ゴシック" w:hAnsi="游ゴシック" w:eastAsia="游ゴシック"/>
          <w:b/>
          <w:i w:val="0"/>
          <w:sz w:val="21"/>
        </w:rPr>
        <w:t>3　まちづくりの総合的な推進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まちづくりの総合的な推進</w:t>
      </w:r>
      <w:r>
        <w:rPr>
          <w:rFonts w:ascii="游ゴシック" w:hAnsi="游ゴシック" w:eastAsia="游ゴシック"/>
          <w:b w:val="0"/>
          <w:i w:val="0"/>
          <w:sz w:val="21"/>
        </w:rPr>
        <w:t>は、小野町総合計画に基づく公共施設の整備にあわせて進めます。段差の解消など、個別の改修の機会を捉えて行います。</w:t>
      </w:r>
    </w:p>
    <w:p>
      <w:pPr>
        <w:spacing w:after="120"/>
      </w:pPr>
    </w:p>
    <w:p>
      <w:pPr>
        <w:keepNext/>
        <w:spacing w:before="200" w:after="40"/>
      </w:pPr>
      <w:r>
        <w:rPr>
          <w:rFonts w:ascii="游ゴシック" w:hAnsi="游ゴシック" w:eastAsia="游ゴシック"/>
          <w:b/>
          <w:i w:val="0"/>
          <w:color w:val="1F4D78"/>
          <w:sz w:val="22"/>
        </w:rPr>
        <w:t>【表17】第2部　おのまち障がい者計画　第3章　安全・安心な生活環境の整備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第3章の指標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9" w:name="_Toc_009"/>
      <w:r>
        <w:rPr>
          <w:rFonts w:ascii="游ゴシック" w:hAnsi="游ゴシック" w:eastAsia="游ゴシック"/>
          <w:b/>
          <w:i w:val="0"/>
          <w:color w:val="2E74B5"/>
          <w:sz w:val="25"/>
        </w:rPr>
        <w:t>第4章　情報アクセシビリティの向上及び意思疎通支援の充実</w:t>
      </w:r>
      <w:bookmarkEnd w:id="109"/>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令和7年4月に小野町手話言語及び障がい者コミュニケーション条例が制定されました。</w:t>
      </w:r>
      <w:r>
        <w:rPr>
          <w:rFonts w:ascii="游ゴシック" w:hAnsi="游ゴシック" w:eastAsia="游ゴシック"/>
          <w:b w:val="0"/>
          <w:i w:val="0"/>
          <w:sz w:val="21"/>
        </w:rPr>
        <w:t xml:space="preserve"> また、国においても</w:t>
      </w:r>
      <w:r>
        <w:rPr>
          <w:rFonts w:ascii="游ゴシック" w:hAnsi="游ゴシック" w:eastAsia="游ゴシック"/>
          <w:b/>
          <w:i w:val="0"/>
          <w:sz w:val="21"/>
        </w:rPr>
        <w:t>手話に関する施策の推進に関する法律（令和7年6月）</w:t>
      </w:r>
      <w:r>
        <w:rPr>
          <w:rFonts w:ascii="游ゴシック" w:hAnsi="游ゴシック" w:eastAsia="游ゴシック"/>
          <w:b w:val="0"/>
          <w:i w:val="0"/>
          <w:sz w:val="21"/>
        </w:rPr>
        <w:t>が成立しています（</w:t>
      </w:r>
      <w:r>
        <w:rPr>
          <w:rFonts w:ascii="游ゴシック" w:hAnsi="游ゴシック" w:eastAsia="游ゴシック"/>
          <w:b/>
          <w:i w:val="0"/>
          <w:sz w:val="21"/>
        </w:rPr>
        <w:t>法律番号は原典で確かめたうえで記載します</w:t>
      </w:r>
      <w:r>
        <w:rPr>
          <w:rFonts w:ascii="游ゴシック" w:hAnsi="游ゴシック" w:eastAsia="游ゴシック"/>
          <w:b w:val="0"/>
          <w:i w:val="0"/>
          <w:sz w:val="21"/>
        </w:rPr>
        <w:t>）。</w:t>
      </w:r>
      <w:r>
        <w:rPr>
          <w:rFonts w:ascii="游ゴシック" w:hAnsi="游ゴシック" w:eastAsia="游ゴシック"/>
          <w:b/>
          <w:i w:val="0"/>
          <w:sz w:val="21"/>
        </w:rPr>
        <w:t>前回計画には意思疎通支援を独立させた節がありませんでした。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手話言語条例に基づく取組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町条例に基づき、手話を言語として普及させる取組を進めます。</w:t>
      </w:r>
      <w:r>
        <w:rPr>
          <w:rFonts w:ascii="游ゴシック" w:hAnsi="游ゴシック" w:eastAsia="游ゴシック"/>
          <w:b w:val="0"/>
          <w:i w:val="0"/>
          <w:sz w:val="21"/>
        </w:rPr>
        <w:t>手話奉仕員養成研修の実施、職員・住民向けの学習の機会を確保します。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条例に基づく取組と、地域生活支援事業の見込量（第3部第2章6）を同じ考え方で定めます。</w:t>
      </w:r>
      <w:r>
        <w:rPr>
          <w:rFonts w:ascii="游ゴシック" w:hAnsi="游ゴシック" w:eastAsia="游ゴシック"/>
          <w:b w:val="0"/>
          <w:i w:val="0"/>
          <w:sz w:val="21"/>
        </w:rPr>
        <w:t>条例を掲げるだけで量を置かない、ということのないようにします。</w:t>
      </w:r>
    </w:p>
    <w:p>
      <w:pPr>
        <w:spacing w:before="60" w:after="60"/>
      </w:pPr>
      <w:r>
        <w:rPr>
          <w:rFonts w:ascii="游ゴシック" w:hAnsi="游ゴシック" w:eastAsia="游ゴシック"/>
          <w:b/>
          <w:i w:val="0"/>
          <w:sz w:val="21"/>
        </w:rPr>
        <w:t>2　多様な意思疎通支援</w:t>
      </w:r>
    </w:p>
    <w:p>
      <w:pPr>
        <w:spacing w:before="40" w:after="40"/>
        <w:ind w:left="227"/>
      </w:pPr>
      <w:r>
        <w:rPr>
          <w:rFonts w:ascii="游ゴシック" w:hAnsi="游ゴシック" w:eastAsia="游ゴシック"/>
          <w:b w:val="0"/>
          <w:i w:val="0"/>
          <w:sz w:val="21"/>
        </w:rPr>
        <w:t>・手話のほか、</w:t>
      </w:r>
      <w:r>
        <w:rPr>
          <w:rFonts w:ascii="游ゴシック" w:hAnsi="游ゴシック" w:eastAsia="游ゴシック"/>
          <w:b/>
          <w:i w:val="0"/>
          <w:sz w:val="21"/>
        </w:rPr>
        <w:t>要約筆記、点字、音声、わかりやすい表現、意思疎通支援用具</w:t>
      </w:r>
      <w:r>
        <w:rPr>
          <w:rFonts w:ascii="游ゴシック" w:hAnsi="游ゴシック" w:eastAsia="游ゴシック"/>
          <w:b w:val="0"/>
          <w:i w:val="0"/>
          <w:sz w:val="21"/>
        </w:rPr>
        <w:t>など多様な手段による意思疎通を支援します。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意思疎通支援事業・手話奉仕員養成研修事業</w:t>
      </w:r>
      <w:r>
        <w:rPr>
          <w:rFonts w:ascii="游ゴシック" w:hAnsi="游ゴシック" w:eastAsia="游ゴシック"/>
          <w:b w:val="0"/>
          <w:i w:val="0"/>
          <w:sz w:val="21"/>
        </w:rPr>
        <w:t>は、地域生活支援事業の必須事業です。利用の実績と必要量を把握したうえで見込量を置きます。</w:t>
      </w:r>
    </w:p>
    <w:p>
      <w:pPr>
        <w:spacing w:before="60" w:after="60"/>
      </w:pPr>
      <w:r>
        <w:rPr>
          <w:rFonts w:ascii="游ゴシック" w:hAnsi="游ゴシック" w:eastAsia="游ゴシック"/>
          <w:b/>
          <w:i w:val="0"/>
          <w:sz w:val="21"/>
        </w:rPr>
        <w:t>3　情報提供の工夫</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町の情報提供そのものを工夫します。</w:t>
      </w:r>
      <w:r>
        <w:rPr>
          <w:rFonts w:ascii="游ゴシック" w:hAnsi="游ゴシック" w:eastAsia="游ゴシック"/>
          <w:b w:val="0"/>
          <w:i w:val="0"/>
          <w:sz w:val="21"/>
        </w:rPr>
        <w:t>広報おのまち・防災無線・町公式ウェブサイトのそれぞれについて、障がいの特性に応じた届け方を定めます。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災害時の情報提供</w:t>
      </w:r>
      <w:r>
        <w:rPr>
          <w:rFonts w:ascii="游ゴシック" w:hAnsi="游ゴシック" w:eastAsia="游ゴシック"/>
          <w:b w:val="0"/>
          <w:i w:val="0"/>
          <w:sz w:val="21"/>
        </w:rPr>
        <w:t>は、平時の仕組みの延長にあります（第5章1）。</w:t>
      </w:r>
    </w:p>
    <w:p>
      <w:pPr>
        <w:spacing w:after="120"/>
      </w:pPr>
    </w:p>
    <w:p>
      <w:pPr>
        <w:keepNext/>
        <w:spacing w:before="200" w:after="40"/>
      </w:pPr>
      <w:r>
        <w:rPr>
          <w:rFonts w:ascii="游ゴシック" w:hAnsi="游ゴシック" w:eastAsia="游ゴシック"/>
          <w:b/>
          <w:i w:val="0"/>
          <w:color w:val="1F4D78"/>
          <w:sz w:val="22"/>
        </w:rPr>
        <w:t>【表18】第2部　おのまち障がい者計画　第4章　情報アクセシビリティの向上及び意思疎通支援の充実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第4章の指標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0" w:name="_Toc_010"/>
      <w:r>
        <w:rPr>
          <w:rFonts w:ascii="游ゴシック" w:hAnsi="游ゴシック" w:eastAsia="游ゴシック"/>
          <w:b/>
          <w:i w:val="0"/>
          <w:color w:val="2E74B5"/>
          <w:sz w:val="25"/>
        </w:rPr>
        <w:t>第5章　防犯・防災の推進</w:t>
      </w:r>
      <w:bookmarkEnd w:id="110"/>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災害時に一人で避難できない方は、障がいのある方で35.4％、障がいのある子どもで54.5％です。</w:t>
      </w:r>
      <w:r>
        <w:rPr>
          <w:rFonts w:ascii="游ゴシック" w:hAnsi="游ゴシック" w:eastAsia="游ゴシック"/>
          <w:b w:val="0"/>
          <w:i w:val="0"/>
          <w:sz w:val="21"/>
        </w:rPr>
        <w:t>個別避難計画の作成を希望する方は30.7％・40.9％、投薬・治療が受けられない不安を挙げた方は50.7％でした。</w:t>
      </w:r>
      <w:r>
        <w:rPr>
          <w:rFonts w:ascii="游ゴシック" w:hAnsi="游ゴシック" w:eastAsia="游ゴシック"/>
          <w:b/>
          <w:i w:val="0"/>
          <w:sz w:val="21"/>
        </w:rPr>
        <w:t>成人と児童で課題の性質が異なります。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防災対策の推進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避難行動要支援者名簿への登載と、個別避難計画の作成を進めます。</w:t>
      </w:r>
      <w:r>
        <w:rPr>
          <w:rFonts w:ascii="游ゴシック" w:hAnsi="游ゴシック" w:eastAsia="游ゴシック"/>
          <w:b w:val="0"/>
          <w:i w:val="0"/>
          <w:sz w:val="21"/>
        </w:rPr>
        <w:t>名簿の登載者数と個別避難計画の作成状況は【町データ待ち】です。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服薬・医療機器・電源の確保</w:t>
      </w:r>
      <w:r>
        <w:rPr>
          <w:rFonts w:ascii="游ゴシック" w:hAnsi="游ゴシック" w:eastAsia="游ゴシック"/>
          <w:b w:val="0"/>
          <w:i w:val="0"/>
          <w:sz w:val="21"/>
        </w:rPr>
        <w:t>を個別避難計画に具体的に書き込みます。在宅で人工呼吸器等を使用する方の電源の確保は、平時からの備えがなければ間に合いません。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医療的ケア児等については、医療的ケア児等支援センターの業務に個別避難計画の作成への協力が加わります</w:t>
      </w:r>
      <w:r>
        <w:rPr>
          <w:rFonts w:ascii="游ゴシック" w:hAnsi="游ゴシック" w:eastAsia="游ゴシック"/>
          <w:b w:val="0"/>
          <w:i w:val="0"/>
          <w:sz w:val="21"/>
        </w:rPr>
        <w:t>（令和9年4月1日施行）。県のセンターとの連携を図ります。</w:t>
      </w:r>
    </w:p>
    <w:p>
      <w:pPr>
        <w:spacing w:before="40" w:after="40"/>
        <w:ind w:left="227"/>
      </w:pPr>
      <w:r>
        <w:rPr>
          <w:rFonts w:ascii="游ゴシック" w:hAnsi="游ゴシック" w:eastAsia="游ゴシック"/>
          <w:b w:val="0"/>
          <w:i w:val="0"/>
          <w:sz w:val="21"/>
        </w:rPr>
        <w:t>・福祉避難所の確保と、避難所での情報取得・意思疎通支援に努めます（第4章3）。</w:t>
      </w:r>
    </w:p>
    <w:p>
      <w:pPr>
        <w:spacing w:before="60" w:after="60"/>
      </w:pPr>
      <w:r>
        <w:rPr>
          <w:rFonts w:ascii="游ゴシック" w:hAnsi="游ゴシック" w:eastAsia="游ゴシック"/>
          <w:b/>
          <w:i w:val="0"/>
          <w:sz w:val="21"/>
        </w:rPr>
        <w:t>2　防犯対策の推進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防犯について、地域の見守りと、警察・消防との連携</w:t>
      </w:r>
      <w:r>
        <w:rPr>
          <w:rFonts w:ascii="游ゴシック" w:hAnsi="游ゴシック" w:eastAsia="游ゴシック"/>
          <w:b w:val="0"/>
          <w:i w:val="0"/>
          <w:sz w:val="21"/>
        </w:rPr>
        <w:t>を進めます。</w:t>
      </w:r>
      <w:r>
        <w:rPr>
          <w:rFonts w:ascii="游ゴシック" w:hAnsi="游ゴシック" w:eastAsia="游ゴシック"/>
          <w:b/>
          <w:i w:val="0"/>
          <w:sz w:val="21"/>
        </w:rPr>
        <w:t>成人と児童で必要な配慮が異なります。</w:t>
      </w:r>
      <w:r>
        <w:rPr>
          <w:rFonts w:ascii="游ゴシック" w:hAnsi="游ゴシック" w:eastAsia="游ゴシック"/>
          <w:b w:val="0"/>
          <w:i w:val="0"/>
          <w:sz w:val="21"/>
        </w:rPr>
        <w:t>障がいのある子どもの登下校時の見守りは、学校・保護者・地域が連携して行います。</w:t>
      </w:r>
    </w:p>
    <w:p>
      <w:pPr>
        <w:spacing w:before="60" w:after="60"/>
      </w:pPr>
      <w:r>
        <w:rPr>
          <w:rFonts w:ascii="游ゴシック" w:hAnsi="游ゴシック" w:eastAsia="游ゴシック"/>
          <w:b/>
          <w:i w:val="0"/>
          <w:sz w:val="21"/>
        </w:rPr>
        <w:t>3　消費者トラブルの防止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消費者トラブルの防止</w:t>
      </w:r>
      <w:r>
        <w:rPr>
          <w:rFonts w:ascii="游ゴシック" w:hAnsi="游ゴシック" w:eastAsia="游ゴシック"/>
          <w:b w:val="0"/>
          <w:i w:val="0"/>
          <w:sz w:val="21"/>
        </w:rPr>
        <w:t>について、相談窓口の周知と、支援者を通じた見守りを行います。</w:t>
      </w:r>
      <w:r>
        <w:rPr>
          <w:rFonts w:ascii="游ゴシック" w:hAnsi="游ゴシック" w:eastAsia="游ゴシック"/>
          <w:b/>
          <w:i w:val="0"/>
          <w:sz w:val="21"/>
        </w:rPr>
        <w:t>意思決定支援（第2章3）と成年後見制度（第2章1）につながる事柄です。</w:t>
      </w:r>
    </w:p>
    <w:p>
      <w:pPr>
        <w:spacing w:after="120"/>
      </w:pPr>
    </w:p>
    <w:p>
      <w:pPr>
        <w:keepNext/>
        <w:spacing w:before="200" w:after="40"/>
      </w:pPr>
      <w:r>
        <w:rPr>
          <w:rFonts w:ascii="游ゴシック" w:hAnsi="游ゴシック" w:eastAsia="游ゴシック"/>
          <w:b/>
          <w:i w:val="0"/>
          <w:color w:val="1F4D78"/>
          <w:sz w:val="22"/>
        </w:rPr>
        <w:t>【表19】第2部　おのまち障がい者計画　第5章　防犯・防災の推進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第5章の指標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1" w:name="_Toc_011"/>
      <w:r>
        <w:rPr>
          <w:rFonts w:ascii="游ゴシック" w:hAnsi="游ゴシック" w:eastAsia="游ゴシック"/>
          <w:b/>
          <w:i w:val="0"/>
          <w:color w:val="2E74B5"/>
          <w:sz w:val="25"/>
        </w:rPr>
        <w:t>第6章　保健・医療の充実</w:t>
      </w:r>
      <w:bookmarkEnd w:id="111"/>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精神障害者保健福祉手帳の所持者が45人から62人（＋37.8％）に増えています。</w:t>
      </w:r>
      <w:r>
        <w:rPr>
          <w:rFonts w:ascii="游ゴシック" w:hAnsi="游ゴシック" w:eastAsia="游ゴシック"/>
          <w:b w:val="0"/>
          <w:i w:val="0"/>
          <w:sz w:val="21"/>
        </w:rPr>
        <w:t>前回計画では、精神障がいにも対応した地域包括ケアシステムに数値目標を置いていませんでした。外出の目的の最多は医療機関への受診（73.0％）で、在宅で医療的なケアを受けている方が43.2％です。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精神保健・医療と精神障がいにも対応した地域包括ケアシステム</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精神障がいにも対応した地域包括ケアシステムの構築</w:t>
      </w:r>
      <w:r>
        <w:rPr>
          <w:rFonts w:ascii="游ゴシック" w:hAnsi="游ゴシック" w:eastAsia="游ゴシック"/>
          <w:b w:val="0"/>
          <w:i w:val="0"/>
          <w:sz w:val="21"/>
        </w:rPr>
        <w:t>について、</w:t>
      </w:r>
      <w:r>
        <w:rPr>
          <w:rFonts w:ascii="游ゴシック" w:hAnsi="游ゴシック" w:eastAsia="游ゴシック"/>
          <w:b/>
          <w:i w:val="0"/>
          <w:sz w:val="21"/>
        </w:rPr>
        <w:t>県中医療圏の協議の場に参加します。</w:t>
      </w:r>
      <w:r>
        <w:rPr>
          <w:rFonts w:ascii="游ゴシック" w:hAnsi="游ゴシック" w:eastAsia="游ゴシック"/>
          <w:b/>
          <w:i w:val="0"/>
          <w:sz w:val="21"/>
        </w:rPr>
        <w:t>成果目標は県が設定し、町は活動指標を置く構えです</w:t>
      </w:r>
      <w:r>
        <w:rPr>
          <w:rFonts w:ascii="游ゴシック" w:hAnsi="游ゴシック" w:eastAsia="游ゴシック"/>
          <w:b w:val="0"/>
          <w:i w:val="0"/>
          <w:sz w:val="21"/>
        </w:rPr>
        <w:t>（第3部第1章②）。</w:t>
      </w:r>
    </w:p>
    <w:p>
      <w:pPr>
        <w:spacing w:before="40" w:after="40"/>
        <w:ind w:left="227"/>
      </w:pPr>
      <w:r>
        <w:rPr>
          <w:rFonts w:ascii="游ゴシック" w:hAnsi="游ゴシック" w:eastAsia="游ゴシック"/>
          <w:b w:val="0"/>
          <w:i w:val="0"/>
          <w:sz w:val="21"/>
        </w:rPr>
        <w:t>・福島県保健医療計画 第8章第5節と整合を図ります。県中医療圏における精神科医療の体制は県に照会中です（【決定後に記載】）。</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心のサポーター</w:t>
      </w:r>
      <w:r>
        <w:rPr>
          <w:rFonts w:ascii="游ゴシック" w:hAnsi="游ゴシック" w:eastAsia="游ゴシック"/>
          <w:b w:val="0"/>
          <w:i w:val="0"/>
          <w:sz w:val="21"/>
        </w:rPr>
        <w:t>の養成など、住民の理解を広げる取組を進めます。</w:t>
      </w:r>
    </w:p>
    <w:p>
      <w:pPr>
        <w:spacing w:before="60" w:after="60"/>
      </w:pPr>
      <w:r>
        <w:rPr>
          <w:rFonts w:ascii="游ゴシック" w:hAnsi="游ゴシック" w:eastAsia="游ゴシック"/>
          <w:b/>
          <w:i w:val="0"/>
          <w:sz w:val="21"/>
        </w:rPr>
        <w:t>2　医療・リハビリテーションの充実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通院の支援</w:t>
      </w:r>
      <w:r>
        <w:rPr>
          <w:rFonts w:ascii="游ゴシック" w:hAnsi="游ゴシック" w:eastAsia="游ゴシック"/>
          <w:b w:val="0"/>
          <w:i w:val="0"/>
          <w:sz w:val="21"/>
        </w:rPr>
        <w:t>を進めます。外出目的の最多が受診であることから、移動支援（第3章2）と一体で取り組みます。</w:t>
      </w:r>
    </w:p>
    <w:p>
      <w:pPr>
        <w:spacing w:before="40" w:after="40"/>
        <w:ind w:left="227"/>
      </w:pPr>
      <w:r>
        <w:rPr>
          <w:rFonts w:ascii="游ゴシック" w:hAnsi="游ゴシック" w:eastAsia="游ゴシック"/>
          <w:b w:val="0"/>
          <w:i w:val="0"/>
          <w:sz w:val="21"/>
        </w:rPr>
        <w:t>・医療・リハビリテーションの充実について、</w:t>
      </w:r>
      <w:r>
        <w:rPr>
          <w:rFonts w:ascii="游ゴシック" w:hAnsi="游ゴシック" w:eastAsia="游ゴシック"/>
          <w:b/>
          <w:i w:val="0"/>
          <w:sz w:val="21"/>
        </w:rPr>
        <w:t>公立小野町地方綜合病院</w:t>
      </w:r>
      <w:r>
        <w:rPr>
          <w:rFonts w:ascii="游ゴシック" w:hAnsi="游ゴシック" w:eastAsia="游ゴシック"/>
          <w:b w:val="0"/>
          <w:i w:val="0"/>
          <w:sz w:val="21"/>
        </w:rPr>
        <w:t>をはじめとする町内の医療機関、県中医療圏の医療機関との連携を図ります。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高次脳機能障がいのある方への支援</w:t>
      </w:r>
      <w:r>
        <w:rPr>
          <w:rFonts w:ascii="游ゴシック" w:hAnsi="游ゴシック" w:eastAsia="游ゴシック"/>
          <w:b w:val="0"/>
          <w:i w:val="0"/>
          <w:sz w:val="21"/>
        </w:rPr>
        <w:t>について、県の支援拠点機関との連携により相談に応じます。</w:t>
      </w:r>
    </w:p>
    <w:p>
      <w:pPr>
        <w:spacing w:before="60" w:after="60"/>
      </w:pPr>
      <w:r>
        <w:rPr>
          <w:rFonts w:ascii="游ゴシック" w:hAnsi="游ゴシック" w:eastAsia="游ゴシック"/>
          <w:b/>
          <w:i w:val="0"/>
          <w:sz w:val="21"/>
        </w:rPr>
        <w:t>3　医療的ケア児等への支援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医療的ケア児等への支援に取り組みます。</w:t>
      </w:r>
      <w:r>
        <w:rPr>
          <w:rFonts w:ascii="游ゴシック" w:hAnsi="游ゴシック" w:eastAsia="游ゴシック"/>
          <w:b/>
          <w:i w:val="0"/>
          <w:sz w:val="21"/>
        </w:rPr>
        <w:t>医療的ケア児支援法の改正（令和8年法律第77号・令和9年4月1日施行）により、支援の対象に18歳以上の医療的ケア者と重症心身障害者が加わりました。</w:t>
      </w:r>
      <w:r>
        <w:rPr>
          <w:rFonts w:ascii="游ゴシック" w:hAnsi="游ゴシック" w:eastAsia="游ゴシック"/>
          <w:b/>
          <w:i w:val="0"/>
          <w:sz w:val="21"/>
        </w:rPr>
        <w:t>本町も、成人期を含めて支援します。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就労支援（同法第11条の3）・住居の確保（同法第11条の4）</w:t>
      </w:r>
      <w:r>
        <w:rPr>
          <w:rFonts w:ascii="游ゴシック" w:hAnsi="游ゴシック" w:eastAsia="游ゴシック"/>
          <w:b w:val="0"/>
          <w:i w:val="0"/>
          <w:sz w:val="21"/>
        </w:rPr>
        <w:t>についても、関係機関と連携して取り組みます（第3部第1章⑧）。</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医療的ケア児等コーディネーターの配置</w:t>
      </w:r>
      <w:r>
        <w:rPr>
          <w:rFonts w:ascii="游ゴシック" w:hAnsi="游ゴシック" w:eastAsia="游ゴシック"/>
          <w:b w:val="0"/>
          <w:i w:val="0"/>
          <w:sz w:val="21"/>
        </w:rPr>
        <w:t>を進めます。県の医療的ケア児等支援センターが市町村への配置促進に努めることとされています（福島県保健医療計画 第8章第11節）。</w:t>
      </w:r>
    </w:p>
    <w:p>
      <w:pPr>
        <w:spacing w:before="40" w:after="40"/>
        <w:ind w:left="227"/>
      </w:pPr>
      <w:r>
        <w:rPr>
          <w:rFonts w:ascii="游ゴシック" w:hAnsi="游ゴシック" w:eastAsia="游ゴシック"/>
          <w:b w:val="0"/>
          <w:i w:val="0"/>
          <w:sz w:val="21"/>
        </w:rPr>
        <w:t>・本町の医療的ケア児等の人数と状況は【町データ待ち】です。</w:t>
      </w:r>
    </w:p>
    <w:p>
      <w:pPr>
        <w:spacing w:before="60" w:after="60"/>
      </w:pPr>
      <w:r>
        <w:rPr>
          <w:rFonts w:ascii="游ゴシック" w:hAnsi="游ゴシック" w:eastAsia="游ゴシック"/>
          <w:b/>
          <w:i w:val="0"/>
          <w:sz w:val="21"/>
        </w:rPr>
        <w:t>4　難病に関する施策</w:t>
      </w:r>
    </w:p>
    <w:p>
      <w:pPr>
        <w:spacing w:before="40" w:after="40"/>
        <w:ind w:left="227"/>
      </w:pPr>
      <w:r>
        <w:rPr>
          <w:rFonts w:ascii="游ゴシック" w:hAnsi="游ゴシック" w:eastAsia="游ゴシック"/>
          <w:b w:val="0"/>
          <w:i w:val="0"/>
          <w:sz w:val="21"/>
        </w:rPr>
        <w:t>・難病に関する施策について、</w:t>
      </w:r>
      <w:r>
        <w:rPr>
          <w:rFonts w:ascii="游ゴシック" w:hAnsi="游ゴシック" w:eastAsia="游ゴシック"/>
          <w:b/>
          <w:i w:val="0"/>
          <w:sz w:val="21"/>
        </w:rPr>
        <w:t>県中保健所・難病相談支援センター</w:t>
      </w:r>
      <w:r>
        <w:rPr>
          <w:rFonts w:ascii="游ゴシック" w:hAnsi="游ゴシック" w:eastAsia="游ゴシック"/>
          <w:b w:val="0"/>
          <w:i w:val="0"/>
          <w:sz w:val="21"/>
        </w:rPr>
        <w:t>との連携を図ります。本町の難病患者の把握状況は【町データ待ち】です。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難病のある方は手帳をお持ちでない場合があります。</w:t>
      </w:r>
      <w:r>
        <w:rPr>
          <w:rFonts w:ascii="游ゴシック" w:hAnsi="游ゴシック" w:eastAsia="游ゴシック"/>
          <w:b w:val="0"/>
          <w:i w:val="0"/>
          <w:sz w:val="21"/>
        </w:rPr>
        <w:t>手帳の有無で支援の対象を切らないようにします（第1部第1章6）。</w:t>
      </w:r>
    </w:p>
    <w:p>
      <w:pPr>
        <w:spacing w:before="60" w:after="60"/>
      </w:pPr>
      <w:r>
        <w:rPr>
          <w:rFonts w:ascii="游ゴシック" w:hAnsi="游ゴシック" w:eastAsia="游ゴシック"/>
          <w:b/>
          <w:i w:val="0"/>
          <w:sz w:val="21"/>
        </w:rPr>
        <w:t>5　健診・早期発見と疾病等の予防</w:t>
      </w:r>
    </w:p>
    <w:p>
      <w:pPr>
        <w:spacing w:before="40" w:after="40"/>
        <w:ind w:left="227"/>
      </w:pPr>
      <w:r>
        <w:rPr>
          <w:rFonts w:ascii="游ゴシック" w:hAnsi="游ゴシック" w:eastAsia="游ゴシック"/>
          <w:b w:val="0"/>
          <w:i w:val="0"/>
          <w:sz w:val="21"/>
        </w:rPr>
        <w:t>・健診・早期発見と疾病等の予防を、小野町の保健事業と一体で進めます。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を切れ目のないものにします（第8章1）。</w:t>
      </w:r>
    </w:p>
    <w:p>
      <w:pPr>
        <w:spacing w:after="120"/>
      </w:pPr>
    </w:p>
    <w:p>
      <w:pPr>
        <w:keepNext/>
        <w:spacing w:before="200" w:after="40"/>
      </w:pPr>
      <w:r>
        <w:rPr>
          <w:rFonts w:ascii="游ゴシック" w:hAnsi="游ゴシック" w:eastAsia="游ゴシック"/>
          <w:b/>
          <w:i w:val="0"/>
          <w:color w:val="1F4D78"/>
          <w:sz w:val="22"/>
        </w:rPr>
        <w:t>【表20】第2部　おのまち障がい者計画　第6章　保健・医療の充実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第6章の指標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2" w:name="_Toc_012"/>
      <w:r>
        <w:rPr>
          <w:rFonts w:ascii="游ゴシック" w:hAnsi="游ゴシック" w:eastAsia="游ゴシック"/>
          <w:b/>
          <w:i w:val="0"/>
          <w:color w:val="2E74B5"/>
          <w:sz w:val="25"/>
        </w:rPr>
        <w:t>第7章　自立生活支援・相談支援体制の充実</w:t>
      </w:r>
      <w:bookmarkEnd w:id="112"/>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前回調査で「地域で生活するために必要な支援」の最多は</w:t>
      </w:r>
      <w:r>
        <w:rPr>
          <w:rFonts w:ascii="游ゴシック" w:hAnsi="游ゴシック" w:eastAsia="游ゴシック"/>
          <w:b/>
          <w:i w:val="0"/>
          <w:sz w:val="21"/>
        </w:rPr>
        <w:t>経済的な負担の軽減（54.6％）</w:t>
      </w:r>
      <w:r>
        <w:rPr>
          <w:rFonts w:ascii="游ゴシック" w:hAnsi="游ゴシック" w:eastAsia="游ゴシック"/>
          <w:b w:val="0"/>
          <w:i w:val="0"/>
          <w:sz w:val="21"/>
        </w:rPr>
        <w:t>でした。相談相手は家族79.6％・医療職32.9％に偏っています。主介助者の70歳以上が35.6％、健康状態が「よくない」方が19.8％、障がいのある子どもでは主介助者の94.1％が女性です。</w:t>
      </w:r>
      <w:r>
        <w:rPr>
          <w:rFonts w:ascii="游ゴシック" w:hAnsi="游ゴシック" w:eastAsia="游ゴシック"/>
          <w:b/>
          <w:i w:val="0"/>
          <w:sz w:val="21"/>
        </w:rPr>
        <w:t>相談支援専門員の確保が課題で、望まないセルフプランの発生が懸念されます。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相談支援体制の充実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相談支援体制</w:t>
      </w:r>
      <w:r>
        <w:rPr>
          <w:rFonts w:ascii="游ゴシック" w:hAnsi="游ゴシック" w:eastAsia="游ゴシック"/>
          <w:b w:val="0"/>
          <w:i w:val="0"/>
          <w:sz w:val="21"/>
        </w:rPr>
        <w:t>について、基幹相談支援センター・支援協議会・事業所連絡会の役割分担を明らかにします。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望まないセルフプランの解消</w:t>
      </w:r>
      <w:r>
        <w:rPr>
          <w:rFonts w:ascii="游ゴシック" w:hAnsi="游ゴシック" w:eastAsia="游ゴシック"/>
          <w:b w:val="0"/>
          <w:i w:val="0"/>
          <w:sz w:val="21"/>
        </w:rPr>
        <w:t>を第3部第1章⑤の成果目標と対応させます。セルフプラン件数と相談支援専門員数は【町データ待ち】です。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相談相手が家族（79.6％）に偏っている</w:t>
      </w:r>
      <w:r>
        <w:rPr>
          <w:rFonts w:ascii="游ゴシック" w:hAnsi="游ゴシック" w:eastAsia="游ゴシック"/>
          <w:b w:val="0"/>
          <w:i w:val="0"/>
          <w:sz w:val="21"/>
        </w:rPr>
        <w:t>ことを踏まえ、家族以外の相談先を知っていただく取組を行います。</w:t>
      </w:r>
    </w:p>
    <w:p>
      <w:pPr>
        <w:spacing w:before="60" w:after="60"/>
      </w:pPr>
      <w:r>
        <w:rPr>
          <w:rFonts w:ascii="游ゴシック" w:hAnsi="游ゴシック" w:eastAsia="游ゴシック"/>
          <w:b/>
          <w:i w:val="0"/>
          <w:sz w:val="21"/>
        </w:rPr>
        <w:t>2　地域生活支援拠点等の機能の充実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地域生活支援拠点等</w:t>
      </w:r>
      <w:r>
        <w:rPr>
          <w:rFonts w:ascii="游ゴシック" w:hAnsi="游ゴシック" w:eastAsia="游ゴシック"/>
          <w:b w:val="0"/>
          <w:i w:val="0"/>
          <w:sz w:val="21"/>
        </w:rPr>
        <w:t>について、相談・緊急時の受入れ・体験の機会・専門的人材・地域の体制づくりの</w:t>
      </w:r>
      <w:r>
        <w:rPr>
          <w:rFonts w:ascii="游ゴシック" w:hAnsi="游ゴシック" w:eastAsia="游ゴシック"/>
          <w:b/>
          <w:i w:val="0"/>
          <w:sz w:val="21"/>
        </w:rPr>
        <w:t>5つの機能ごとに運用状況を点検</w:t>
      </w:r>
      <w:r>
        <w:rPr>
          <w:rFonts w:ascii="游ゴシック" w:hAnsi="游ゴシック" w:eastAsia="游ゴシック"/>
          <w:b w:val="0"/>
          <w:i w:val="0"/>
          <w:sz w:val="21"/>
        </w:rPr>
        <w:t>します（第3部第1章③）。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地域包括支援センターとの窓口の重なり</w:t>
      </w:r>
      <w:r>
        <w:rPr>
          <w:rFonts w:ascii="游ゴシック" w:hAnsi="游ゴシック" w:eastAsia="游ゴシック"/>
          <w:b w:val="0"/>
          <w:i w:val="0"/>
          <w:sz w:val="21"/>
        </w:rPr>
        <w:t>を整理します（第1部第1章4-2の5番）。</w:t>
      </w:r>
    </w:p>
    <w:p>
      <w:pPr>
        <w:spacing w:before="60" w:after="60"/>
      </w:pPr>
      <w:r>
        <w:rPr>
          <w:rFonts w:ascii="游ゴシック" w:hAnsi="游ゴシック" w:eastAsia="游ゴシック"/>
          <w:b/>
          <w:i w:val="0"/>
          <w:sz w:val="21"/>
        </w:rPr>
        <w:t>3　障がい福祉サービスの充実</w:t>
      </w:r>
    </w:p>
    <w:p>
      <w:pPr>
        <w:spacing w:before="40" w:after="40"/>
        <w:ind w:left="227"/>
      </w:pPr>
      <w:r>
        <w:rPr>
          <w:rFonts w:ascii="游ゴシック" w:hAnsi="游ゴシック" w:eastAsia="游ゴシック"/>
          <w:b w:val="0"/>
          <w:i w:val="0"/>
          <w:sz w:val="21"/>
        </w:rPr>
        <w:t>・障がい福祉サービスの充実を図ります。</w:t>
      </w:r>
      <w:r>
        <w:rPr>
          <w:rFonts w:ascii="游ゴシック" w:hAnsi="游ゴシック" w:eastAsia="游ゴシック"/>
          <w:b/>
          <w:i w:val="0"/>
          <w:sz w:val="21"/>
        </w:rPr>
        <w:t>町内に整備されていないサービスが多く、広域連携で確保しています</w:t>
      </w:r>
      <w:r>
        <w:rPr>
          <w:rFonts w:ascii="游ゴシック" w:hAnsi="游ゴシック" w:eastAsia="游ゴシック"/>
          <w:b w:val="0"/>
          <w:i w:val="0"/>
          <w:sz w:val="21"/>
        </w:rPr>
        <w:t>（第3部第3章2）。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共生型サービス</w:t>
      </w:r>
      <w:r>
        <w:rPr>
          <w:rFonts w:ascii="游ゴシック" w:hAnsi="游ゴシック" w:eastAsia="游ゴシック"/>
          <w:b w:val="0"/>
          <w:i w:val="0"/>
          <w:sz w:val="21"/>
        </w:rPr>
        <w:t>の指定を受けた事業所の有無を確かめ、両制度にまたがる利用に備えます（第1部第1章4-2の2番）。</w:t>
      </w:r>
    </w:p>
    <w:p>
      <w:pPr>
        <w:spacing w:before="60" w:after="60"/>
      </w:pPr>
      <w:r>
        <w:rPr>
          <w:rFonts w:ascii="游ゴシック" w:hAnsi="游ゴシック" w:eastAsia="游ゴシック"/>
          <w:b/>
          <w:i w:val="0"/>
          <w:sz w:val="21"/>
        </w:rPr>
        <w:t>4　家族介助者への支援・親亡き後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家族介助者への支援</w:t>
      </w:r>
      <w:r>
        <w:rPr>
          <w:rFonts w:ascii="游ゴシック" w:hAnsi="游ゴシック" w:eastAsia="游ゴシック"/>
          <w:b w:val="0"/>
          <w:i w:val="0"/>
          <w:sz w:val="21"/>
        </w:rPr>
        <w:t>に力を入れます。短期入所・日中一時支援による</w:t>
      </w:r>
      <w:r>
        <w:rPr>
          <w:rFonts w:ascii="游ゴシック" w:hAnsi="游ゴシック" w:eastAsia="游ゴシック"/>
          <w:b/>
          <w:i w:val="0"/>
          <w:sz w:val="21"/>
        </w:rPr>
        <w:t>レスパイト</w:t>
      </w:r>
      <w:r>
        <w:rPr>
          <w:rFonts w:ascii="游ゴシック" w:hAnsi="游ゴシック" w:eastAsia="游ゴシック"/>
          <w:b w:val="0"/>
          <w:i w:val="0"/>
          <w:sz w:val="21"/>
        </w:rPr>
        <w:t>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親亡き後</w:t>
      </w:r>
      <w:r>
        <w:rPr>
          <w:rFonts w:ascii="游ゴシック" w:hAnsi="游ゴシック" w:eastAsia="游ゴシック"/>
          <w:b w:val="0"/>
          <w:i w:val="0"/>
          <w:sz w:val="21"/>
        </w:rPr>
        <w:t>を見据えた住まいと支援の確保を進めます。主介助者の70歳以上が35.6％である現状は、この課題が先の話ではないことを示しています。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障害者総合支援法第77条第1項第3号の改正により、相談支援事業に「家族その他の関係者の状況を考慮しつつ」が加わりました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家族支援の視点が法定のものとなりました。</w:t>
      </w:r>
    </w:p>
    <w:p>
      <w:pPr>
        <w:spacing w:before="60" w:after="60"/>
      </w:pPr>
      <w:r>
        <w:rPr>
          <w:rFonts w:ascii="游ゴシック" w:hAnsi="游ゴシック" w:eastAsia="游ゴシック"/>
          <w:b/>
          <w:i w:val="0"/>
          <w:sz w:val="21"/>
        </w:rPr>
        <w:t>5　経済的負担の軽減</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w:t>
      </w:r>
      <w:r>
        <w:rPr>
          <w:rFonts w:ascii="游ゴシック" w:hAnsi="游ゴシック" w:eastAsia="游ゴシック"/>
          <w:b w:val="0"/>
          <w:i w:val="0"/>
          <w:sz w:val="21"/>
        </w:rPr>
        <w:t>について、利用者負担の軽減制度、手当・年金、税の減免、各種割引の周知を行います。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調査で最多に挙げられた事項です。</w:t>
      </w:r>
      <w:r>
        <w:rPr>
          <w:rFonts w:ascii="游ゴシック" w:hAnsi="游ゴシック" w:eastAsia="游ゴシック"/>
          <w:b w:val="0"/>
          <w:i w:val="0"/>
          <w:sz w:val="21"/>
        </w:rPr>
        <w:t>制度があっても知られていなければ使われません。</w:t>
      </w:r>
      <w:r>
        <w:rPr>
          <w:rFonts w:ascii="游ゴシック" w:hAnsi="游ゴシック" w:eastAsia="游ゴシック"/>
          <w:b/>
          <w:i w:val="0"/>
          <w:sz w:val="21"/>
        </w:rPr>
        <w:t>周知の方法まで含めて取り組みます。</w:t>
      </w:r>
    </w:p>
    <w:p>
      <w:pPr>
        <w:spacing w:before="60" w:after="60"/>
      </w:pPr>
      <w:r>
        <w:rPr>
          <w:rFonts w:ascii="游ゴシック" w:hAnsi="游ゴシック" w:eastAsia="游ゴシック"/>
          <w:b/>
          <w:i w:val="0"/>
          <w:sz w:val="21"/>
        </w:rPr>
        <w:t>6　65歳到達時の介護保険への移行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65歳到達時の介護保険への移行</w:t>
      </w:r>
      <w:r>
        <w:rPr>
          <w:rFonts w:ascii="游ゴシック" w:hAnsi="游ゴシック" w:eastAsia="游ゴシック"/>
          <w:b w:val="0"/>
          <w:i w:val="0"/>
          <w:sz w:val="21"/>
        </w:rPr>
        <w:t>について、</w:t>
      </w:r>
      <w:r>
        <w:rPr>
          <w:rFonts w:ascii="游ゴシック" w:hAnsi="游ゴシック" w:eastAsia="游ゴシック"/>
          <w:b/>
          <w:i w:val="0"/>
          <w:sz w:val="21"/>
        </w:rPr>
        <w:t>高齢者保健福祉計画と同じ考え方で取り扱います</w:t>
      </w:r>
      <w:r>
        <w:rPr>
          <w:rFonts w:ascii="游ゴシック" w:hAnsi="游ゴシック" w:eastAsia="游ゴシック"/>
          <w:b w:val="0"/>
          <w:i w:val="0"/>
          <w:sz w:val="21"/>
        </w:rPr>
        <w:t>（第1部第1章4-2の1番）。両計画を同時に策定していることを活かします。</w:t>
      </w:r>
    </w:p>
    <w:p>
      <w:pPr>
        <w:spacing w:before="40" w:after="40"/>
        <w:ind w:left="227"/>
      </w:pPr>
      <w:r>
        <w:rPr>
          <w:rFonts w:ascii="游ゴシック" w:hAnsi="游ゴシック" w:eastAsia="游ゴシック"/>
          <w:b w:val="0"/>
          <w:i w:val="0"/>
          <w:sz w:val="21"/>
        </w:rPr>
        <w:t>・介護保険優先原則の下でも、</w:t>
      </w:r>
      <w:r>
        <w:rPr>
          <w:rFonts w:ascii="游ゴシック" w:hAnsi="游ゴシック" w:eastAsia="游ゴシック"/>
          <w:b/>
          <w:i w:val="0"/>
          <w:sz w:val="21"/>
        </w:rPr>
        <w:t>障がい福祉サービスの継続利用が認められる場合があります。</w:t>
      </w:r>
      <w:r>
        <w:rPr>
          <w:rFonts w:ascii="游ゴシック" w:hAnsi="游ゴシック" w:eastAsia="游ゴシック"/>
          <w:b w:val="0"/>
          <w:i w:val="0"/>
          <w:sz w:val="21"/>
        </w:rPr>
        <w:t>一律に切り替えることのないよう、個別に判断します。</w:t>
      </w:r>
    </w:p>
    <w:p>
      <w:pPr>
        <w:spacing w:before="40" w:after="40"/>
        <w:ind w:left="227"/>
      </w:pPr>
      <w:r>
        <w:rPr>
          <w:rFonts w:ascii="游ゴシック" w:hAnsi="游ゴシック" w:eastAsia="游ゴシック"/>
          <w:b w:val="0"/>
          <w:i w:val="0"/>
          <w:sz w:val="21"/>
        </w:rPr>
        <w:t>・令和9〜11年度に65歳に達する方の一覧は【町データ待ち】です。</w:t>
      </w:r>
    </w:p>
    <w:p>
      <w:pPr>
        <w:spacing w:after="120"/>
      </w:pPr>
    </w:p>
    <w:p>
      <w:pPr>
        <w:keepNext/>
        <w:spacing w:before="200" w:after="40"/>
      </w:pPr>
      <w:r>
        <w:rPr>
          <w:rFonts w:ascii="游ゴシック" w:hAnsi="游ゴシック" w:eastAsia="游ゴシック"/>
          <w:b/>
          <w:i w:val="0"/>
          <w:color w:val="1F4D78"/>
          <w:sz w:val="22"/>
        </w:rPr>
        <w:t>【表21】第2部　おのまち障がい者計画　第7章　自立生活支援・相談支援体制の充実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第7章の指標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3" w:name="_Toc_013"/>
      <w:r>
        <w:rPr>
          <w:rFonts w:ascii="游ゴシック" w:hAnsi="游ゴシック" w:eastAsia="游ゴシック"/>
          <w:b/>
          <w:i w:val="0"/>
          <w:color w:val="2E74B5"/>
          <w:sz w:val="25"/>
        </w:rPr>
        <w:t>第8章　教育の振興</w:t>
      </w:r>
      <w:bookmarkEnd w:id="113"/>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障がいのある子どもの進路希望は特別支援学校高等部が45.0％で最多です。今後の利用意向は就労系63.6％・放課後等デイサービス63.6％でした。</w:t>
      </w:r>
      <w:r>
        <w:rPr>
          <w:rFonts w:ascii="游ゴシック" w:hAnsi="游ゴシック" w:eastAsia="游ゴシック"/>
          <w:b/>
          <w:i w:val="0"/>
          <w:sz w:val="21"/>
        </w:rPr>
        <w:t>町内に療育機関がなく、町外への通所となっています。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早期発見・早期療育</w:t>
      </w:r>
    </w:p>
    <w:p>
      <w:pPr>
        <w:spacing w:before="40" w:after="40"/>
        <w:ind w:left="227"/>
      </w:pPr>
      <w:r>
        <w:rPr>
          <w:rFonts w:ascii="游ゴシック" w:hAnsi="游ゴシック" w:eastAsia="游ゴシック"/>
          <w:b w:val="0"/>
          <w:i w:val="0"/>
          <w:sz w:val="21"/>
        </w:rPr>
        <w:t>・早期発見・早期療育について、</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を切れ目のないものにします（第6章5）。</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町内に療育機関がないため、町外への通所となります。</w:t>
      </w:r>
      <w:r>
        <w:rPr>
          <w:rFonts w:ascii="游ゴシック" w:hAnsi="游ゴシック" w:eastAsia="游ゴシック"/>
          <w:b w:val="0"/>
          <w:i w:val="0"/>
          <w:sz w:val="21"/>
        </w:rPr>
        <w:t>送迎の負担を踏まえた支援を検討します（第3部第3章3）。</w:t>
      </w:r>
    </w:p>
    <w:p>
      <w:pPr>
        <w:spacing w:before="60" w:after="60"/>
      </w:pPr>
      <w:r>
        <w:rPr>
          <w:rFonts w:ascii="游ゴシック" w:hAnsi="游ゴシック" w:eastAsia="游ゴシック"/>
          <w:b/>
          <w:i w:val="0"/>
          <w:sz w:val="21"/>
        </w:rPr>
        <w:t>2　インクルーシブ教育システムの推進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インクルーシブ教育システムの推進</w:t>
      </w:r>
      <w:r>
        <w:rPr>
          <w:rFonts w:ascii="游ゴシック" w:hAnsi="游ゴシック" w:eastAsia="游ゴシック"/>
          <w:b w:val="0"/>
          <w:i w:val="0"/>
          <w:sz w:val="21"/>
        </w:rPr>
        <w:t>について、就学相談・巡回相談・特別支援学校との連携を進めます。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保育所等訪問支援</w:t>
      </w:r>
      <w:r>
        <w:rPr>
          <w:rFonts w:ascii="游ゴシック" w:hAnsi="游ゴシック" w:eastAsia="游ゴシック"/>
          <w:b w:val="0"/>
          <w:i w:val="0"/>
          <w:sz w:val="21"/>
        </w:rPr>
        <w:t>の利用を進め、通常の学級・保育の場での支援を厚くします。</w:t>
      </w:r>
    </w:p>
    <w:p>
      <w:pPr>
        <w:spacing w:before="60" w:after="60"/>
      </w:pPr>
      <w:r>
        <w:rPr>
          <w:rFonts w:ascii="游ゴシック" w:hAnsi="游ゴシック" w:eastAsia="游ゴシック"/>
          <w:b/>
          <w:i w:val="0"/>
          <w:sz w:val="21"/>
        </w:rPr>
        <w:t>3　教育環境の整備</w:t>
      </w:r>
    </w:p>
    <w:p>
      <w:pPr>
        <w:spacing w:before="40" w:after="40"/>
        <w:ind w:left="227"/>
      </w:pPr>
      <w:r>
        <w:rPr>
          <w:rFonts w:ascii="游ゴシック" w:hAnsi="游ゴシック" w:eastAsia="游ゴシック"/>
          <w:b w:val="0"/>
          <w:i w:val="0"/>
          <w:sz w:val="21"/>
        </w:rPr>
        <w:t>・教育環境の整備について、学校における</w:t>
      </w:r>
      <w:r>
        <w:rPr>
          <w:rFonts w:ascii="游ゴシック" w:hAnsi="游ゴシック" w:eastAsia="游ゴシック"/>
          <w:b/>
          <w:i w:val="0"/>
          <w:sz w:val="21"/>
        </w:rPr>
        <w:t>合理的配慮</w:t>
      </w:r>
      <w:r>
        <w:rPr>
          <w:rFonts w:ascii="游ゴシック" w:hAnsi="游ゴシック" w:eastAsia="游ゴシック"/>
          <w:b w:val="0"/>
          <w:i w:val="0"/>
          <w:sz w:val="21"/>
        </w:rPr>
        <w:t>の提供と支援員の配置を進めます。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障がいのある子どもの差別の経験が約7割</w:t>
      </w:r>
      <w:r>
        <w:rPr>
          <w:rFonts w:ascii="游ゴシック" w:hAnsi="游ゴシック" w:eastAsia="游ゴシック"/>
          <w:b w:val="0"/>
          <w:i w:val="0"/>
          <w:sz w:val="21"/>
        </w:rPr>
        <w:t>と最も高いことを踏まえ、学校における理解の促進を図ります（第2章2）。</w:t>
      </w:r>
    </w:p>
    <w:p>
      <w:pPr>
        <w:spacing w:before="60" w:after="60"/>
      </w:pPr>
      <w:r>
        <w:rPr>
          <w:rFonts w:ascii="游ゴシック" w:hAnsi="游ゴシック" w:eastAsia="游ゴシック"/>
          <w:b/>
          <w:i w:val="0"/>
          <w:sz w:val="21"/>
        </w:rPr>
        <w:t>4　18歳移行を見据えた進路支援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18歳移行を見据えた進路支援</w:t>
      </w:r>
      <w:r>
        <w:rPr>
          <w:rFonts w:ascii="游ゴシック" w:hAnsi="游ゴシック" w:eastAsia="游ゴシック"/>
          <w:b w:val="0"/>
          <w:i w:val="0"/>
          <w:sz w:val="21"/>
        </w:rPr>
        <w:t>に取り組みます。</w:t>
      </w:r>
      <w:r>
        <w:rPr>
          <w:rFonts w:ascii="游ゴシック" w:hAnsi="游ゴシック" w:eastAsia="游ゴシック"/>
          <w:b/>
          <w:i w:val="0"/>
          <w:sz w:val="21"/>
        </w:rPr>
        <w:t>放課後等デイサービスの卒業と日中活動系サービスへの接続</w:t>
      </w:r>
      <w:r>
        <w:rPr>
          <w:rFonts w:ascii="游ゴシック" w:hAnsi="游ゴシック" w:eastAsia="游ゴシック"/>
          <w:b w:val="0"/>
          <w:i w:val="0"/>
          <w:sz w:val="21"/>
        </w:rPr>
        <w:t>を、第3部第2章の見込量に反映させます。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w:t>
      </w:r>
      <w:r>
        <w:rPr>
          <w:rFonts w:ascii="游ゴシック" w:hAnsi="游ゴシック" w:eastAsia="游ゴシック"/>
          <w:b w:val="0"/>
          <w:i w:val="0"/>
          <w:sz w:val="21"/>
        </w:rPr>
        <w:t>（令和7年10月創設）の利用の機会を確保します（第9章1・第3部第1章④）。</w:t>
      </w:r>
    </w:p>
    <w:p>
      <w:pPr>
        <w:spacing w:before="40" w:after="40"/>
        <w:ind w:left="227"/>
      </w:pPr>
      <w:r>
        <w:rPr>
          <w:rFonts w:ascii="游ゴシック" w:hAnsi="游ゴシック" w:eastAsia="游ゴシック"/>
          <w:b w:val="0"/>
          <w:i w:val="0"/>
          <w:sz w:val="21"/>
        </w:rPr>
        <w:t>・高等部への通学支援について検討します。</w:t>
      </w:r>
    </w:p>
    <w:p>
      <w:pPr>
        <w:spacing w:after="120"/>
      </w:pPr>
    </w:p>
    <w:p>
      <w:pPr>
        <w:keepNext/>
        <w:spacing w:before="200" w:after="40"/>
      </w:pPr>
      <w:r>
        <w:rPr>
          <w:rFonts w:ascii="游ゴシック" w:hAnsi="游ゴシック" w:eastAsia="游ゴシック"/>
          <w:b/>
          <w:i w:val="0"/>
          <w:color w:val="1F4D78"/>
          <w:sz w:val="22"/>
        </w:rPr>
        <w:t>【表22】第2部　おのまち障がい者計画　第8章　教育の振興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第8章の指標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4" w:name="_Toc_014"/>
      <w:r>
        <w:rPr>
          <w:rFonts w:ascii="游ゴシック" w:hAnsi="游ゴシック" w:eastAsia="游ゴシック"/>
          <w:b/>
          <w:i w:val="0"/>
          <w:color w:val="2E74B5"/>
          <w:sz w:val="25"/>
        </w:rPr>
        <w:t>第9章　雇用・就業、経済的自立の支援</w:t>
      </w:r>
      <w:bookmarkEnd w:id="114"/>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就労移行支援・就労継続支援A型・就労定着支援の事業所が町内になく、町外の事業所との連携で対応しています。</w:t>
      </w:r>
      <w:r>
        <w:rPr>
          <w:rFonts w:ascii="游ゴシック" w:hAnsi="游ゴシック" w:eastAsia="游ゴシック"/>
          <w:b/>
          <w:i w:val="0"/>
          <w:sz w:val="21"/>
        </w:rPr>
        <w:t>令和7年10月に就労選択支援が創設されました。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総合的な就労支援（就労選択支援を含む）</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就労選択支援の利用の機会を確保します。</w:t>
      </w:r>
      <w:r>
        <w:rPr>
          <w:rFonts w:ascii="游ゴシック" w:hAnsi="游ゴシック" w:eastAsia="游ゴシック"/>
          <w:b w:val="0"/>
          <w:i w:val="0"/>
          <w:sz w:val="21"/>
        </w:rPr>
        <w:t>国は圏域単位での設置を目標としており、</w:t>
      </w:r>
      <w:r>
        <w:rPr>
          <w:rFonts w:ascii="游ゴシック" w:hAnsi="游ゴシック" w:eastAsia="游ゴシック"/>
          <w:b/>
          <w:i w:val="0"/>
          <w:sz w:val="21"/>
        </w:rPr>
        <w:t>町としては利用の機会の確保を指標とします</w:t>
      </w:r>
      <w:r>
        <w:rPr>
          <w:rFonts w:ascii="游ゴシック" w:hAnsi="游ゴシック" w:eastAsia="游ゴシック"/>
          <w:b w:val="0"/>
          <w:i w:val="0"/>
          <w:sz w:val="21"/>
        </w:rPr>
        <w:t>（第3部第1章④）。</w:t>
      </w:r>
    </w:p>
    <w:p>
      <w:pPr>
        <w:spacing w:before="40" w:after="40"/>
        <w:ind w:left="227"/>
      </w:pPr>
      <w:r>
        <w:rPr>
          <w:rFonts w:ascii="游ゴシック" w:hAnsi="游ゴシック" w:eastAsia="游ゴシック"/>
          <w:b w:val="0"/>
          <w:i w:val="0"/>
          <w:sz w:val="21"/>
        </w:rPr>
        <w:t>・特別支援学校卒業予定者の進路希望から新規の需要を積み上げ、見込量に反映させます（第3部第2章2）。</w:t>
      </w:r>
    </w:p>
    <w:p>
      <w:pPr>
        <w:spacing w:before="60" w:after="60"/>
      </w:pPr>
      <w:r>
        <w:rPr>
          <w:rFonts w:ascii="游ゴシック" w:hAnsi="游ゴシック" w:eastAsia="游ゴシック"/>
          <w:b/>
          <w:i w:val="0"/>
          <w:sz w:val="21"/>
        </w:rPr>
        <w:t>2　障がい者雇用の促進</w:t>
      </w:r>
    </w:p>
    <w:p>
      <w:pPr>
        <w:spacing w:before="40" w:after="40"/>
        <w:ind w:left="227"/>
      </w:pPr>
      <w:r>
        <w:rPr>
          <w:rFonts w:ascii="游ゴシック" w:hAnsi="游ゴシック" w:eastAsia="游ゴシック"/>
          <w:b w:val="0"/>
          <w:i w:val="0"/>
          <w:sz w:val="21"/>
        </w:rPr>
        <w:t>・障がい者雇用の促進について、</w:t>
      </w:r>
      <w:r>
        <w:rPr>
          <w:rFonts w:ascii="游ゴシック" w:hAnsi="游ゴシック" w:eastAsia="游ゴシック"/>
          <w:b/>
          <w:i w:val="0"/>
          <w:sz w:val="21"/>
        </w:rPr>
        <w:t>ハローワーク・障害者就業・生活支援センター</w:t>
      </w:r>
      <w:r>
        <w:rPr>
          <w:rFonts w:ascii="游ゴシック" w:hAnsi="游ゴシック" w:eastAsia="游ゴシック"/>
          <w:b w:val="0"/>
          <w:i w:val="0"/>
          <w:sz w:val="21"/>
        </w:rPr>
        <w:t>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職場の理解</w:t>
      </w:r>
      <w:r>
        <w:rPr>
          <w:rFonts w:ascii="游ゴシック" w:hAnsi="游ゴシック" w:eastAsia="游ゴシック"/>
          <w:b w:val="0"/>
          <w:i w:val="0"/>
          <w:sz w:val="21"/>
        </w:rPr>
        <w:t>を広げる取組と、</w:t>
      </w:r>
      <w:r>
        <w:rPr>
          <w:rFonts w:ascii="游ゴシック" w:hAnsi="游ゴシック" w:eastAsia="游ゴシック"/>
          <w:b/>
          <w:i w:val="0"/>
          <w:sz w:val="21"/>
        </w:rPr>
        <w:t>通勤の支援</w:t>
      </w:r>
      <w:r>
        <w:rPr>
          <w:rFonts w:ascii="游ゴシック" w:hAnsi="游ゴシック" w:eastAsia="游ゴシック"/>
          <w:b w:val="0"/>
          <w:i w:val="0"/>
          <w:sz w:val="21"/>
        </w:rPr>
        <w:t>について検討します。</w:t>
      </w:r>
    </w:p>
    <w:p>
      <w:pPr>
        <w:spacing w:before="60" w:after="60"/>
      </w:pPr>
      <w:r>
        <w:rPr>
          <w:rFonts w:ascii="游ゴシック" w:hAnsi="游ゴシック" w:eastAsia="游ゴシック"/>
          <w:b/>
          <w:i w:val="0"/>
          <w:sz w:val="21"/>
        </w:rPr>
        <w:t>3　福祉的就労の充実</w:t>
      </w:r>
    </w:p>
    <w:p>
      <w:pPr>
        <w:spacing w:before="40" w:after="40"/>
        <w:ind w:left="227"/>
      </w:pPr>
      <w:r>
        <w:rPr>
          <w:rFonts w:ascii="游ゴシック" w:hAnsi="游ゴシック" w:eastAsia="游ゴシック"/>
          <w:b w:val="0"/>
          <w:i w:val="0"/>
          <w:sz w:val="21"/>
        </w:rPr>
        <w:t>・就労継続支援B型を中心とする福祉的就労の充実と、</w:t>
      </w:r>
      <w:r>
        <w:rPr>
          <w:rFonts w:ascii="游ゴシック" w:hAnsi="游ゴシック" w:eastAsia="游ゴシック"/>
          <w:b/>
          <w:i w:val="0"/>
          <w:sz w:val="21"/>
        </w:rPr>
        <w:t>農福連携</w:t>
      </w:r>
      <w:r>
        <w:rPr>
          <w:rFonts w:ascii="游ゴシック" w:hAnsi="游ゴシック" w:eastAsia="游ゴシック"/>
          <w:b w:val="0"/>
          <w:i w:val="0"/>
          <w:sz w:val="21"/>
        </w:rPr>
        <w:t>等による就労機会の確保を図ります。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町内に就労系の事業所がない</w:t>
      </w:r>
      <w:r>
        <w:rPr>
          <w:rFonts w:ascii="游ゴシック" w:hAnsi="游ゴシック" w:eastAsia="游ゴシック"/>
          <w:b w:val="0"/>
          <w:i w:val="0"/>
          <w:sz w:val="21"/>
        </w:rPr>
        <w:t>ため、町外の事業所との連携が前提となります（第3部第3章2・3）。</w:t>
      </w:r>
    </w:p>
    <w:p>
      <w:pPr>
        <w:spacing w:before="60" w:after="60"/>
      </w:pPr>
      <w:r>
        <w:rPr>
          <w:rFonts w:ascii="游ゴシック" w:hAnsi="游ゴシック" w:eastAsia="游ゴシック"/>
          <w:b/>
          <w:i w:val="0"/>
          <w:sz w:val="21"/>
        </w:rPr>
        <w:t>4　経済的自立の支援</w:t>
      </w:r>
    </w:p>
    <w:p>
      <w:pPr>
        <w:spacing w:before="40" w:after="40"/>
        <w:ind w:left="227"/>
      </w:pPr>
      <w:r>
        <w:rPr>
          <w:rFonts w:ascii="游ゴシック" w:hAnsi="游ゴシック" w:eastAsia="游ゴシック"/>
          <w:b w:val="0"/>
          <w:i w:val="0"/>
          <w:sz w:val="21"/>
        </w:rPr>
        <w:t>・経済的自立の支援について、工賃の向上を図ります。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経済的負担の軽減（第7章5）と合わせて、収入と支出の両面から考えます。</w:t>
      </w:r>
    </w:p>
    <w:p>
      <w:pPr>
        <w:spacing w:after="120"/>
      </w:pPr>
    </w:p>
    <w:p>
      <w:pPr>
        <w:keepNext/>
        <w:spacing w:before="200" w:after="40"/>
      </w:pPr>
      <w:r>
        <w:rPr>
          <w:rFonts w:ascii="游ゴシック" w:hAnsi="游ゴシック" w:eastAsia="游ゴシック"/>
          <w:b/>
          <w:i w:val="0"/>
          <w:color w:val="1F4D78"/>
          <w:sz w:val="22"/>
        </w:rPr>
        <w:t>【表23】第2部　おのまち障がい者計画　第9章　雇用・就業、経済的自立の支援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第9章の指標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5" w:name="_Toc_015"/>
      <w:r>
        <w:rPr>
          <w:rFonts w:ascii="游ゴシック" w:hAnsi="游ゴシック" w:eastAsia="游ゴシック"/>
          <w:b/>
          <w:i w:val="0"/>
          <w:color w:val="2E74B5"/>
          <w:sz w:val="25"/>
        </w:rPr>
        <w:t>第10章　文化芸術活動・スポーツ等の振興</w:t>
      </w:r>
      <w:bookmarkEnd w:id="115"/>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文化芸術活動・スポーツへの参加は、社会参加と地域交流の機会です。本町における参加の状況は【町データ待ち】です。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文化芸術活動の振興</w:t>
      </w:r>
    </w:p>
    <w:p>
      <w:pPr>
        <w:spacing w:before="40" w:after="40"/>
        <w:ind w:left="227"/>
      </w:pPr>
      <w:r>
        <w:rPr>
          <w:rFonts w:ascii="游ゴシック" w:hAnsi="游ゴシック" w:eastAsia="游ゴシック"/>
          <w:b w:val="0"/>
          <w:i w:val="0"/>
          <w:sz w:val="21"/>
        </w:rPr>
        <w:t>・文化芸術活動の振興について、発表と鑑賞の機会の確保に努めます。</w:t>
      </w:r>
    </w:p>
    <w:p>
      <w:pPr>
        <w:spacing w:before="60" w:after="60"/>
      </w:pPr>
      <w:r>
        <w:rPr>
          <w:rFonts w:ascii="游ゴシック" w:hAnsi="游ゴシック" w:eastAsia="游ゴシック"/>
          <w:b/>
          <w:i w:val="0"/>
          <w:sz w:val="21"/>
        </w:rPr>
        <w:t>2　スポーツ・レクリエーションの振興</w:t>
      </w:r>
    </w:p>
    <w:p>
      <w:pPr>
        <w:spacing w:before="40" w:after="40"/>
        <w:ind w:left="227"/>
      </w:pPr>
      <w:r>
        <w:rPr>
          <w:rFonts w:ascii="游ゴシック" w:hAnsi="游ゴシック" w:eastAsia="游ゴシック"/>
          <w:b w:val="0"/>
          <w:i w:val="0"/>
          <w:sz w:val="21"/>
        </w:rPr>
        <w:t>・スポーツ・レクリエーションの振興について、参加しやすい機会づくりを進めます。</w:t>
      </w:r>
    </w:p>
    <w:p>
      <w:pPr>
        <w:spacing w:before="60" w:after="60"/>
      </w:pPr>
      <w:r>
        <w:rPr>
          <w:rFonts w:ascii="游ゴシック" w:hAnsi="游ゴシック" w:eastAsia="游ゴシック"/>
          <w:b/>
          <w:i w:val="0"/>
          <w:sz w:val="21"/>
        </w:rPr>
        <w:t>3　地域交流・社会参加の促進</w:t>
      </w:r>
    </w:p>
    <w:p>
      <w:pPr>
        <w:spacing w:before="40" w:after="40"/>
        <w:ind w:left="227"/>
      </w:pPr>
      <w:r>
        <w:rPr>
          <w:rFonts w:ascii="游ゴシック" w:hAnsi="游ゴシック" w:eastAsia="游ゴシック"/>
          <w:b w:val="0"/>
          <w:i w:val="0"/>
          <w:sz w:val="21"/>
        </w:rPr>
        <w:t>・地域交流・社会参加の促進について、</w:t>
      </w:r>
      <w:r>
        <w:rPr>
          <w:rFonts w:ascii="游ゴシック" w:hAnsi="游ゴシック" w:eastAsia="游ゴシック"/>
          <w:b/>
          <w:i w:val="0"/>
          <w:sz w:val="21"/>
        </w:rPr>
        <w:t>地域活動支援センターの活用</w:t>
      </w:r>
      <w:r>
        <w:rPr>
          <w:rFonts w:ascii="游ゴシック" w:hAnsi="游ゴシック" w:eastAsia="游ゴシック"/>
          <w:b w:val="0"/>
          <w:i w:val="0"/>
          <w:sz w:val="21"/>
        </w:rPr>
        <w:t>と、住民との交流の機会づくりを進めます。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に向けて、第3期地域福祉計画の地域づくりと一体で進めます。</w:t>
      </w:r>
    </w:p>
    <w:p>
      <w:pPr>
        <w:spacing w:after="120"/>
      </w:pPr>
    </w:p>
    <w:p>
      <w:pPr>
        <w:keepNext/>
        <w:spacing w:before="200" w:after="40"/>
      </w:pPr>
      <w:r>
        <w:rPr>
          <w:rFonts w:ascii="游ゴシック" w:hAnsi="游ゴシック" w:eastAsia="游ゴシック"/>
          <w:b/>
          <w:i w:val="0"/>
          <w:color w:val="1F4D78"/>
          <w:sz w:val="22"/>
        </w:rPr>
        <w:t>【表24】第2部　おのまち障がい者計画　第10章　文化芸術活動・スポーツ等の振興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第10章の指標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16" w:name="_Toc_016"/>
      <w:r>
        <w:rPr>
          <w:rFonts w:ascii="游ゴシック" w:hAnsi="游ゴシック" w:eastAsia="游ゴシック"/>
          <w:b/>
          <w:i w:val="0"/>
          <w:color w:val="2E74B5"/>
          <w:sz w:val="30"/>
        </w:rPr>
        <w:t>第3部　第8期障がい福祉計画・第4期障がい児福祉計画</w:t>
      </w:r>
      <w:bookmarkEnd w:id="116"/>
    </w:p>
    <w:p>
      <w:pPr>
        <w:spacing w:before="60" w:after="60"/>
      </w:pPr>
      <w:r>
        <w:rPr>
          <w:rFonts w:ascii="游ゴシック" w:hAnsi="游ゴシック" w:eastAsia="游ゴシック"/>
          <w:b/>
          <w:i w:val="0"/>
          <w:sz w:val="21"/>
        </w:rPr>
        <w:t>本部は、障害者総合支援法第88条第1項に基づく市町村障害福祉計画及び児童福祉法第33条の20第1項に基づく市町村障害児福祉計画です。</w:t>
      </w:r>
      <w:r>
        <w:rPr>
          <w:rFonts w:ascii="游ゴシック" w:hAnsi="游ゴシック" w:eastAsia="游ゴシック"/>
          <w:b w:val="0"/>
          <w:i w:val="0"/>
          <w:sz w:val="21"/>
        </w:rPr>
        <w:t>国の基本指針（令和8年3月31日告示）に即して、成果目標・活動指標・サービス見込量を定めます。</w:t>
      </w:r>
    </w:p>
    <w:p>
      <w:pPr>
        <w:spacing w:before="40" w:after="160"/>
        <w:ind w:left="113"/>
      </w:pPr>
      <w:r>
        <w:rPr>
          <w:rFonts w:ascii="游ゴシック" w:hAnsi="游ゴシック" w:eastAsia="游ゴシック"/>
          <w:b/>
          <w:i w:val="0"/>
          <w:sz w:val="17"/>
        </w:rPr>
        <w:t>※ 第8期の基本指針は、医療的ケア児支援法の改正（令和8年法律第77号）を踏まえて再改正される見込みです。</w:t>
      </w:r>
      <w:r>
        <w:rPr>
          <w:rFonts w:ascii="游ゴシック" w:hAnsi="游ゴシック" w:eastAsia="游ゴシック"/>
          <w:b w:val="0"/>
          <w:i w:val="0"/>
          <w:sz w:val="17"/>
        </w:rPr>
        <w:t>再改正の範囲と時期を県に照会しています（【決定後に記載】）。</w:t>
      </w:r>
    </w:p>
    <w:p>
      <w:pPr>
        <w:pStyle w:val="Heading2"/>
        <w:keepNext/>
        <w:spacing w:before="180" w:after="100"/>
      </w:pPr>
      <w:bookmarkStart w:id="117" w:name="_Toc_017"/>
      <w:r>
        <w:rPr>
          <w:rFonts w:ascii="游ゴシック" w:hAnsi="游ゴシック" w:eastAsia="游ゴシック"/>
          <w:b/>
          <w:i w:val="0"/>
          <w:color w:val="2E74B5"/>
          <w:sz w:val="25"/>
        </w:rPr>
        <w:t>第1章　成果目標</w:t>
      </w:r>
      <w:bookmarkEnd w:id="117"/>
    </w:p>
    <w:p>
      <w:pPr>
        <w:spacing w:before="60" w:after="60"/>
      </w:pPr>
      <w:r>
        <w:rPr>
          <w:rFonts w:ascii="游ゴシック" w:hAnsi="游ゴシック" w:eastAsia="游ゴシック"/>
          <w:b w:val="0"/>
          <w:i w:val="0"/>
          <w:sz w:val="21"/>
        </w:rPr>
        <w:t>国の基本指針が示す8つの分野に対応して、成果目標を設定します。</w:t>
      </w:r>
      <w:r>
        <w:rPr>
          <w:rFonts w:ascii="游ゴシック" w:hAnsi="游ゴシック" w:eastAsia="游ゴシック"/>
          <w:b/>
          <w:i w:val="0"/>
          <w:sz w:val="21"/>
        </w:rPr>
        <w:t>目標値は【協議会で設定】です。</w:t>
      </w:r>
    </w:p>
    <w:p>
      <w:pPr>
        <w:keepNext/>
        <w:spacing w:before="200" w:after="40"/>
      </w:pPr>
      <w:r>
        <w:rPr>
          <w:rFonts w:ascii="游ゴシック" w:hAnsi="游ゴシック" w:eastAsia="游ゴシック"/>
          <w:b/>
          <w:i w:val="0"/>
          <w:color w:val="1F4D78"/>
          <w:sz w:val="22"/>
        </w:rPr>
        <w:t>【表25】第3部　第8期障がい福祉計画・第4期障がい児福祉計画　第1章　成果目標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54"/>
        <w:gridCol w:w="2494"/>
        <w:gridCol w:w="2041"/>
        <w:gridCol w:w="3061"/>
      </w:tblGrid>
      <w:tr>
        <w:tc>
          <w:tcPr>
            <w:tcW w:type="dxa" w:w="215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目標項目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第7期の設定</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第8期の設定方針</w:t>
            </w:r>
          </w:p>
        </w:tc>
      </w:tr>
      <w:tr>
        <w:tc>
          <w:tcPr>
            <w:tcW w:type="dxa" w:w="2154"/>
            <w:vAlign w:val="center"/>
          </w:tcPr>
          <w:p>
            <w:pPr>
              <w:spacing w:before="20" w:after="20"/>
            </w:pPr>
            <w:r>
              <w:rPr>
                <w:rFonts w:ascii="游ゴシック" w:hAnsi="游ゴシック" w:eastAsia="游ゴシック"/>
                <w:b w:val="0"/>
                <w:i w:val="0"/>
                <w:sz w:val="17"/>
              </w:rPr>
              <w:t>①　施設入所者の地域生活移行</w:t>
            </w:r>
          </w:p>
        </w:tc>
        <w:tc>
          <w:tcPr>
            <w:tcW w:type="dxa" w:w="2494"/>
            <w:vAlign w:val="center"/>
          </w:tcPr>
          <w:p>
            <w:pPr>
              <w:spacing w:before="20" w:after="20"/>
            </w:pPr>
            <w:r>
              <w:rPr>
                <w:rFonts w:ascii="游ゴシック" w:hAnsi="游ゴシック" w:eastAsia="游ゴシック"/>
                <w:b w:val="0"/>
                <w:i w:val="0"/>
                <w:sz w:val="17"/>
              </w:rPr>
              <w:t>地域生活移行者数、施設入所者数の削減</w:t>
            </w:r>
          </w:p>
        </w:tc>
        <w:tc>
          <w:tcPr>
            <w:tcW w:type="dxa" w:w="2041"/>
            <w:vAlign w:val="center"/>
          </w:tcPr>
          <w:p>
            <w:pPr>
              <w:spacing w:before="20" w:after="20"/>
            </w:pPr>
            <w:r>
              <w:rPr>
                <w:rFonts w:ascii="游ゴシック" w:hAnsi="游ゴシック" w:eastAsia="游ゴシック"/>
                <w:b w:val="0"/>
                <w:i w:val="0"/>
                <w:sz w:val="17"/>
              </w:rPr>
              <w:t>令和4年度末26人を基準に設定</w:t>
            </w:r>
          </w:p>
        </w:tc>
        <w:tc>
          <w:tcPr>
            <w:tcW w:type="dxa" w:w="3061"/>
            <w:vAlign w:val="center"/>
          </w:tcPr>
          <w:p>
            <w:pPr>
              <w:spacing w:before="20" w:after="20"/>
            </w:pPr>
            <w:r>
              <w:rPr>
                <w:rFonts w:ascii="游ゴシック" w:hAnsi="游ゴシック" w:eastAsia="游ゴシック"/>
                <w:b w:val="0"/>
                <w:i w:val="0"/>
                <w:sz w:val="17"/>
              </w:rPr>
              <w:t>令和7年度末の確定値を基準に、国の考え方に基づき設定（【協議会で設定】）。基準となる令和7年度末の施設入所者数は【町データ待ち】</w:t>
            </w:r>
          </w:p>
        </w:tc>
      </w:tr>
      <w:tr>
        <w:tc>
          <w:tcPr>
            <w:tcW w:type="dxa" w:w="2154"/>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2494"/>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2041"/>
            <w:vAlign w:val="center"/>
          </w:tcPr>
          <w:p>
            <w:pPr>
              <w:spacing w:before="20" w:after="20"/>
            </w:pPr>
            <w:r>
              <w:rPr>
                <w:rFonts w:ascii="游ゴシック" w:hAnsi="游ゴシック" w:eastAsia="游ゴシック"/>
                <w:b/>
                <w:i w:val="0"/>
                <w:sz w:val="17"/>
              </w:rPr>
              <w:t>設定なし</w:t>
            </w:r>
          </w:p>
        </w:tc>
        <w:tc>
          <w:tcPr>
            <w:tcW w:type="dxa" w:w="3061"/>
            <w:vAlign w:val="center"/>
          </w:tcPr>
          <w:p>
            <w:pPr>
              <w:spacing w:before="20" w:after="20"/>
            </w:pPr>
            <w:r>
              <w:rPr>
                <w:rFonts w:ascii="游ゴシック" w:hAnsi="游ゴシック" w:eastAsia="游ゴシック"/>
                <w:b/>
                <w:i w:val="0"/>
                <w:sz w:val="17"/>
              </w:rPr>
              <w:t>成果目標は県が設定し、町は活動指標を置く。</w:t>
            </w:r>
            <w:r>
              <w:rPr>
                <w:rFonts w:ascii="游ゴシック" w:hAnsi="游ゴシック" w:eastAsia="游ゴシック"/>
                <w:b w:val="0"/>
                <w:i w:val="0"/>
                <w:sz w:val="17"/>
              </w:rPr>
              <w:t>県中医療圏の協議の場への参加状況を指標とする（県に照会中。【協議会で設定】）</w:t>
            </w:r>
          </w:p>
        </w:tc>
      </w:tr>
      <w:tr>
        <w:tc>
          <w:tcPr>
            <w:tcW w:type="dxa" w:w="2154"/>
            <w:vAlign w:val="center"/>
          </w:tcPr>
          <w:p>
            <w:pPr>
              <w:spacing w:before="20" w:after="20"/>
            </w:pPr>
            <w:r>
              <w:rPr>
                <w:rFonts w:ascii="游ゴシック" w:hAnsi="游ゴシック" w:eastAsia="游ゴシック"/>
                <w:b w:val="0"/>
                <w:i w:val="0"/>
                <w:sz w:val="17"/>
              </w:rPr>
              <w:t>③　地域生活支援の充実</w:t>
            </w:r>
          </w:p>
        </w:tc>
        <w:tc>
          <w:tcPr>
            <w:tcW w:type="dxa" w:w="2494"/>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2041"/>
            <w:vAlign w:val="center"/>
          </w:tcPr>
          <w:p>
            <w:pPr>
              <w:spacing w:before="20" w:after="20"/>
            </w:pPr>
            <w:r>
              <w:rPr>
                <w:rFonts w:ascii="游ゴシック" w:hAnsi="游ゴシック" w:eastAsia="游ゴシック"/>
                <w:b w:val="0"/>
                <w:i w:val="0"/>
                <w:sz w:val="17"/>
              </w:rPr>
              <w:t>拠点1か所・コーディネーター1人の維持、強度行動障がい（無→有）</w:t>
            </w:r>
          </w:p>
        </w:tc>
        <w:tc>
          <w:tcPr>
            <w:tcW w:type="dxa" w:w="3061"/>
            <w:vAlign w:val="center"/>
          </w:tcPr>
          <w:p>
            <w:pPr>
              <w:spacing w:before="20" w:after="20"/>
            </w:pPr>
            <w:r>
              <w:rPr>
                <w:rFonts w:ascii="游ゴシック" w:hAnsi="游ゴシック" w:eastAsia="游ゴシック"/>
                <w:b/>
                <w:i w:val="0"/>
                <w:sz w:val="17"/>
              </w:rPr>
              <w:t>拠点の5つの機能ごとに運用状況を評価して設定</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④　福祉施設から一般就労への移行等</w:t>
            </w:r>
          </w:p>
        </w:tc>
        <w:tc>
          <w:tcPr>
            <w:tcW w:type="dxa" w:w="2494"/>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2041"/>
            <w:vAlign w:val="center"/>
          </w:tcPr>
          <w:p>
            <w:pPr>
              <w:spacing w:before="20" w:after="20"/>
            </w:pPr>
            <w:r>
              <w:rPr>
                <w:rFonts w:ascii="游ゴシック" w:hAnsi="游ゴシック" w:eastAsia="游ゴシック"/>
                <w:b w:val="0"/>
                <w:i w:val="0"/>
                <w:sz w:val="17"/>
              </w:rPr>
              <w:t>移行者数・定着支援利用者数を設定</w:t>
            </w:r>
          </w:p>
        </w:tc>
        <w:tc>
          <w:tcPr>
            <w:tcW w:type="dxa" w:w="3061"/>
            <w:vAlign w:val="center"/>
          </w:tcPr>
          <w:p>
            <w:pPr>
              <w:spacing w:before="20" w:after="20"/>
            </w:pPr>
            <w:r>
              <w:rPr>
                <w:rFonts w:ascii="游ゴシック" w:hAnsi="游ゴシック" w:eastAsia="游ゴシック"/>
                <w:b/>
                <w:i w:val="0"/>
                <w:sz w:val="17"/>
              </w:rPr>
              <w:t>就労選択支援は利用の機会の確保を指標とする</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⑤　相談支援体制の充実・強化等</w:t>
            </w:r>
          </w:p>
        </w:tc>
        <w:tc>
          <w:tcPr>
            <w:tcW w:type="dxa" w:w="2494"/>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2041"/>
            <w:vAlign w:val="center"/>
          </w:tcPr>
          <w:p>
            <w:pPr>
              <w:spacing w:before="20" w:after="20"/>
            </w:pPr>
            <w:r>
              <w:rPr>
                <w:rFonts w:ascii="游ゴシック" w:hAnsi="游ゴシック" w:eastAsia="游ゴシック"/>
                <w:b w:val="0"/>
                <w:i w:val="0"/>
                <w:sz w:val="17"/>
              </w:rPr>
              <w:t>設置維持、指導・助言件数</w:t>
            </w:r>
          </w:p>
        </w:tc>
        <w:tc>
          <w:tcPr>
            <w:tcW w:type="dxa" w:w="3061"/>
            <w:vAlign w:val="center"/>
          </w:tcPr>
          <w:p>
            <w:pPr>
              <w:spacing w:before="20" w:after="20"/>
            </w:pPr>
            <w:r>
              <w:rPr>
                <w:rFonts w:ascii="游ゴシック" w:hAnsi="游ゴシック" w:eastAsia="游ゴシック"/>
                <w:b/>
                <w:i w:val="0"/>
                <w:sz w:val="17"/>
              </w:rPr>
              <w:t>望まないセルフプランを令和11年度末までにゼロとする</w:t>
            </w:r>
            <w:r>
              <w:rPr>
                <w:rFonts w:ascii="游ゴシック" w:hAnsi="游ゴシック" w:eastAsia="游ゴシック"/>
                <w:b w:val="0"/>
                <w:i w:val="0"/>
                <w:sz w:val="17"/>
              </w:rPr>
              <w:t>国の新規目標に対応。現状件数は【町データ待ち】</w:t>
            </w:r>
          </w:p>
        </w:tc>
      </w:tr>
      <w:tr>
        <w:tc>
          <w:tcPr>
            <w:tcW w:type="dxa" w:w="2154"/>
            <w:vAlign w:val="center"/>
          </w:tcPr>
          <w:p>
            <w:pPr>
              <w:spacing w:before="20" w:after="20"/>
            </w:pPr>
            <w:r>
              <w:rPr>
                <w:rFonts w:ascii="游ゴシック" w:hAnsi="游ゴシック" w:eastAsia="游ゴシック"/>
                <w:b w:val="0"/>
                <w:i w:val="0"/>
                <w:sz w:val="17"/>
              </w:rPr>
              <w:t>⑥　障害福祉サービス等の質の向上</w:t>
            </w:r>
          </w:p>
        </w:tc>
        <w:tc>
          <w:tcPr>
            <w:tcW w:type="dxa" w:w="2494"/>
            <w:vAlign w:val="center"/>
          </w:tcPr>
          <w:p>
            <w:pPr>
              <w:spacing w:before="20" w:after="20"/>
            </w:pPr>
            <w:r>
              <w:rPr>
                <w:rFonts w:ascii="游ゴシック" w:hAnsi="游ゴシック" w:eastAsia="游ゴシック"/>
                <w:b w:val="0"/>
                <w:i w:val="0"/>
                <w:sz w:val="17"/>
              </w:rPr>
              <w:t>研修参加、情報公表制度の公表率・更新率</w:t>
            </w:r>
          </w:p>
        </w:tc>
        <w:tc>
          <w:tcPr>
            <w:tcW w:type="dxa" w:w="2041"/>
            <w:vAlign w:val="center"/>
          </w:tcPr>
          <w:p>
            <w:pPr>
              <w:spacing w:before="20" w:after="20"/>
            </w:pPr>
            <w:r>
              <w:rPr>
                <w:rFonts w:ascii="游ゴシック" w:hAnsi="游ゴシック" w:eastAsia="游ゴシック"/>
                <w:b w:val="0"/>
                <w:i w:val="0"/>
                <w:sz w:val="17"/>
              </w:rPr>
              <w:t>県研修への参加等</w:t>
            </w:r>
          </w:p>
        </w:tc>
        <w:tc>
          <w:tcPr>
            <w:tcW w:type="dxa" w:w="3061"/>
            <w:vAlign w:val="center"/>
          </w:tcPr>
          <w:p>
            <w:pPr>
              <w:spacing w:before="20" w:after="20"/>
            </w:pPr>
            <w:r>
              <w:rPr>
                <w:rFonts w:ascii="游ゴシック" w:hAnsi="游ゴシック" w:eastAsia="游ゴシック"/>
                <w:b/>
                <w:i w:val="0"/>
                <w:sz w:val="17"/>
              </w:rPr>
              <w:t>情報公表制度の公表率・更新率100％</w:t>
            </w:r>
            <w:r>
              <w:rPr>
                <w:rFonts w:ascii="游ゴシック" w:hAnsi="游ゴシック" w:eastAsia="游ゴシック"/>
                <w:b w:val="0"/>
                <w:i w:val="0"/>
                <w:sz w:val="17"/>
              </w:rPr>
              <w:t>（国の新規目標）</w:t>
            </w:r>
          </w:p>
        </w:tc>
      </w:tr>
      <w:tr>
        <w:tc>
          <w:tcPr>
            <w:tcW w:type="dxa" w:w="2154"/>
            <w:vAlign w:val="center"/>
          </w:tcPr>
          <w:p>
            <w:pPr>
              <w:keepNext/>
              <w:spacing w:before="20" w:after="20"/>
            </w:pPr>
            <w:r>
              <w:rPr>
                <w:rFonts w:ascii="游ゴシック" w:hAnsi="游ゴシック" w:eastAsia="游ゴシック"/>
                <w:b w:val="0"/>
                <w:i w:val="0"/>
                <w:sz w:val="17"/>
              </w:rPr>
              <w:t>⑦　障害福祉人材の確保・定着、生産性向上</w:t>
            </w:r>
          </w:p>
        </w:tc>
        <w:tc>
          <w:tcPr>
            <w:tcW w:type="dxa" w:w="2494"/>
            <w:vAlign w:val="center"/>
          </w:tcPr>
          <w:p>
            <w:pPr>
              <w:keepNext/>
              <w:spacing w:before="20" w:after="20"/>
            </w:pPr>
            <w:r>
              <w:rPr>
                <w:rFonts w:ascii="游ゴシック" w:hAnsi="游ゴシック" w:eastAsia="游ゴシック"/>
                <w:b w:val="0"/>
                <w:i w:val="0"/>
                <w:sz w:val="17"/>
              </w:rPr>
              <w:t>人材確保、生産性向上の取組</w:t>
            </w:r>
          </w:p>
        </w:tc>
        <w:tc>
          <w:tcPr>
            <w:tcW w:type="dxa" w:w="2041"/>
            <w:vAlign w:val="center"/>
          </w:tcPr>
          <w:p>
            <w:pPr>
              <w:keepNext/>
              <w:spacing w:before="20" w:after="20"/>
            </w:pPr>
            <w:r>
              <w:rPr>
                <w:rFonts w:ascii="游ゴシック" w:hAnsi="游ゴシック" w:eastAsia="游ゴシック"/>
                <w:b w:val="0"/>
                <w:i w:val="0"/>
                <w:sz w:val="17"/>
              </w:rPr>
              <w:t>（</w:t>
            </w:r>
            <w:r>
              <w:rPr>
                <w:rFonts w:ascii="游ゴシック" w:hAnsi="游ゴシック" w:eastAsia="游ゴシック"/>
                <w:b/>
                <w:i w:val="0"/>
                <w:sz w:val="17"/>
              </w:rPr>
              <w:t>新規の柱</w:t>
            </w:r>
            <w:r>
              <w:rPr>
                <w:rFonts w:ascii="游ゴシック" w:hAnsi="游ゴシック" w:eastAsia="游ゴシック"/>
                <w:b w:val="0"/>
                <w:i w:val="0"/>
                <w:sz w:val="17"/>
              </w:rPr>
              <w:t>）</w:t>
            </w:r>
          </w:p>
        </w:tc>
        <w:tc>
          <w:tcPr>
            <w:tcW w:type="dxa" w:w="3061"/>
            <w:vAlign w:val="center"/>
          </w:tcPr>
          <w:p>
            <w:pPr>
              <w:keepNext/>
              <w:spacing w:before="20" w:after="20"/>
            </w:pPr>
            <w:r>
              <w:rPr>
                <w:rFonts w:ascii="游ゴシック" w:hAnsi="游ゴシック" w:eastAsia="游ゴシック"/>
                <w:b/>
                <w:i w:val="0"/>
                <w:sz w:val="17"/>
              </w:rPr>
              <w:t>国は都道府県にワンストップ窓口・連携協議会を求める。</w:t>
            </w:r>
            <w:r>
              <w:rPr>
                <w:rFonts w:ascii="游ゴシック" w:hAnsi="游ゴシック" w:eastAsia="游ゴシック"/>
                <w:b w:val="0"/>
                <w:i w:val="0"/>
                <w:sz w:val="17"/>
              </w:rPr>
              <w:t>町の取組は</w:t>
            </w:r>
            <w:r>
              <w:rPr>
                <w:rFonts w:ascii="游ゴシック" w:hAnsi="游ゴシック" w:eastAsia="游ゴシック"/>
                <w:b/>
                <w:i w:val="0"/>
                <w:sz w:val="17"/>
              </w:rPr>
              <w:t>県と連携した取組</w:t>
            </w:r>
            <w:r>
              <w:rPr>
                <w:rFonts w:ascii="游ゴシック" w:hAnsi="游ゴシック" w:eastAsia="游ゴシック"/>
                <w:b w:val="0"/>
                <w:i w:val="0"/>
                <w:sz w:val="17"/>
              </w:rPr>
              <w:t>として置く（法第88条第3項第3号〜第5号）</w:t>
            </w:r>
          </w:p>
        </w:tc>
      </w:tr>
      <w:tr>
        <w:tc>
          <w:tcPr>
            <w:tcW w:type="dxa" w:w="2154"/>
            <w:vAlign w:val="center"/>
          </w:tcPr>
          <w:p>
            <w:pPr>
              <w:spacing w:before="20" w:after="20"/>
            </w:pPr>
            <w:r>
              <w:rPr>
                <w:rFonts w:ascii="游ゴシック" w:hAnsi="游ゴシック" w:eastAsia="游ゴシック"/>
                <w:b w:val="0"/>
                <w:i w:val="0"/>
                <w:sz w:val="17"/>
              </w:rPr>
              <w:t>⑧　障害児支援の提供体制の整備等</w:t>
            </w:r>
          </w:p>
        </w:tc>
        <w:tc>
          <w:tcPr>
            <w:tcW w:type="dxa" w:w="2494"/>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2041"/>
            <w:vAlign w:val="center"/>
          </w:tcPr>
          <w:p>
            <w:pPr>
              <w:spacing w:before="20" w:after="20"/>
            </w:pPr>
            <w:r>
              <w:rPr>
                <w:rFonts w:ascii="游ゴシック" w:hAnsi="游ゴシック" w:eastAsia="游ゴシック"/>
                <w:b w:val="0"/>
                <w:i w:val="0"/>
                <w:sz w:val="17"/>
              </w:rPr>
              <w:t>センター等各1か所の維持、重症心身障がい児対応・医療的ケア児等コーディネーターの整備</w:t>
            </w:r>
          </w:p>
        </w:tc>
        <w:tc>
          <w:tcPr>
            <w:tcW w:type="dxa" w:w="3061"/>
            <w:vAlign w:val="center"/>
          </w:tcPr>
          <w:p>
            <w:pPr>
              <w:spacing w:before="20" w:after="20"/>
            </w:pPr>
            <w:r>
              <w:rPr>
                <w:rFonts w:ascii="游ゴシック" w:hAnsi="游ゴシック" w:eastAsia="游ゴシック"/>
                <w:b/>
                <w:i w:val="0"/>
                <w:sz w:val="17"/>
              </w:rPr>
              <w:t>医療的ケア児支援法の改正を踏まえ、成人期（医療的ケア者・重症心身障害者）を含む構えで設定。</w:t>
            </w:r>
            <w:r>
              <w:rPr>
                <w:rFonts w:ascii="游ゴシック" w:hAnsi="游ゴシック" w:eastAsia="游ゴシック"/>
                <w:b w:val="0"/>
                <w:i w:val="0"/>
                <w:sz w:val="17"/>
              </w:rPr>
              <w:t>インクルージョン推進の協議の場の設置（国の新規目標）を追加</w:t>
            </w:r>
          </w:p>
        </w:tc>
      </w:tr>
    </w:tbl>
    <w:p>
      <w:pPr>
        <w:spacing w:after="40"/>
      </w:pPr>
    </w:p>
    <w:p>
      <w:pPr>
        <w:spacing w:after="120"/>
      </w:pPr>
    </w:p>
    <w:p>
      <w:pPr>
        <w:spacing w:before="60" w:after="60"/>
      </w:pPr>
      <w:r>
        <w:rPr>
          <w:rFonts w:ascii="游ゴシック" w:hAnsi="游ゴシック" w:eastAsia="游ゴシック"/>
          <w:b/>
          <w:i w:val="0"/>
          <w:sz w:val="21"/>
        </w:rPr>
        <w:t>②は、成果目標そのものを県が設定し、町は活動指標を置く構えです。</w:t>
      </w:r>
      <w:r>
        <w:rPr>
          <w:rFonts w:ascii="游ゴシック" w:hAnsi="游ゴシック" w:eastAsia="游ゴシック"/>
          <w:b w:val="0"/>
          <w:i w:val="0"/>
          <w:sz w:val="21"/>
        </w:rPr>
        <w:t>県中医療圏の協議の場の設置状況を県に照会しています。</w:t>
      </w:r>
      <w:r>
        <w:rPr>
          <w:rFonts w:ascii="游ゴシック" w:hAnsi="游ゴシック" w:eastAsia="游ゴシック"/>
          <w:b/>
          <w:i w:val="0"/>
          <w:sz w:val="21"/>
        </w:rPr>
        <w:t>現行計画では当該分野に数値目標を置いていませんでした。</w:t>
      </w:r>
      <w:r>
        <w:rPr>
          <w:rFonts w:ascii="游ゴシック" w:hAnsi="游ゴシック" w:eastAsia="游ゴシック"/>
          <w:b w:val="0"/>
          <w:i w:val="0"/>
          <w:sz w:val="21"/>
        </w:rPr>
        <w:t>精神障害者保健福祉手帳の所持者が2年間で37.8％増えていることから、</w:t>
      </w:r>
      <w:r>
        <w:rPr>
          <w:rFonts w:ascii="游ゴシック" w:hAnsi="游ゴシック" w:eastAsia="游ゴシック"/>
          <w:b/>
          <w:i w:val="0"/>
          <w:sz w:val="21"/>
        </w:rPr>
        <w:t>本計画で新たに位置づけます。</w:t>
      </w:r>
    </w:p>
    <w:p>
      <w:pPr>
        <w:spacing w:before="60" w:after="60"/>
      </w:pPr>
      <w:r>
        <w:rPr>
          <w:rFonts w:ascii="游ゴシック" w:hAnsi="游ゴシック" w:eastAsia="游ゴシック"/>
          <w:b/>
          <w:i w:val="0"/>
          <w:sz w:val="21"/>
        </w:rPr>
        <w:t>⑦は国の基本指針の新たな柱です。</w:t>
      </w:r>
      <w:r>
        <w:rPr>
          <w:rFonts w:ascii="游ゴシック" w:hAnsi="游ゴシック" w:eastAsia="游ゴシック"/>
          <w:b/>
          <w:i w:val="0"/>
          <w:sz w:val="21"/>
        </w:rPr>
        <w:t>法第88条第3項第3号から第5号まで（いずれも新設）は、いずれも「都道府県と連携した取組に関する事項」と定めています。</w:t>
      </w:r>
      <w:r>
        <w:rPr>
          <w:rFonts w:ascii="游ゴシック" w:hAnsi="游ゴシック" w:eastAsia="游ゴシック"/>
          <w:b w:val="0"/>
          <w:i w:val="0"/>
          <w:sz w:val="21"/>
        </w:rPr>
        <w:t>町単独の取組ではなく、県との連携を軸に置きます（第3章4）。</w:t>
      </w:r>
    </w:p>
    <w:p>
      <w:pPr>
        <w:spacing w:before="60" w:after="60"/>
      </w:pPr>
      <w:r>
        <w:rPr>
          <w:rFonts w:ascii="游ゴシック" w:hAnsi="游ゴシック" w:eastAsia="游ゴシック"/>
          <w:b/>
          <w:i w:val="0"/>
          <w:sz w:val="21"/>
        </w:rPr>
        <w:t>⑧は、医療的ケア児支援法の改正により、支援の対象に18歳以上の医療的ケア者と重症心身障害者が加わったことを踏まえた構えとします。</w:t>
      </w:r>
      <w:r>
        <w:rPr>
          <w:rFonts w:ascii="游ゴシック" w:hAnsi="游ゴシック" w:eastAsia="游ゴシック"/>
          <w:b/>
          <w:i w:val="0"/>
          <w:sz w:val="21"/>
        </w:rPr>
        <w:t>就労支援（第11条の3）・住居の確保（第11条の4）も新たに置かれており、成人期を含めて設定します。</w:t>
      </w:r>
    </w:p>
    <w:p>
      <w:pPr>
        <w:spacing w:after="120"/>
      </w:pPr>
    </w:p>
    <w:p>
      <w:pPr>
        <w:spacing w:before="60" w:after="60"/>
      </w:pPr>
      <w:r>
        <w:rPr>
          <w:rFonts w:ascii="游ゴシック" w:hAnsi="游ゴシック" w:eastAsia="游ゴシック"/>
          <w:b w:val="0"/>
          <w:i w:val="0"/>
          <w:sz w:val="21"/>
        </w:rPr>
        <w:t>第2部の分野別施策と成果目標の対応は、次のとおりです。</w:t>
      </w:r>
    </w:p>
    <w:p>
      <w:pPr>
        <w:keepNext/>
        <w:spacing w:before="200" w:after="40"/>
      </w:pPr>
      <w:r>
        <w:rPr>
          <w:rFonts w:ascii="游ゴシック" w:hAnsi="游ゴシック" w:eastAsia="游ゴシック"/>
          <w:b/>
          <w:i w:val="0"/>
          <w:color w:val="1F4D78"/>
          <w:sz w:val="22"/>
        </w:rPr>
        <w:t>【表26】第3部　第8期障がい福祉計画・第4期障がい児福祉計画　第1章　成果目標（2）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5216"/>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成果目標</w:t>
            </w:r>
          </w:p>
        </w:tc>
        <w:tc>
          <w:tcPr>
            <w:tcW w:type="dxa" w:w="5216"/>
            <w:shd w:val="clear" w:fill="1F3864"/>
            <w:vAlign w:val="center"/>
          </w:tcPr>
          <w:p>
            <w:pPr>
              <w:spacing w:before="20" w:after="20"/>
              <w:jc w:val="center"/>
            </w:pPr>
            <w:r>
              <w:rPr>
                <w:rFonts w:ascii="游ゴシック" w:hAnsi="游ゴシック" w:eastAsia="游ゴシック"/>
                <w:b/>
                <w:i w:val="0"/>
                <w:color w:val="FFFFFF"/>
                <w:sz w:val="17"/>
              </w:rPr>
              <w:t>対応する第2部の章</w:t>
            </w:r>
          </w:p>
        </w:tc>
      </w:tr>
      <w:tr>
        <w:tc>
          <w:tcPr>
            <w:tcW w:type="dxa" w:w="4535"/>
            <w:vAlign w:val="center"/>
          </w:tcPr>
          <w:p>
            <w:pPr>
              <w:spacing w:before="20" w:after="20"/>
            </w:pPr>
            <w:r>
              <w:rPr>
                <w:rFonts w:ascii="游ゴシック" w:hAnsi="游ゴシック" w:eastAsia="游ゴシック"/>
                <w:b w:val="0"/>
                <w:i w:val="0"/>
                <w:sz w:val="17"/>
              </w:rPr>
              <w:t>① 施設入所者の地域生活移行</w:t>
            </w:r>
          </w:p>
        </w:tc>
        <w:tc>
          <w:tcPr>
            <w:tcW w:type="dxa" w:w="5216"/>
            <w:vAlign w:val="center"/>
          </w:tcPr>
          <w:p>
            <w:pPr>
              <w:spacing w:before="20" w:after="20"/>
            </w:pPr>
            <w:r>
              <w:rPr>
                <w:rFonts w:ascii="游ゴシック" w:hAnsi="游ゴシック" w:eastAsia="游ゴシック"/>
                <w:b w:val="0"/>
                <w:i w:val="0"/>
                <w:sz w:val="17"/>
              </w:rPr>
              <w:t>第7章2・3（地域生活支援拠点等）</w:t>
            </w:r>
          </w:p>
        </w:tc>
      </w:tr>
      <w:tr>
        <w:tc>
          <w:tcPr>
            <w:tcW w:type="dxa" w:w="4535"/>
            <w:vAlign w:val="center"/>
          </w:tcPr>
          <w:p>
            <w:pPr>
              <w:spacing w:before="20" w:after="20"/>
            </w:pPr>
            <w:r>
              <w:rPr>
                <w:rFonts w:ascii="游ゴシック" w:hAnsi="游ゴシック" w:eastAsia="游ゴシック"/>
                <w:b w:val="0"/>
                <w:i w:val="0"/>
                <w:sz w:val="17"/>
              </w:rPr>
              <w:t>② にも包括</w:t>
            </w:r>
          </w:p>
        </w:tc>
        <w:tc>
          <w:tcPr>
            <w:tcW w:type="dxa" w:w="5216"/>
            <w:vAlign w:val="center"/>
          </w:tcPr>
          <w:p>
            <w:pPr>
              <w:spacing w:before="20" w:after="20"/>
            </w:pPr>
            <w:r>
              <w:rPr>
                <w:rFonts w:ascii="游ゴシック" w:hAnsi="游ゴシック" w:eastAsia="游ゴシック"/>
                <w:b/>
                <w:i w:val="0"/>
                <w:sz w:val="17"/>
              </w:rPr>
              <w:t>第6章1</w:t>
            </w:r>
            <w:r>
              <w:rPr>
                <w:rFonts w:ascii="游ゴシック" w:hAnsi="游ゴシック" w:eastAsia="游ゴシック"/>
                <w:b w:val="0"/>
                <w:i w:val="0"/>
                <w:sz w:val="17"/>
              </w:rPr>
              <w:t>（精神保健・医療）</w:t>
            </w:r>
          </w:p>
        </w:tc>
      </w:tr>
      <w:tr>
        <w:tc>
          <w:tcPr>
            <w:tcW w:type="dxa" w:w="4535"/>
            <w:vAlign w:val="center"/>
          </w:tcPr>
          <w:p>
            <w:pPr>
              <w:spacing w:before="20" w:after="20"/>
            </w:pPr>
            <w:r>
              <w:rPr>
                <w:rFonts w:ascii="游ゴシック" w:hAnsi="游ゴシック" w:eastAsia="游ゴシック"/>
                <w:b w:val="0"/>
                <w:i w:val="0"/>
                <w:sz w:val="17"/>
              </w:rPr>
              <w:t>③ 地域生活支援の充実</w:t>
            </w:r>
          </w:p>
        </w:tc>
        <w:tc>
          <w:tcPr>
            <w:tcW w:type="dxa" w:w="5216"/>
            <w:vAlign w:val="center"/>
          </w:tcPr>
          <w:p>
            <w:pPr>
              <w:spacing w:before="20" w:after="20"/>
            </w:pPr>
            <w:r>
              <w:rPr>
                <w:rFonts w:ascii="游ゴシック" w:hAnsi="游ゴシック" w:eastAsia="游ゴシック"/>
                <w:b w:val="0"/>
                <w:i w:val="0"/>
                <w:sz w:val="17"/>
              </w:rPr>
              <w:t>第7章2（地域生活支援拠点等）</w:t>
            </w:r>
          </w:p>
        </w:tc>
      </w:tr>
      <w:tr>
        <w:tc>
          <w:tcPr>
            <w:tcW w:type="dxa" w:w="4535"/>
            <w:vAlign w:val="center"/>
          </w:tcPr>
          <w:p>
            <w:pPr>
              <w:spacing w:before="20" w:after="20"/>
            </w:pPr>
            <w:r>
              <w:rPr>
                <w:rFonts w:ascii="游ゴシック" w:hAnsi="游ゴシック" w:eastAsia="游ゴシック"/>
                <w:b w:val="0"/>
                <w:i w:val="0"/>
                <w:sz w:val="17"/>
              </w:rPr>
              <w:t>④ 一般就労への移行等</w:t>
            </w:r>
          </w:p>
        </w:tc>
        <w:tc>
          <w:tcPr>
            <w:tcW w:type="dxa" w:w="5216"/>
            <w:vAlign w:val="center"/>
          </w:tcPr>
          <w:p>
            <w:pPr>
              <w:spacing w:before="20" w:after="20"/>
            </w:pPr>
            <w:r>
              <w:rPr>
                <w:rFonts w:ascii="游ゴシック" w:hAnsi="游ゴシック" w:eastAsia="游ゴシック"/>
                <w:b/>
                <w:i w:val="0"/>
                <w:sz w:val="17"/>
              </w:rPr>
              <w:t>第9章1</w:t>
            </w:r>
            <w:r>
              <w:rPr>
                <w:rFonts w:ascii="游ゴシック" w:hAnsi="游ゴシック" w:eastAsia="游ゴシック"/>
                <w:b w:val="0"/>
                <w:i w:val="0"/>
                <w:sz w:val="17"/>
              </w:rPr>
              <w:t>（就労選択支援を含む）</w:t>
            </w:r>
          </w:p>
        </w:tc>
      </w:tr>
      <w:tr>
        <w:tc>
          <w:tcPr>
            <w:tcW w:type="dxa" w:w="4535"/>
            <w:vAlign w:val="center"/>
          </w:tcPr>
          <w:p>
            <w:pPr>
              <w:spacing w:before="20" w:after="20"/>
            </w:pPr>
            <w:r>
              <w:rPr>
                <w:rFonts w:ascii="游ゴシック" w:hAnsi="游ゴシック" w:eastAsia="游ゴシック"/>
                <w:b w:val="0"/>
                <w:i w:val="0"/>
                <w:sz w:val="17"/>
              </w:rPr>
              <w:t>⑤ 相談支援体制の充実・強化等</w:t>
            </w:r>
          </w:p>
        </w:tc>
        <w:tc>
          <w:tcPr>
            <w:tcW w:type="dxa" w:w="5216"/>
            <w:vAlign w:val="center"/>
          </w:tcPr>
          <w:p>
            <w:pPr>
              <w:spacing w:before="20" w:after="20"/>
            </w:pPr>
            <w:r>
              <w:rPr>
                <w:rFonts w:ascii="游ゴシック" w:hAnsi="游ゴシック" w:eastAsia="游ゴシック"/>
                <w:b/>
                <w:i w:val="0"/>
                <w:sz w:val="17"/>
              </w:rPr>
              <w:t>第7章1</w:t>
            </w:r>
            <w:r>
              <w:rPr>
                <w:rFonts w:ascii="游ゴシック" w:hAnsi="游ゴシック" w:eastAsia="游ゴシック"/>
                <w:b w:val="0"/>
                <w:i w:val="0"/>
                <w:sz w:val="17"/>
              </w:rPr>
              <w:t>（望まないセルフプラン）</w:t>
            </w:r>
          </w:p>
        </w:tc>
      </w:tr>
      <w:tr>
        <w:tc>
          <w:tcPr>
            <w:tcW w:type="dxa" w:w="4535"/>
            <w:vAlign w:val="center"/>
          </w:tcPr>
          <w:p>
            <w:pPr>
              <w:spacing w:before="20" w:after="20"/>
            </w:pPr>
            <w:r>
              <w:rPr>
                <w:rFonts w:ascii="游ゴシック" w:hAnsi="游ゴシック" w:eastAsia="游ゴシック"/>
                <w:b w:val="0"/>
                <w:i w:val="0"/>
                <w:sz w:val="17"/>
              </w:rPr>
              <w:t>⑥ 質の向上</w:t>
            </w:r>
          </w:p>
        </w:tc>
        <w:tc>
          <w:tcPr>
            <w:tcW w:type="dxa" w:w="5216"/>
            <w:vAlign w:val="center"/>
          </w:tcPr>
          <w:p>
            <w:pPr>
              <w:spacing w:before="20" w:after="20"/>
            </w:pPr>
            <w:r>
              <w:rPr>
                <w:rFonts w:ascii="游ゴシック" w:hAnsi="游ゴシック" w:eastAsia="游ゴシック"/>
                <w:b w:val="0"/>
                <w:i w:val="0"/>
                <w:sz w:val="17"/>
              </w:rPr>
              <w:t>第7章3</w:t>
            </w:r>
          </w:p>
        </w:tc>
      </w:tr>
      <w:tr>
        <w:tc>
          <w:tcPr>
            <w:tcW w:type="dxa" w:w="4535"/>
            <w:vAlign w:val="center"/>
          </w:tcPr>
          <w:p>
            <w:pPr>
              <w:keepNext/>
              <w:spacing w:before="20" w:after="20"/>
            </w:pPr>
            <w:r>
              <w:rPr>
                <w:rFonts w:ascii="游ゴシック" w:hAnsi="游ゴシック" w:eastAsia="游ゴシック"/>
                <w:b w:val="0"/>
                <w:i w:val="0"/>
                <w:sz w:val="17"/>
              </w:rPr>
              <w:t>⑦ 人材の確保・定着、生産性向上</w:t>
            </w:r>
          </w:p>
        </w:tc>
        <w:tc>
          <w:tcPr>
            <w:tcW w:type="dxa" w:w="5216"/>
            <w:vAlign w:val="center"/>
          </w:tcPr>
          <w:p>
            <w:pPr>
              <w:keepNext/>
              <w:spacing w:before="20" w:after="20"/>
            </w:pPr>
            <w:r>
              <w:rPr>
                <w:rFonts w:ascii="游ゴシック" w:hAnsi="游ゴシック" w:eastAsia="游ゴシック"/>
                <w:b/>
                <w:i w:val="0"/>
                <w:sz w:val="17"/>
              </w:rPr>
              <w:t>第3部第3章4</w:t>
            </w:r>
            <w:r>
              <w:rPr>
                <w:rFonts w:ascii="游ゴシック" w:hAnsi="游ゴシック" w:eastAsia="游ゴシック"/>
                <w:b w:val="0"/>
                <w:i w:val="0"/>
                <w:sz w:val="17"/>
              </w:rPr>
              <w:t>（県と連携した取組）</w:t>
            </w:r>
          </w:p>
        </w:tc>
      </w:tr>
      <w:tr>
        <w:tc>
          <w:tcPr>
            <w:tcW w:type="dxa" w:w="4535"/>
            <w:vAlign w:val="center"/>
          </w:tcPr>
          <w:p>
            <w:pPr>
              <w:spacing w:before="20" w:after="20"/>
            </w:pPr>
            <w:r>
              <w:rPr>
                <w:rFonts w:ascii="游ゴシック" w:hAnsi="游ゴシック" w:eastAsia="游ゴシック"/>
                <w:b w:val="0"/>
                <w:i w:val="0"/>
                <w:sz w:val="17"/>
              </w:rPr>
              <w:t>⑧ 障害児支援の提供体制</w:t>
            </w:r>
          </w:p>
        </w:tc>
        <w:tc>
          <w:tcPr>
            <w:tcW w:type="dxa" w:w="5216"/>
            <w:vAlign w:val="center"/>
          </w:tcPr>
          <w:p>
            <w:pPr>
              <w:spacing w:before="20" w:after="20"/>
            </w:pPr>
            <w:r>
              <w:rPr>
                <w:rFonts w:ascii="游ゴシック" w:hAnsi="游ゴシック" w:eastAsia="游ゴシック"/>
                <w:b/>
                <w:i w:val="0"/>
                <w:sz w:val="17"/>
              </w:rPr>
              <w:t>第6章3・第8章1・第8章4</w:t>
            </w:r>
          </w:p>
        </w:tc>
      </w:tr>
    </w:tbl>
    <w:p>
      <w:pPr>
        <w:spacing w:after="40"/>
      </w:pPr>
    </w:p>
    <w:p>
      <w:r>
        <w:br w:type="page"/>
      </w:r>
    </w:p>
    <w:p>
      <w:pPr>
        <w:pStyle w:val="Heading2"/>
        <w:keepNext/>
        <w:spacing w:before="180" w:after="100"/>
      </w:pPr>
      <w:bookmarkStart w:id="118" w:name="_Toc_018"/>
      <w:r>
        <w:rPr>
          <w:rFonts w:ascii="游ゴシック" w:hAnsi="游ゴシック" w:eastAsia="游ゴシック"/>
          <w:b/>
          <w:i w:val="0"/>
          <w:color w:val="2E74B5"/>
          <w:sz w:val="25"/>
        </w:rPr>
        <w:t>第2章　活動指標・サービス見込量</w:t>
      </w:r>
      <w:bookmarkEnd w:id="118"/>
    </w:p>
    <w:p>
      <w:pPr>
        <w:spacing w:before="60" w:after="60"/>
      </w:pPr>
      <w:r>
        <w:rPr>
          <w:rFonts w:ascii="游ゴシック" w:hAnsi="游ゴシック" w:eastAsia="游ゴシック"/>
          <w:b w:val="0"/>
          <w:i w:val="0"/>
          <w:sz w:val="21"/>
        </w:rPr>
        <w:t>サービスの種類ごとに、令和9年度から令和11年度までの見込量を設定します。</w:t>
      </w:r>
      <w:r>
        <w:rPr>
          <w:rFonts w:ascii="游ゴシック" w:hAnsi="游ゴシック" w:eastAsia="游ゴシック"/>
          <w:b/>
          <w:i w:val="0"/>
          <w:sz w:val="21"/>
        </w:rPr>
        <w:t>数値は【算定後に記載】です。</w:t>
      </w:r>
    </w:p>
    <w:p>
      <w:pPr>
        <w:spacing w:before="60" w:after="60"/>
      </w:pPr>
      <w:r>
        <w:rPr>
          <w:rFonts w:ascii="游ゴシック" w:hAnsi="游ゴシック" w:eastAsia="游ゴシック"/>
          <w:b/>
          <w:i w:val="0"/>
          <w:sz w:val="21"/>
        </w:rPr>
        <w:t>算定方式は次のとおりとし、実績の推移のみで機械的に設定しません。</w:t>
      </w:r>
    </w:p>
    <w:p>
      <w:pPr>
        <w:keepNext/>
        <w:spacing w:before="200" w:after="40"/>
      </w:pPr>
      <w:r>
        <w:rPr>
          <w:rFonts w:ascii="游ゴシック" w:hAnsi="游ゴシック" w:eastAsia="游ゴシック"/>
          <w:b/>
          <w:i w:val="0"/>
          <w:color w:val="1F4D78"/>
          <w:sz w:val="22"/>
        </w:rPr>
        <w:t>【表27】第3部　第8期障がい福祉計画・第4期障がい児福祉計画　第2章　活動指標・サービス見込量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061"/>
        <w:gridCol w:w="2268"/>
        <w:gridCol w:w="2948"/>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算定方式</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留意点</w:t>
            </w:r>
          </w:p>
        </w:tc>
      </w:tr>
      <w:tr>
        <w:tc>
          <w:tcPr>
            <w:tcW w:type="dxa" w:w="1474"/>
            <w:vAlign w:val="center"/>
          </w:tcPr>
          <w:p>
            <w:pPr>
              <w:spacing w:before="20" w:after="20"/>
            </w:pPr>
            <w:r>
              <w:rPr>
                <w:rFonts w:ascii="游ゴシック" w:hAnsi="游ゴシック" w:eastAsia="游ゴシック"/>
                <w:b w:val="0"/>
                <w:i w:val="0"/>
                <w:sz w:val="17"/>
              </w:rPr>
              <w:t>1　訪問系</w:t>
            </w:r>
          </w:p>
        </w:tc>
        <w:tc>
          <w:tcPr>
            <w:tcW w:type="dxa" w:w="3061"/>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2268"/>
            <w:vAlign w:val="center"/>
          </w:tcPr>
          <w:p>
            <w:pPr>
              <w:spacing w:before="20" w:after="20"/>
            </w:pPr>
            <w:r>
              <w:rPr>
                <w:rFonts w:ascii="游ゴシック" w:hAnsi="游ゴシック" w:eastAsia="游ゴシック"/>
                <w:b w:val="0"/>
                <w:i w:val="0"/>
                <w:sz w:val="17"/>
              </w:rPr>
              <w:t>実績推移型＋アンケート補正／重度訪問介護は個別積上げ型</w:t>
            </w:r>
          </w:p>
        </w:tc>
        <w:tc>
          <w:tcPr>
            <w:tcW w:type="dxa" w:w="2948"/>
            <w:vAlign w:val="center"/>
          </w:tcPr>
          <w:p>
            <w:pPr>
              <w:spacing w:before="20" w:after="20"/>
            </w:pPr>
            <w:r>
              <w:rPr>
                <w:rFonts w:ascii="游ゴシック" w:hAnsi="游ゴシック" w:eastAsia="游ゴシック"/>
                <w:b/>
                <w:i w:val="0"/>
                <w:sz w:val="17"/>
              </w:rPr>
              <w:t>実績0でも候補者の有無を確認し、0見込の根拠を記録する。</w:t>
            </w:r>
            <w:r>
              <w:rPr>
                <w:rFonts w:ascii="游ゴシック" w:hAnsi="游ゴシック" w:eastAsia="游ゴシック"/>
                <w:b w:val="0"/>
                <w:i w:val="0"/>
                <w:sz w:val="17"/>
              </w:rPr>
              <w:t>介護保険移行との二重計上を避ける</w:t>
            </w:r>
          </w:p>
        </w:tc>
      </w:tr>
      <w:tr>
        <w:tc>
          <w:tcPr>
            <w:tcW w:type="dxa" w:w="1474"/>
            <w:vAlign w:val="center"/>
          </w:tcPr>
          <w:p>
            <w:pPr>
              <w:spacing w:before="20" w:after="20"/>
            </w:pPr>
            <w:r>
              <w:rPr>
                <w:rFonts w:ascii="游ゴシック" w:hAnsi="游ゴシック" w:eastAsia="游ゴシック"/>
                <w:b w:val="0"/>
                <w:i w:val="0"/>
                <w:sz w:val="17"/>
              </w:rPr>
              <w:t>2　日中活動系</w:t>
            </w:r>
          </w:p>
        </w:tc>
        <w:tc>
          <w:tcPr>
            <w:tcW w:type="dxa" w:w="3061"/>
            <w:vAlign w:val="center"/>
          </w:tcPr>
          <w:p>
            <w:pPr>
              <w:spacing w:before="20" w:after="20"/>
            </w:pPr>
            <w:r>
              <w:rPr>
                <w:rFonts w:ascii="游ゴシック" w:hAnsi="游ゴシック" w:eastAsia="游ゴシック"/>
                <w:b w:val="0"/>
                <w:i w:val="0"/>
                <w:sz w:val="17"/>
              </w:rPr>
              <w:t>生活介護、自立訓練、就労移行支援、就労継続支援A型・B型、就労定着支援、就労選択支援、療養介護、短期入所</w:t>
            </w:r>
          </w:p>
        </w:tc>
        <w:tc>
          <w:tcPr>
            <w:tcW w:type="dxa" w:w="2268"/>
            <w:vAlign w:val="center"/>
          </w:tcPr>
          <w:p>
            <w:pPr>
              <w:spacing w:before="20" w:after="20"/>
            </w:pPr>
            <w:r>
              <w:rPr>
                <w:rFonts w:ascii="游ゴシック" w:hAnsi="游ゴシック" w:eastAsia="游ゴシック"/>
                <w:b w:val="0"/>
                <w:i w:val="0"/>
                <w:sz w:val="17"/>
              </w:rPr>
              <w:t>実績推移型＋18歳移行の個別積上げ／就労選択支援・療養介護は個別積上げ型</w:t>
            </w:r>
          </w:p>
        </w:tc>
        <w:tc>
          <w:tcPr>
            <w:tcW w:type="dxa" w:w="2948"/>
            <w:vAlign w:val="center"/>
          </w:tcPr>
          <w:p>
            <w:pPr>
              <w:spacing w:before="20" w:after="20"/>
            </w:pPr>
            <w:r>
              <w:rPr>
                <w:rFonts w:ascii="游ゴシック" w:hAnsi="游ゴシック" w:eastAsia="游ゴシック"/>
                <w:b/>
                <w:i w:val="0"/>
                <w:sz w:val="17"/>
              </w:rPr>
              <w:t>就労選択支援は令和7年10月創設。</w:t>
            </w:r>
            <w:r>
              <w:rPr>
                <w:rFonts w:ascii="游ゴシック" w:hAnsi="游ゴシック" w:eastAsia="游ゴシック"/>
                <w:b w:val="0"/>
                <w:i w:val="0"/>
                <w:sz w:val="17"/>
              </w:rPr>
              <w:t>特別支援学校卒業予定者の進路希望から新規需要を積み上げる</w:t>
            </w:r>
          </w:p>
        </w:tc>
      </w:tr>
      <w:tr>
        <w:tc>
          <w:tcPr>
            <w:tcW w:type="dxa" w:w="1474"/>
            <w:vAlign w:val="center"/>
          </w:tcPr>
          <w:p>
            <w:pPr>
              <w:spacing w:before="20" w:after="20"/>
            </w:pPr>
            <w:r>
              <w:rPr>
                <w:rFonts w:ascii="游ゴシック" w:hAnsi="游ゴシック" w:eastAsia="游ゴシック"/>
                <w:b w:val="0"/>
                <w:i w:val="0"/>
                <w:sz w:val="17"/>
              </w:rPr>
              <w:t>3　居住系</w:t>
            </w:r>
          </w:p>
        </w:tc>
        <w:tc>
          <w:tcPr>
            <w:tcW w:type="dxa" w:w="3061"/>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2268"/>
            <w:vAlign w:val="center"/>
          </w:tcPr>
          <w:p>
            <w:pPr>
              <w:spacing w:before="20" w:after="20"/>
            </w:pPr>
            <w:r>
              <w:rPr>
                <w:rFonts w:ascii="游ゴシック" w:hAnsi="游ゴシック" w:eastAsia="游ゴシック"/>
                <w:b w:val="0"/>
                <w:i w:val="0"/>
                <w:sz w:val="17"/>
              </w:rPr>
              <w:t>実績推移型＋地域移行・親亡き後の個別積上げ</w:t>
            </w:r>
          </w:p>
        </w:tc>
        <w:tc>
          <w:tcPr>
            <w:tcW w:type="dxa" w:w="2948"/>
            <w:vAlign w:val="center"/>
          </w:tcPr>
          <w:p>
            <w:pPr>
              <w:spacing w:before="20" w:after="20"/>
            </w:pPr>
            <w:r>
              <w:rPr>
                <w:rFonts w:ascii="游ゴシック" w:hAnsi="游ゴシック" w:eastAsia="游ゴシック"/>
                <w:b/>
                <w:i w:val="0"/>
                <w:sz w:val="17"/>
              </w:rPr>
              <w:t>施設入所者の地域生活移行（成果目標①）と整合させる</w:t>
            </w:r>
          </w:p>
        </w:tc>
      </w:tr>
      <w:tr>
        <w:tc>
          <w:tcPr>
            <w:tcW w:type="dxa" w:w="1474"/>
            <w:vAlign w:val="center"/>
          </w:tcPr>
          <w:p>
            <w:pPr>
              <w:spacing w:before="20" w:after="20"/>
            </w:pPr>
            <w:r>
              <w:rPr>
                <w:rFonts w:ascii="游ゴシック" w:hAnsi="游ゴシック" w:eastAsia="游ゴシック"/>
                <w:b w:val="0"/>
                <w:i w:val="0"/>
                <w:sz w:val="17"/>
              </w:rPr>
              <w:t>4　相談支援</w:t>
            </w:r>
          </w:p>
        </w:tc>
        <w:tc>
          <w:tcPr>
            <w:tcW w:type="dxa" w:w="3061"/>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2268"/>
            <w:vAlign w:val="center"/>
          </w:tcPr>
          <w:p>
            <w:pPr>
              <w:spacing w:before="20" w:after="20"/>
            </w:pPr>
            <w:r>
              <w:rPr>
                <w:rFonts w:ascii="游ゴシック" w:hAnsi="游ゴシック" w:eastAsia="游ゴシック"/>
                <w:b w:val="0"/>
                <w:i w:val="0"/>
                <w:sz w:val="17"/>
              </w:rPr>
              <w:t>セルフプランからの移行を見込む積上げ型</w:t>
            </w:r>
          </w:p>
        </w:tc>
        <w:tc>
          <w:tcPr>
            <w:tcW w:type="dxa" w:w="2948"/>
            <w:vAlign w:val="center"/>
          </w:tcPr>
          <w:p>
            <w:pPr>
              <w:spacing w:before="20" w:after="20"/>
            </w:pPr>
            <w:r>
              <w:rPr>
                <w:rFonts w:ascii="游ゴシック" w:hAnsi="游ゴシック" w:eastAsia="游ゴシック"/>
                <w:b/>
                <w:i w:val="0"/>
                <w:sz w:val="17"/>
              </w:rPr>
              <w:t>望まないセルフプランの解消（成果目標⑤）と整合させる</w:t>
            </w:r>
          </w:p>
        </w:tc>
      </w:tr>
      <w:tr>
        <w:tc>
          <w:tcPr>
            <w:tcW w:type="dxa" w:w="1474"/>
            <w:vAlign w:val="center"/>
          </w:tcPr>
          <w:p>
            <w:pPr>
              <w:keepNext/>
              <w:spacing w:before="20" w:after="20"/>
            </w:pPr>
            <w:r>
              <w:rPr>
                <w:rFonts w:ascii="游ゴシック" w:hAnsi="游ゴシック" w:eastAsia="游ゴシック"/>
                <w:b w:val="0"/>
                <w:i w:val="0"/>
                <w:sz w:val="17"/>
              </w:rPr>
              <w:t>5　障がい児支援</w:t>
            </w:r>
          </w:p>
        </w:tc>
        <w:tc>
          <w:tcPr>
            <w:tcW w:type="dxa" w:w="3061"/>
            <w:vAlign w:val="center"/>
          </w:tcPr>
          <w:p>
            <w:pPr>
              <w:keepNext/>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268"/>
            <w:vAlign w:val="center"/>
          </w:tcPr>
          <w:p>
            <w:pPr>
              <w:keepNext/>
              <w:spacing w:before="20" w:after="20"/>
            </w:pPr>
            <w:r>
              <w:rPr>
                <w:rFonts w:ascii="游ゴシック" w:hAnsi="游ゴシック" w:eastAsia="游ゴシック"/>
                <w:b w:val="0"/>
                <w:i w:val="0"/>
                <w:sz w:val="17"/>
              </w:rPr>
              <w:t>実績推移型＋町外療育の実態を踏まえた補正</w:t>
            </w:r>
          </w:p>
        </w:tc>
        <w:tc>
          <w:tcPr>
            <w:tcW w:type="dxa" w:w="2948"/>
            <w:vAlign w:val="center"/>
          </w:tcPr>
          <w:p>
            <w:pPr>
              <w:keepNext/>
              <w:spacing w:before="20" w:after="20"/>
            </w:pPr>
            <w:r>
              <w:rPr>
                <w:rFonts w:ascii="游ゴシック" w:hAnsi="游ゴシック" w:eastAsia="游ゴシック"/>
                <w:b/>
                <w:i w:val="0"/>
                <w:sz w:val="17"/>
              </w:rPr>
              <w:t>町内に療育機関がなく町外通所・送迎負担がある。</w:t>
            </w:r>
            <w:r>
              <w:rPr>
                <w:rFonts w:ascii="游ゴシック" w:hAnsi="游ゴシック" w:eastAsia="游ゴシック"/>
                <w:b w:val="0"/>
                <w:i w:val="0"/>
                <w:sz w:val="17"/>
              </w:rPr>
              <w:t>18歳到達に伴う放課後等デイの卒業と日中活動への接続を見込む</w:t>
            </w:r>
          </w:p>
        </w:tc>
      </w:tr>
      <w:tr>
        <w:tc>
          <w:tcPr>
            <w:tcW w:type="dxa" w:w="1474"/>
            <w:vAlign w:val="center"/>
          </w:tcPr>
          <w:p>
            <w:pPr>
              <w:spacing w:before="20" w:after="20"/>
            </w:pPr>
            <w:r>
              <w:rPr>
                <w:rFonts w:ascii="游ゴシック" w:hAnsi="游ゴシック" w:eastAsia="游ゴシック"/>
                <w:b w:val="0"/>
                <w:i w:val="0"/>
                <w:sz w:val="17"/>
              </w:rPr>
              <w:t>6　地域生活支援事業</w:t>
            </w:r>
          </w:p>
        </w:tc>
        <w:tc>
          <w:tcPr>
            <w:tcW w:type="dxa" w:w="3061"/>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2268"/>
            <w:vAlign w:val="center"/>
          </w:tcPr>
          <w:p>
            <w:pPr>
              <w:spacing w:before="20" w:after="20"/>
            </w:pPr>
            <w:r>
              <w:rPr>
                <w:rFonts w:ascii="游ゴシック" w:hAnsi="游ゴシック" w:eastAsia="游ゴシック"/>
                <w:b w:val="0"/>
                <w:i w:val="0"/>
                <w:sz w:val="17"/>
              </w:rPr>
              <w:t>実績推移型＋施策との整合</w:t>
            </w:r>
          </w:p>
        </w:tc>
        <w:tc>
          <w:tcPr>
            <w:tcW w:type="dxa" w:w="2948"/>
            <w:vAlign w:val="center"/>
          </w:tcPr>
          <w:p>
            <w:pPr>
              <w:spacing w:before="20" w:after="20"/>
            </w:pPr>
            <w:r>
              <w:rPr>
                <w:rFonts w:ascii="游ゴシック" w:hAnsi="游ゴシック" w:eastAsia="游ゴシック"/>
                <w:b/>
                <w:i w:val="0"/>
                <w:sz w:val="17"/>
              </w:rPr>
              <w:t>意思疎通支援は手話言語条例に基づく取組（第2部第4章）と整合させる。</w:t>
            </w:r>
            <w:r>
              <w:rPr>
                <w:rFonts w:ascii="游ゴシック" w:hAnsi="游ゴシック" w:eastAsia="游ゴシック"/>
                <w:b w:val="0"/>
                <w:i w:val="0"/>
                <w:sz w:val="17"/>
              </w:rPr>
              <w:t>移動支援は外出の課題と接続する</w:t>
            </w:r>
          </w:p>
        </w:tc>
      </w:tr>
    </w:tbl>
    <w:p>
      <w:pPr>
        <w:spacing w:after="40"/>
      </w:pPr>
    </w:p>
    <w:p>
      <w:pPr>
        <w:spacing w:after="120"/>
      </w:pPr>
    </w:p>
    <w:p>
      <w:pPr>
        <w:spacing w:before="40" w:after="160"/>
        <w:ind w:left="113"/>
      </w:pPr>
      <w:r>
        <w:rPr>
          <w:rFonts w:ascii="游ゴシック" w:hAnsi="游ゴシック" w:eastAsia="游ゴシック"/>
          <w:b/>
          <w:i w:val="0"/>
          <w:sz w:val="17"/>
        </w:rPr>
        <w:t>※ 見込量は、実績の推移だけでなく、今期アンケートの「今後利用したいサービス」「利用できない理由」、町内外の供給の制約、18歳移行・65歳移行、少人数で支援度の高いサービスの個別積上げを組み合わせて設定します。</w:t>
      </w:r>
      <w:r>
        <w:rPr>
          <w:rFonts w:ascii="游ゴシック" w:hAnsi="游ゴシック" w:eastAsia="游ゴシック"/>
          <w:b/>
          <w:i w:val="0"/>
          <w:sz w:val="17"/>
        </w:rPr>
        <w:t>実績が0又は少人数のサービス</w:t>
      </w:r>
      <w:r>
        <w:rPr>
          <w:rFonts w:ascii="游ゴシック" w:hAnsi="游ゴシック" w:eastAsia="游ゴシック"/>
          <w:b w:val="0"/>
          <w:i w:val="0"/>
          <w:sz w:val="17"/>
        </w:rPr>
        <w:t>（重度訪問介護、療養介護、地域移行支援・地域定着支援、居宅訪問型児童発達支援、医療的ケア児支援等）は、</w:t>
      </w:r>
      <w:r>
        <w:rPr>
          <w:rFonts w:ascii="游ゴシック" w:hAnsi="游ゴシック" w:eastAsia="游ゴシック"/>
          <w:b/>
          <w:i w:val="0"/>
          <w:sz w:val="17"/>
        </w:rPr>
        <w:t>0と見込む場合でも、その根拠と、必要が生じたときの対応を記載します。</w:t>
      </w:r>
    </w:p>
    <w:p>
      <w:r>
        <w:br w:type="page"/>
      </w:r>
    </w:p>
    <w:p>
      <w:pPr>
        <w:pStyle w:val="Heading2"/>
        <w:keepNext/>
        <w:spacing w:before="180" w:after="100"/>
      </w:pPr>
      <w:bookmarkStart w:id="119" w:name="_Toc_019"/>
      <w:r>
        <w:rPr>
          <w:rFonts w:ascii="游ゴシック" w:hAnsi="游ゴシック" w:eastAsia="游ゴシック"/>
          <w:b/>
          <w:i w:val="0"/>
          <w:color w:val="2E74B5"/>
          <w:sz w:val="25"/>
        </w:rPr>
        <w:t>第3章　見込量確保のための方策</w:t>
      </w:r>
      <w:bookmarkEnd w:id="119"/>
    </w:p>
    <w:p>
      <w:pPr>
        <w:spacing w:before="60" w:after="60"/>
      </w:pPr>
      <w:r>
        <w:rPr>
          <w:rFonts w:ascii="游ゴシック" w:hAnsi="游ゴシック" w:eastAsia="游ゴシック"/>
          <w:b/>
          <w:i w:val="0"/>
          <w:sz w:val="21"/>
        </w:rPr>
        <w:t>障害者総合支援法第88条第2項第2号及び児童福祉法第33条の20第2項第2号に基づく法定の記載事項です。</w:t>
      </w:r>
      <w:r>
        <w:rPr>
          <w:rFonts w:ascii="游ゴシック" w:hAnsi="游ゴシック" w:eastAsia="游ゴシック"/>
          <w:b w:val="0"/>
          <w:i w:val="0"/>
          <w:sz w:val="21"/>
        </w:rPr>
        <w:t>見込量を確保するための方策を、次の5つに整理します。</w:t>
      </w:r>
    </w:p>
    <w:p>
      <w:pPr>
        <w:spacing w:before="60" w:after="60"/>
      </w:pPr>
      <w:r>
        <w:rPr>
          <w:rFonts w:ascii="游ゴシック" w:hAnsi="游ゴシック" w:eastAsia="游ゴシック"/>
          <w:b/>
          <w:i w:val="0"/>
          <w:sz w:val="21"/>
        </w:rPr>
        <w:t>1　町内の提供体制の確保</w:t>
      </w:r>
    </w:p>
    <w:p>
      <w:pPr>
        <w:spacing w:before="40" w:after="40"/>
        <w:ind w:left="227"/>
      </w:pPr>
      <w:r>
        <w:rPr>
          <w:rFonts w:ascii="游ゴシック" w:hAnsi="游ゴシック" w:eastAsia="游ゴシック"/>
          <w:b w:val="0"/>
          <w:i w:val="0"/>
          <w:sz w:val="21"/>
        </w:rPr>
        <w:t>・事業所の参入促進、既存事業所の機能拡充。町内事業所の事業所番号と指定の種類は【町データ待ち】</w:t>
      </w:r>
    </w:p>
    <w:p>
      <w:pPr>
        <w:spacing w:before="60" w:after="60"/>
      </w:pPr>
      <w:r>
        <w:rPr>
          <w:rFonts w:ascii="游ゴシック" w:hAnsi="游ゴシック" w:eastAsia="游ゴシック"/>
          <w:b/>
          <w:i w:val="0"/>
          <w:sz w:val="21"/>
        </w:rPr>
        <w:t>2　広域連携による確保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田村地方基幹相談支援センター、県中圏域、近隣市町村との連携。</w:t>
      </w:r>
      <w:r>
        <w:rPr>
          <w:rFonts w:ascii="游ゴシック" w:hAnsi="游ゴシック" w:eastAsia="游ゴシック"/>
          <w:b w:val="0"/>
          <w:i w:val="0"/>
          <w:sz w:val="21"/>
        </w:rPr>
        <w:t>本町は町内に整備されていないサービスが多く、広域連携が前提となる</w:t>
      </w:r>
    </w:p>
    <w:p>
      <w:pPr>
        <w:spacing w:before="60" w:after="60"/>
      </w:pPr>
      <w:r>
        <w:rPr>
          <w:rFonts w:ascii="游ゴシック" w:hAnsi="游ゴシック" w:eastAsia="游ゴシック"/>
          <w:b/>
          <w:i w:val="0"/>
          <w:sz w:val="21"/>
        </w:rPr>
        <w:t>3　町外利用に伴う送迎・移動の支援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町内に療育機関がなく町外通所となっている。</w:t>
      </w:r>
      <w:r>
        <w:rPr>
          <w:rFonts w:ascii="游ゴシック" w:hAnsi="游ゴシック" w:eastAsia="游ゴシック"/>
          <w:b w:val="0"/>
          <w:i w:val="0"/>
          <w:sz w:val="21"/>
        </w:rPr>
        <w:t>移動支援事業・日中一時支援事業と接続させる（第2部第3章2）</w:t>
      </w:r>
    </w:p>
    <w:p>
      <w:pPr>
        <w:spacing w:before="60" w:after="60"/>
      </w:pPr>
      <w:r>
        <w:rPr>
          <w:rFonts w:ascii="游ゴシック" w:hAnsi="游ゴシック" w:eastAsia="游ゴシック"/>
          <w:b/>
          <w:i w:val="0"/>
          <w:sz w:val="21"/>
        </w:rPr>
        <w:t>4　人材の確保・定着と生産性向上</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障害者総合支援法第88条第3項第3号〜第5号及び児童福祉法第33条の20第3項第3号（いずれも新設）に基づく。</w:t>
      </w:r>
      <w:r>
        <w:rPr>
          <w:rFonts w:ascii="游ゴシック" w:hAnsi="游ゴシック" w:eastAsia="游ゴシック"/>
          <w:b/>
          <w:i w:val="0"/>
          <w:sz w:val="21"/>
        </w:rPr>
        <w:t>条文は「都道府県と連携した取組に関する事項」であり、町単独の取組ではなく県との連携を軸に書く。</w:t>
      </w:r>
      <w:r>
        <w:rPr>
          <w:rFonts w:ascii="游ゴシック" w:hAnsi="游ゴシック" w:eastAsia="游ゴシック"/>
          <w:b/>
          <w:i w:val="0"/>
          <w:sz w:val="21"/>
        </w:rPr>
        <w:t>県の計画では同じ事項が義務とされ目標の定めも加わるため、県と同じ構えにしない</w:t>
      </w:r>
    </w:p>
    <w:p>
      <w:pPr>
        <w:spacing w:before="60" w:after="60"/>
      </w:pPr>
      <w:r>
        <w:rPr>
          <w:rFonts w:ascii="游ゴシック" w:hAnsi="游ゴシック" w:eastAsia="游ゴシック"/>
          <w:b/>
          <w:i w:val="0"/>
          <w:sz w:val="21"/>
        </w:rPr>
        <w:t>5　相談支援体制の確保</w:t>
      </w:r>
    </w:p>
    <w:p>
      <w:pPr>
        <w:spacing w:before="40" w:after="40"/>
        <w:ind w:left="227"/>
      </w:pPr>
      <w:r>
        <w:rPr>
          <w:rFonts w:ascii="游ゴシック" w:hAnsi="游ゴシック" w:eastAsia="游ゴシック"/>
          <w:b w:val="0"/>
          <w:i w:val="0"/>
          <w:sz w:val="21"/>
        </w:rPr>
        <w:t>・相談支援専門員の確保、セルフプランからの移行。</w:t>
      </w:r>
      <w:r>
        <w:rPr>
          <w:rFonts w:ascii="游ゴシック" w:hAnsi="游ゴシック" w:eastAsia="游ゴシック"/>
          <w:b/>
          <w:i w:val="0"/>
          <w:sz w:val="21"/>
        </w:rPr>
        <w:t>成果目標⑤と同じ数値を用いる</w:t>
      </w:r>
    </w:p>
    <w:p>
      <w:pPr>
        <w:spacing w:after="120"/>
      </w:pPr>
    </w:p>
    <w:p>
      <w:pPr>
        <w:spacing w:before="40" w:after="160"/>
        <w:ind w:left="113"/>
      </w:pPr>
      <w:r>
        <w:rPr>
          <w:rFonts w:ascii="游ゴシック" w:hAnsi="游ゴシック" w:eastAsia="游ゴシック"/>
          <w:b/>
          <w:i w:val="0"/>
          <w:sz w:val="17"/>
        </w:rPr>
        <w:t>※ 4は令和8年法律第51号により新たに加わった記載事項です</w:t>
      </w:r>
      <w:r>
        <w:rPr>
          <w:rFonts w:ascii="游ゴシック" w:hAnsi="游ゴシック" w:eastAsia="游ゴシック"/>
          <w:b w:val="0"/>
          <w:i w:val="0"/>
          <w:sz w:val="17"/>
        </w:rPr>
        <w:t>（法第88条第3項第3号〜第5号、児福法第33条の20第3項第3号。いずれも令和9年4月1日施行）。</w:t>
      </w:r>
      <w:r>
        <w:rPr>
          <w:rFonts w:ascii="游ゴシック" w:hAnsi="游ゴシック" w:eastAsia="游ゴシック"/>
          <w:b/>
          <w:i w:val="0"/>
          <w:sz w:val="17"/>
        </w:rPr>
        <w:t>障がい福祉計画の側には3つの号があるのに対し、障がい児福祉計画の側には地域生活支援事業に当たる号がなく、1つです。</w:t>
      </w:r>
      <w:r>
        <w:rPr>
          <w:rFonts w:ascii="游ゴシック" w:hAnsi="游ゴシック" w:eastAsia="游ゴシック"/>
          <w:b/>
          <w:i w:val="0"/>
          <w:sz w:val="17"/>
        </w:rPr>
        <w:t>号の数が違うため、両者をまとめて1つに書きません。</w:t>
      </w:r>
    </w:p>
    <w:p>
      <w:r>
        <w:br w:type="page"/>
      </w:r>
    </w:p>
    <w:p>
      <w:pPr>
        <w:pStyle w:val="Heading1"/>
        <w:keepNext/>
        <w:spacing w:before="240" w:after="100"/>
      </w:pPr>
      <w:bookmarkStart w:id="120" w:name="_Toc_020"/>
      <w:r>
        <w:rPr>
          <w:rFonts w:ascii="游ゴシック" w:hAnsi="游ゴシック" w:eastAsia="游ゴシック"/>
          <w:b/>
          <w:i w:val="0"/>
          <w:color w:val="2E74B5"/>
          <w:sz w:val="30"/>
        </w:rPr>
        <w:t>第4部　計画の推進</w:t>
      </w:r>
      <w:bookmarkEnd w:id="120"/>
    </w:p>
    <w:p>
      <w:pPr>
        <w:pStyle w:val="Heading2"/>
        <w:keepNext/>
        <w:spacing w:before="180" w:after="100"/>
      </w:pPr>
      <w:bookmarkStart w:id="121" w:name="_Toc_021"/>
      <w:r>
        <w:rPr>
          <w:rFonts w:ascii="游ゴシック" w:hAnsi="游ゴシック" w:eastAsia="游ゴシック"/>
          <w:b/>
          <w:i w:val="0"/>
          <w:color w:val="2E74B5"/>
          <w:sz w:val="25"/>
        </w:rPr>
        <w:t>1　推進体制</w:t>
      </w:r>
      <w:bookmarkEnd w:id="121"/>
    </w:p>
    <w:p>
      <w:pPr>
        <w:spacing w:before="60" w:after="60"/>
      </w:pPr>
      <w:r>
        <w:rPr>
          <w:rFonts w:ascii="游ゴシック" w:hAnsi="游ゴシック" w:eastAsia="游ゴシック"/>
          <w:b w:val="0"/>
          <w:i w:val="0"/>
          <w:sz w:val="21"/>
        </w:rPr>
        <w:t>本計画は、町、</w:t>
      </w:r>
      <w:r>
        <w:rPr>
          <w:rFonts w:ascii="游ゴシック" w:hAnsi="游ゴシック" w:eastAsia="游ゴシック"/>
          <w:b/>
          <w:i w:val="0"/>
          <w:sz w:val="21"/>
        </w:rPr>
        <w:t>小野町自立支援協議会</w:t>
      </w:r>
      <w:r>
        <w:rPr>
          <w:rFonts w:ascii="游ゴシック" w:hAnsi="游ゴシック" w:eastAsia="游ゴシック"/>
          <w:b w:val="0"/>
          <w:i w:val="0"/>
          <w:sz w:val="21"/>
        </w:rPr>
        <w:t>、事業所連絡会、関係機関、住民の皆様の協働により推進します。</w:t>
      </w:r>
    </w:p>
    <w:p>
      <w:pPr>
        <w:keepNext/>
        <w:spacing w:before="200" w:after="40"/>
      </w:pPr>
      <w:r>
        <w:rPr>
          <w:rFonts w:ascii="游ゴシック" w:hAnsi="游ゴシック" w:eastAsia="游ゴシック"/>
          <w:b/>
          <w:i w:val="0"/>
          <w:color w:val="1F4D78"/>
          <w:sz w:val="22"/>
        </w:rPr>
        <w:t>【表28】第4部　計画の推進　1　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6917"/>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2835"/>
            <w:vAlign w:val="center"/>
          </w:tcPr>
          <w:p>
            <w:pPr>
              <w:spacing w:before="20" w:after="20"/>
            </w:pPr>
            <w:r>
              <w:rPr>
                <w:rFonts w:ascii="游ゴシック" w:hAnsi="游ゴシック" w:eastAsia="游ゴシック"/>
                <w:b w:val="0"/>
                <w:i w:val="0"/>
                <w:sz w:val="17"/>
              </w:rPr>
              <w:t>町</w:t>
            </w:r>
          </w:p>
        </w:tc>
        <w:tc>
          <w:tcPr>
            <w:tcW w:type="dxa" w:w="6917"/>
            <w:vAlign w:val="center"/>
          </w:tcPr>
          <w:p>
            <w:pPr>
              <w:spacing w:before="20" w:after="20"/>
            </w:pPr>
            <w:r>
              <w:rPr>
                <w:rFonts w:ascii="游ゴシック" w:hAnsi="游ゴシック" w:eastAsia="游ゴシック"/>
                <w:b w:val="0"/>
                <w:i w:val="0"/>
                <w:sz w:val="17"/>
              </w:rPr>
              <w:t>計画の進行管理、サービスの支給決定、地域生活支援事業の実施、関係機関の調整</w:t>
            </w:r>
          </w:p>
        </w:tc>
      </w:tr>
      <w:tr>
        <w:tc>
          <w:tcPr>
            <w:tcW w:type="dxa" w:w="2835"/>
            <w:vAlign w:val="center"/>
          </w:tcPr>
          <w:p>
            <w:pPr>
              <w:spacing w:before="20" w:after="20"/>
            </w:pPr>
            <w:r>
              <w:rPr>
                <w:rFonts w:ascii="游ゴシック" w:hAnsi="游ゴシック" w:eastAsia="游ゴシック"/>
                <w:b/>
                <w:i w:val="0"/>
                <w:sz w:val="17"/>
              </w:rPr>
              <w:t>小野町自立支援協議会（支援協議会）</w:t>
            </w:r>
          </w:p>
        </w:tc>
        <w:tc>
          <w:tcPr>
            <w:tcW w:type="dxa" w:w="6917"/>
            <w:vAlign w:val="center"/>
          </w:tcPr>
          <w:p>
            <w:pPr>
              <w:spacing w:before="20" w:after="20"/>
            </w:pPr>
            <w:r>
              <w:rPr>
                <w:rFonts w:ascii="游ゴシック" w:hAnsi="游ゴシック" w:eastAsia="游ゴシック"/>
                <w:b/>
                <w:i w:val="0"/>
                <w:sz w:val="17"/>
              </w:rPr>
              <w:t>計画の策定・変更に当たっての意見、</w:t>
            </w:r>
            <w:r>
              <w:rPr>
                <w:rFonts w:ascii="游ゴシック" w:hAnsi="游ゴシック" w:eastAsia="游ゴシック"/>
                <w:b w:val="0"/>
                <w:i w:val="0"/>
                <w:sz w:val="17"/>
              </w:rPr>
              <w:t>個別の事例を通じた地域の課題の共有と検討</w:t>
            </w:r>
          </w:p>
        </w:tc>
      </w:tr>
      <w:tr>
        <w:tc>
          <w:tcPr>
            <w:tcW w:type="dxa" w:w="2835"/>
            <w:vAlign w:val="center"/>
          </w:tcPr>
          <w:p>
            <w:pPr>
              <w:spacing w:before="20" w:after="20"/>
            </w:pPr>
            <w:r>
              <w:rPr>
                <w:rFonts w:ascii="游ゴシック" w:hAnsi="游ゴシック" w:eastAsia="游ゴシック"/>
                <w:b w:val="0"/>
                <w:i w:val="0"/>
                <w:sz w:val="17"/>
              </w:rPr>
              <w:t>基幹相談支援センター</w:t>
            </w:r>
          </w:p>
        </w:tc>
        <w:tc>
          <w:tcPr>
            <w:tcW w:type="dxa" w:w="6917"/>
            <w:vAlign w:val="center"/>
          </w:tcPr>
          <w:p>
            <w:pPr>
              <w:spacing w:before="20" w:after="20"/>
            </w:pPr>
            <w:r>
              <w:rPr>
                <w:rFonts w:ascii="游ゴシック" w:hAnsi="游ゴシック" w:eastAsia="游ゴシック"/>
                <w:b w:val="0"/>
                <w:i w:val="0"/>
                <w:sz w:val="17"/>
              </w:rPr>
              <w:t>総合的・専門的な相談支援、相談支援事業者への指導・助言、地域の相談支援体制の強化</w:t>
            </w:r>
          </w:p>
        </w:tc>
      </w:tr>
      <w:tr>
        <w:tc>
          <w:tcPr>
            <w:tcW w:type="dxa" w:w="2835"/>
            <w:vAlign w:val="center"/>
          </w:tcPr>
          <w:p>
            <w:pPr>
              <w:spacing w:before="20" w:after="20"/>
            </w:pPr>
            <w:r>
              <w:rPr>
                <w:rFonts w:ascii="游ゴシック" w:hAnsi="游ゴシック" w:eastAsia="游ゴシック"/>
                <w:b w:val="0"/>
                <w:i w:val="0"/>
                <w:sz w:val="17"/>
              </w:rPr>
              <w:t>事業所連絡会</w:t>
            </w:r>
          </w:p>
        </w:tc>
        <w:tc>
          <w:tcPr>
            <w:tcW w:type="dxa" w:w="6917"/>
            <w:vAlign w:val="center"/>
          </w:tcPr>
          <w:p>
            <w:pPr>
              <w:spacing w:before="20" w:after="20"/>
            </w:pPr>
            <w:r>
              <w:rPr>
                <w:rFonts w:ascii="游ゴシック" w:hAnsi="游ゴシック" w:eastAsia="游ゴシック"/>
                <w:b w:val="0"/>
                <w:i w:val="0"/>
                <w:sz w:val="17"/>
              </w:rPr>
              <w:t>事業所間の連携、人材の確保・育成</w:t>
            </w:r>
          </w:p>
        </w:tc>
      </w:tr>
      <w:tr>
        <w:tc>
          <w:tcPr>
            <w:tcW w:type="dxa" w:w="2835"/>
            <w:vAlign w:val="center"/>
          </w:tcPr>
          <w:p>
            <w:pPr>
              <w:keepNext/>
              <w:spacing w:before="20" w:after="20"/>
            </w:pPr>
            <w:r>
              <w:rPr>
                <w:rFonts w:ascii="游ゴシック" w:hAnsi="游ゴシック" w:eastAsia="游ゴシック"/>
                <w:b w:val="0"/>
                <w:i w:val="0"/>
                <w:sz w:val="17"/>
              </w:rPr>
              <w:t>関係機関</w:t>
            </w:r>
          </w:p>
        </w:tc>
        <w:tc>
          <w:tcPr>
            <w:tcW w:type="dxa" w:w="6917"/>
            <w:vAlign w:val="center"/>
          </w:tcPr>
          <w:p>
            <w:pPr>
              <w:keepNext/>
              <w:spacing w:before="20" w:after="20"/>
            </w:pPr>
            <w:r>
              <w:rPr>
                <w:rFonts w:ascii="游ゴシック" w:hAnsi="游ゴシック" w:eastAsia="游ゴシック"/>
                <w:b w:val="0"/>
                <w:i w:val="0"/>
                <w:sz w:val="17"/>
              </w:rPr>
              <w:t>県中保健所、特別支援学校、ハローワーク、障害者就業・生活支援センター、医療機関</w:t>
            </w:r>
          </w:p>
        </w:tc>
      </w:tr>
      <w:tr>
        <w:tc>
          <w:tcPr>
            <w:tcW w:type="dxa" w:w="2835"/>
            <w:vAlign w:val="center"/>
          </w:tcPr>
          <w:p>
            <w:pPr>
              <w:spacing w:before="20" w:after="20"/>
            </w:pPr>
            <w:r>
              <w:rPr>
                <w:rFonts w:ascii="游ゴシック" w:hAnsi="游ゴシック" w:eastAsia="游ゴシック"/>
                <w:b w:val="0"/>
                <w:i w:val="0"/>
                <w:sz w:val="17"/>
              </w:rPr>
              <w:t>住民</w:t>
            </w:r>
          </w:p>
        </w:tc>
        <w:tc>
          <w:tcPr>
            <w:tcW w:type="dxa" w:w="6917"/>
            <w:vAlign w:val="center"/>
          </w:tcPr>
          <w:p>
            <w:pPr>
              <w:spacing w:before="20" w:after="20"/>
            </w:pPr>
            <w:r>
              <w:rPr>
                <w:rFonts w:ascii="游ゴシック" w:hAnsi="游ゴシック" w:eastAsia="游ゴシック"/>
                <w:b w:val="0"/>
                <w:i w:val="0"/>
                <w:sz w:val="17"/>
              </w:rPr>
              <w:t>地域での理解と見守り、交流</w:t>
            </w:r>
          </w:p>
        </w:tc>
      </w:tr>
    </w:tbl>
    <w:p>
      <w:pPr>
        <w:spacing w:after="40"/>
      </w:pPr>
    </w:p>
    <w:p>
      <w:pPr>
        <w:pStyle w:val="Heading2"/>
        <w:keepNext/>
        <w:spacing w:before="180" w:after="100"/>
      </w:pPr>
      <w:bookmarkStart w:id="122" w:name="_Toc_022"/>
      <w:r>
        <w:rPr>
          <w:rFonts w:ascii="游ゴシック" w:hAnsi="游ゴシック" w:eastAsia="游ゴシック"/>
          <w:b/>
          <w:i w:val="0"/>
          <w:color w:val="2E74B5"/>
          <w:sz w:val="25"/>
        </w:rPr>
        <w:t>2　支援会議・支援協議会の相互連携</w:t>
      </w:r>
      <w:bookmarkEnd w:id="122"/>
    </w:p>
    <w:p>
      <w:pPr>
        <w:spacing w:before="60" w:after="60"/>
      </w:pPr>
      <w:r>
        <w:rPr>
          <w:rFonts w:ascii="游ゴシック" w:hAnsi="游ゴシック" w:eastAsia="游ゴシック"/>
          <w:b/>
          <w:i w:val="0"/>
          <w:sz w:val="21"/>
        </w:rPr>
        <w:t>令和8年法律第51号により、介護保険法第115条の48第5項と障害者総合支援法第89条の3第5項が新設されました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両者は互いを名指しして、支援会議と支援協議会が相互に連携を図るよう努めることを定めています。</w:t>
      </w:r>
    </w:p>
    <w:p>
      <w:pPr>
        <w:spacing w:before="60" w:after="60"/>
      </w:pPr>
      <w:r>
        <w:rPr>
          <w:rFonts w:ascii="游ゴシック" w:hAnsi="游ゴシック" w:eastAsia="游ゴシック"/>
          <w:b w:val="0"/>
          <w:i w:val="0"/>
          <w:sz w:val="21"/>
        </w:rPr>
        <w:t>本町では、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と、高齢者分野の</w:t>
      </w:r>
      <w:r>
        <w:rPr>
          <w:rFonts w:ascii="游ゴシック" w:hAnsi="游ゴシック" w:eastAsia="游ゴシック"/>
          <w:b/>
          <w:i w:val="0"/>
          <w:sz w:val="21"/>
        </w:rPr>
        <w:t>支援会議</w:t>
      </w:r>
      <w:r>
        <w:rPr>
          <w:rFonts w:ascii="游ゴシック" w:hAnsi="游ゴシック" w:eastAsia="游ゴシック"/>
          <w:b w:val="0"/>
          <w:i w:val="0"/>
          <w:sz w:val="21"/>
        </w:rPr>
        <w:t>（介護保険法第115条の48。改正により「会議」から名称が改まります）との連携を図ります。</w:t>
      </w:r>
      <w:r>
        <w:rPr>
          <w:rFonts w:ascii="游ゴシック" w:hAnsi="游ゴシック" w:eastAsia="游ゴシック"/>
          <w:b/>
          <w:i w:val="0"/>
          <w:sz w:val="21"/>
        </w:rPr>
        <w:t>65歳到達時の移行、高齢障がい者、共生型サービスといった両分野にまたがる事柄を、ここで扱います。</w:t>
      </w:r>
    </w:p>
    <w:p>
      <w:pPr>
        <w:pStyle w:val="Heading2"/>
        <w:keepNext/>
        <w:spacing w:before="180" w:after="100"/>
      </w:pPr>
      <w:bookmarkStart w:id="123" w:name="_Toc_023"/>
      <w:r>
        <w:rPr>
          <w:rFonts w:ascii="游ゴシック" w:hAnsi="游ゴシック" w:eastAsia="游ゴシック"/>
          <w:b/>
          <w:i w:val="0"/>
          <w:color w:val="2E74B5"/>
          <w:sz w:val="25"/>
        </w:rPr>
        <w:t>3　進行管理と評価</w:t>
      </w:r>
      <w:bookmarkEnd w:id="123"/>
    </w:p>
    <w:p>
      <w:pPr>
        <w:spacing w:before="60" w:after="60"/>
      </w:pPr>
      <w:r>
        <w:rPr>
          <w:rFonts w:ascii="游ゴシック" w:hAnsi="游ゴシック" w:eastAsia="游ゴシック"/>
          <w:b w:val="0"/>
          <w:i w:val="0"/>
          <w:sz w:val="21"/>
        </w:rPr>
        <w:t>毎年度、成果目標の達成状況と活動指標・サービス見込量の実績を把握し、小野町自立支援協議会に報告します。</w:t>
      </w:r>
      <w:r>
        <w:rPr>
          <w:rFonts w:ascii="游ゴシック" w:hAnsi="游ゴシック" w:eastAsia="游ゴシック"/>
          <w:b/>
          <w:i w:val="0"/>
          <w:sz w:val="21"/>
        </w:rPr>
        <w:t>中間年（令和10年度）には、国・県の計画の改定や法改正への対応を含めて見直しを行います。</w:t>
      </w:r>
    </w:p>
    <w:p>
      <w:pPr>
        <w:pStyle w:val="Heading2"/>
        <w:keepNext/>
        <w:spacing w:before="180" w:after="100"/>
      </w:pPr>
      <w:bookmarkStart w:id="124" w:name="_Toc_024"/>
      <w:r>
        <w:rPr>
          <w:rFonts w:ascii="游ゴシック" w:hAnsi="游ゴシック" w:eastAsia="游ゴシック"/>
          <w:b/>
          <w:i w:val="0"/>
          <w:color w:val="2E74B5"/>
          <w:sz w:val="25"/>
        </w:rPr>
        <w:t>4　計画の周知</w:t>
      </w:r>
      <w:bookmarkEnd w:id="124"/>
    </w:p>
    <w:p>
      <w:pPr>
        <w:spacing w:before="60" w:after="60"/>
      </w:pPr>
      <w:r>
        <w:rPr>
          <w:rFonts w:ascii="游ゴシック" w:hAnsi="游ゴシック" w:eastAsia="游ゴシック"/>
          <w:b w:val="0"/>
          <w:i w:val="0"/>
          <w:sz w:val="21"/>
        </w:rPr>
        <w:t>計画の概要版を作成し、広報おのまち・防災無線・町公式ウェブサイトにより周知します。</w:t>
      </w:r>
      <w:r>
        <w:rPr>
          <w:rFonts w:ascii="游ゴシック" w:hAnsi="游ゴシック" w:eastAsia="游ゴシック"/>
          <w:b/>
          <w:i w:val="0"/>
          <w:sz w:val="21"/>
        </w:rPr>
        <w:t>障がいの特性に応じた届け方</w:t>
      </w:r>
      <w:r>
        <w:rPr>
          <w:rFonts w:ascii="游ゴシック" w:hAnsi="游ゴシック" w:eastAsia="游ゴシック"/>
          <w:b w:val="0"/>
          <w:i w:val="0"/>
          <w:sz w:val="21"/>
        </w:rPr>
        <w:t>を併せて用意します（第2部第4章3）。</w:t>
      </w:r>
    </w:p>
    <w:p>
      <w:r>
        <w:br w:type="page"/>
      </w:r>
    </w:p>
    <w:p>
      <w:pPr>
        <w:pStyle w:val="Heading1"/>
        <w:keepNext/>
        <w:spacing w:before="240" w:after="100"/>
      </w:pPr>
      <w:bookmarkStart w:id="125" w:name="_Toc_025"/>
      <w:r>
        <w:rPr>
          <w:rFonts w:ascii="游ゴシック" w:hAnsi="游ゴシック" w:eastAsia="游ゴシック"/>
          <w:b/>
          <w:i w:val="0"/>
          <w:color w:val="2E74B5"/>
          <w:sz w:val="30"/>
        </w:rPr>
        <w:t>資料編</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計画の策定経過</w:t>
      </w:r>
      <w:bookmarkEnd w:id="126"/>
    </w:p>
    <w:p>
      <w:pPr>
        <w:spacing w:before="60" w:after="60"/>
      </w:pPr>
      <w:r>
        <w:rPr>
          <w:rFonts w:ascii="游ゴシック" w:hAnsi="游ゴシック" w:eastAsia="游ゴシック"/>
          <w:b w:val="0"/>
          <w:i w:val="0"/>
          <w:sz w:val="21"/>
        </w:rPr>
        <w:t>策定の経過は【決定後に記載】です。</w:t>
      </w:r>
    </w:p>
    <w:p>
      <w:pPr>
        <w:pStyle w:val="Heading2"/>
        <w:keepNext/>
        <w:spacing w:before="180" w:after="100"/>
      </w:pPr>
      <w:bookmarkStart w:id="127" w:name="_Toc_027"/>
      <w:r>
        <w:rPr>
          <w:rFonts w:ascii="游ゴシック" w:hAnsi="游ゴシック" w:eastAsia="游ゴシック"/>
          <w:b/>
          <w:i w:val="0"/>
          <w:color w:val="2E74B5"/>
          <w:sz w:val="25"/>
        </w:rPr>
        <w:t>2　小野町自立支援協議会委員名簿</w:t>
      </w:r>
      <w:bookmarkEnd w:id="127"/>
    </w:p>
    <w:p>
      <w:pPr>
        <w:spacing w:before="60" w:after="60"/>
      </w:pPr>
      <w:r>
        <w:rPr>
          <w:rFonts w:ascii="游ゴシック" w:hAnsi="游ゴシック" w:eastAsia="游ゴシック"/>
          <w:b w:val="0"/>
          <w:i w:val="0"/>
          <w:sz w:val="21"/>
        </w:rPr>
        <w:t>委員名簿は【決定後に記載】です。</w:t>
      </w:r>
    </w:p>
    <w:p>
      <w:pPr>
        <w:pStyle w:val="Heading2"/>
        <w:keepNext/>
        <w:spacing w:before="180" w:after="100"/>
      </w:pPr>
      <w:bookmarkStart w:id="128" w:name="_Toc_028"/>
      <w:r>
        <w:rPr>
          <w:rFonts w:ascii="游ゴシック" w:hAnsi="游ゴシック" w:eastAsia="游ゴシック"/>
          <w:b/>
          <w:i w:val="0"/>
          <w:color w:val="2E74B5"/>
          <w:sz w:val="25"/>
        </w:rPr>
        <w:t>3　パブリックコメントの結果</w:t>
      </w:r>
      <w:bookmarkEnd w:id="128"/>
    </w:p>
    <w:p>
      <w:pPr>
        <w:spacing w:before="60" w:after="60"/>
      </w:pPr>
      <w:r>
        <w:rPr>
          <w:rFonts w:ascii="游ゴシック" w:hAnsi="游ゴシック" w:eastAsia="游ゴシック"/>
          <w:b w:val="0"/>
          <w:i w:val="0"/>
          <w:sz w:val="21"/>
        </w:rPr>
        <w:t>パブリックコメントの結果は【決定後に記載】です。</w:t>
      </w:r>
    </w:p>
    <w:p>
      <w:pPr>
        <w:pStyle w:val="Heading2"/>
        <w:keepNext/>
        <w:spacing w:before="180" w:after="100"/>
      </w:pPr>
      <w:bookmarkStart w:id="129" w:name="_Toc_029"/>
      <w:r>
        <w:rPr>
          <w:rFonts w:ascii="游ゴシック" w:hAnsi="游ゴシック" w:eastAsia="游ゴシック"/>
          <w:b/>
          <w:i w:val="0"/>
          <w:color w:val="2E74B5"/>
          <w:sz w:val="25"/>
        </w:rPr>
        <w:t>4　用語の説明</w:t>
      </w:r>
      <w:bookmarkEnd w:id="129"/>
    </w:p>
    <w:p>
      <w:pPr>
        <w:spacing w:before="60" w:after="60"/>
      </w:pPr>
      <w:r>
        <w:rPr>
          <w:rFonts w:ascii="游ゴシック" w:hAnsi="游ゴシック" w:eastAsia="游ゴシック"/>
          <w:b w:val="0"/>
          <w:i w:val="0"/>
          <w:sz w:val="21"/>
        </w:rPr>
        <w:t>用語の説明は【決定後に記載】です。</w:t>
      </w:r>
    </w:p>
    <w:p>
      <w:pPr>
        <w:pStyle w:val="Heading2"/>
        <w:keepNext/>
        <w:spacing w:before="180" w:after="100"/>
      </w:pPr>
      <w:bookmarkStart w:id="130" w:name="_Toc_030"/>
      <w:r>
        <w:rPr>
          <w:rFonts w:ascii="游ゴシック" w:hAnsi="游ゴシック" w:eastAsia="游ゴシック"/>
          <w:b/>
          <w:i w:val="0"/>
          <w:color w:val="2E74B5"/>
          <w:sz w:val="25"/>
        </w:rPr>
        <w:t>5　関係法令</w:t>
      </w:r>
      <w:bookmarkEnd w:id="130"/>
    </w:p>
    <w:p>
      <w:pPr>
        <w:spacing w:before="60" w:after="60"/>
      </w:pPr>
      <w:r>
        <w:rPr>
          <w:rFonts w:ascii="游ゴシック" w:hAnsi="游ゴシック" w:eastAsia="游ゴシック"/>
          <w:b w:val="0"/>
          <w:i w:val="0"/>
          <w:sz w:val="21"/>
        </w:rPr>
        <w:t>本計画の根拠となる法令は、第1部第1章2の表のとおりです。</w:t>
      </w:r>
      <w:r>
        <w:rPr>
          <w:rFonts w:ascii="游ゴシック" w:hAnsi="游ゴシック" w:eastAsia="游ゴシック"/>
          <w:b/>
          <w:i w:val="0"/>
          <w:sz w:val="21"/>
        </w:rPr>
        <w:t>令和8年法律第51号及び令和8年法律第77号による改正後の規定によります</w:t>
      </w:r>
      <w:r>
        <w:rPr>
          <w:rFonts w:ascii="游ゴシック" w:hAnsi="游ゴシック" w:eastAsia="游ゴシック"/>
          <w:b w:val="0"/>
          <w:i w:val="0"/>
          <w:sz w:val="21"/>
        </w:rPr>
        <w:t>（いずれも令和9年4月1日施行）。</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おのまち障がい者計画・第4期障がい児福祉計画・第8期障がい福祉計画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おのまち障がい者計画・第4期障がい児福祉計画・第8期障がい福祉計画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おのまち障がい者計画・第4期障がい児福祉計画・第8期障がい福祉計画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