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112</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量の見込みと同じ伸び（介護予防・日常生活支援総合事業費は認定者数、そのほかは第1号被保険者数）により算定しています。令和7年度の事業ごとの実績及び令和9年度に創設される事業の費用の額が定まった時点で改め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量の見込みと同じ伸び（介護予防・日常生活支援総合事業費は認定者数、そのほかは第1号被保険者数）により算定しています。第10期（令和9年度から令和11年度まで）は令和6年度決算の水準を据え置いています。令和7年度の事業ごとの実績及び特定地域居宅サービス等事業その他の令和9年度に創設される事業の費用の額が定まった時点で改め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