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6〜10㎥区分の是正を含む料金体系の見直し案 ―</w:t>
      </w:r>
    </w:p>
    <w:p>
      <w:pPr>
        <w:spacing w:after="300" w:before="0" w:line="300"/>
      </w:pPr>
      <w:r>
        <w:rPr>
          <w:rFonts w:ascii="MS Pゴシック" w:cs="MS Pゴシック" w:eastAsia="MS Pゴシック" w:hAnsi="MS Pゴシック"/>
          <w:color w:val="5F6F74"/>
          <w:sz w:val="19"/>
          <w:szCs w:val="19"/>
        </w:rPr>
        <w:t xml:space="preserve">令和8年9月14日　　建設課</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現行体系は6〜10㎥の単価が40.7円と極端に低く、この区分だけで従量水量の約4割を流しながら収入は5%にとどまっている。</w:t>
            </w:r>
          </w:p>
          <w:p>
            <w:pPr>
              <w:spacing w:after="60" w:line="290"/>
            </w:pPr>
            <w:r>
              <w:rPr>
                <w:rFonts w:ascii="MS Pゴシック" w:cs="MS Pゴシック" w:eastAsia="MS Pゴシック" w:hAnsi="MS Pゴシック"/>
                <w:color w:val="1A1A1A"/>
                <w:sz w:val="20"/>
                <w:szCs w:val="20"/>
              </w:rPr>
              <w:t xml:space="preserve">② この区分を11〜50㎥と同じ単価に揃えるだけで、年間約849万円（現行比+19.8%）の増収余地がある。</w:t>
            </w:r>
          </w:p>
          <w:p>
            <w:pPr>
              <w:spacing w:after="60" w:line="290"/>
            </w:pPr>
            <w:r>
              <w:rPr>
                <w:rFonts w:ascii="MS Pゴシック" w:cs="MS Pゴシック" w:eastAsia="MS Pゴシック" w:hAnsi="MS Pゴシック"/>
                <w:color w:val="1A1A1A"/>
                <w:sz w:val="20"/>
                <w:szCs w:val="20"/>
              </w:rPr>
              <w:t xml:space="preserve">③ ただし一度に揃えると月10㎥の世帯が+57.4%となるため、段階的に是正する。</w:t>
            </w:r>
          </w:p>
          <w:p>
            <w:pPr>
              <w:spacing w:after="60" w:line="290"/>
            </w:pPr>
            <w:r>
              <w:rPr>
                <w:rFonts w:ascii="MS Pゴシック" w:cs="MS Pゴシック" w:eastAsia="MS Pゴシック" w:hAnsi="MS Pゴシック"/>
                <w:color w:val="1A1A1A"/>
                <w:sz w:val="20"/>
                <w:szCs w:val="20"/>
              </w:rPr>
              <w:t xml:space="preserve">④ 推奨案は「基本使用料は据置・6〜10㎥を40.7円→80円」。全体+10%で、月5㎥以下の世帯は据置となる。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令和7年度の調定データ9,070件と令和6年度決算統計を分析した結果、現行の使用料体系に構造的な偏りがあることが判明した。本資料は、その内容と是正案を整理したものである。</w:t>
      </w:r>
    </w:p>
    <w:p>
      <w:pPr>
        <w:spacing w:after="120" w:before="0" w:line="300"/>
      </w:pPr>
      <w:r>
        <w:rPr>
          <w:rFonts w:ascii="MS Pゴシック" w:cs="MS Pゴシック" w:eastAsia="MS Pゴシック" w:hAnsi="MS Pゴシック"/>
          <w:color w:val="1A1A1A"/>
          <w:sz w:val="21"/>
          <w:szCs w:val="21"/>
        </w:rPr>
        <w:t xml:space="preserve">なお、経費回収率（決算統計32表ベース）は公共下水道49.9%・漁業集落排水36.9%であり、経営戦略が令和16年度の目標として掲げる水準（公共40%・漁集26%）は既に達成している。したがって本件は「目標未達を埋める改定」ではなく、「一般会計繰入をどこまで減らすか」と「体系の偏りをどう正すか」の判断で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200"/>
        <w:gridCol w:w="2200"/>
        <w:gridCol w:w="1700"/>
        <w:gridCol w:w="1750"/>
        <w:gridCol w:w="1750"/>
      </w:tblGrid>
      <w:tr>
        <w:trPr>
          <w:tblHeader/>
        </w:trPr>
        <w:tc>
          <w:tcPr>
            <w:tcW w:type="dxa" w:w="2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区分（1か月あたり・税込）</w:t>
            </w:r>
          </w:p>
        </w:tc>
        <w:tc>
          <w:tcPr>
            <w:tcW w:type="dxa" w:w="2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一般汚水</w:t>
            </w:r>
          </w:p>
        </w:tc>
        <w:tc>
          <w:tcPr>
            <w:tcW w:type="dxa" w:w="2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r>
        <w:tc>
          <w:tcPr>
            <w:tcW w:type="dxa" w:w="2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（税抜換算）</w:t>
            </w:r>
          </w:p>
        </w:tc>
        <w:tc>
          <w:tcPr>
            <w:tcW w:type="dxa" w:w="2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bl>
    <w:p>
      <w:pPr>
        <w:spacing w:after="200" w:before="60"/>
      </w:pPr>
      <w:r>
        <w:rPr>
          <w:rFonts w:ascii="MS Pゴシック" w:cs="MS Pゴシック" w:eastAsia="MS Pゴシック" w:hAnsi="MS Pゴシック"/>
          <w:color w:val="5F6F74"/>
          <w:sz w:val="17"/>
          <w:szCs w:val="17"/>
        </w:rPr>
        <w:t xml:space="preserve">表1　現行の下水道使用料（公衆浴場は基本使用料1,108.8円＋6㎥〜62.7円/㎥）。調定は隔月のため、請求額はこの2倍となる。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すぎる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51㎥超の単価は「220円 −  2,031.7円÷使用量」で表され、220円/㎥に漸近する。つまりどれだけ大量に使っても、月5㎥の世帯が負担している221.8円/㎥を上回る層は存在しない。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6〜10㎥は「水量の4割・収入の5%」</w:t>
      </w:r>
    </w:p>
    <w:p>
      <w:pPr>
        <w:spacing w:after="4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860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区分別の収入シェアと従量水量シェア（公共下水道・令和7年度）</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700"/>
        <w:gridCol w:w="1750"/>
        <w:gridCol w:w="1550"/>
        <w:gridCol w:w="1850"/>
        <w:gridCol w:w="1750"/>
      </w:tblGrid>
      <w:tr>
        <w:trPr>
          <w:tblHeader/>
        </w:trPr>
        <w:tc>
          <w:tcPr>
            <w:tcW w:type="dxa" w:w="2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収入シェア</w:t>
            </w:r>
          </w:p>
        </w:tc>
        <w:tc>
          <w:tcPr>
            <w:tcW w:type="dxa" w:w="18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従量水量（㎥）</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水量シェア</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15,864,710</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1,888,236</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5.3%</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46,394</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37.9%</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12,699,581</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35.7%</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66,351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54.1%</w:t>
            </w:r>
          </w:p>
        </w:tc>
      </w:tr>
      <w:tr>
        <w:tc>
          <w:tcPr>
            <w:tcW w:type="dxa" w:w="2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2,156,440</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6.1%</w:t>
            </w:r>
          </w:p>
        </w:tc>
        <w:tc>
          <w:tcPr>
            <w:tcW w:type="dxa" w:w="18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9,802</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8.0%</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特殊算定（日割・異動等）</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3,007,563</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60"/>
      </w:pPr>
      <w:r>
        <w:rPr>
          <w:rFonts w:ascii="MS Pゴシック" w:cs="MS Pゴシック" w:eastAsia="MS Pゴシック" w:hAnsi="MS Pゴシック"/>
          <w:color w:val="5F6F74"/>
          <w:sz w:val="17"/>
          <w:szCs w:val="17"/>
        </w:rPr>
        <w:t xml:space="preserve">表2　公共下水道の区分別収入。従量水量は2か月分の合計。漁業集落排水もほぼ同じ構造（6〜10㎥は水量33.9%・収入5.5%）。</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6〜10㎥区分の是正余地</w:t>
      </w:r>
    </w:p>
    <w:p>
      <w:pPr>
        <w:spacing w:after="120" w:before="0" w:line="300"/>
      </w:pPr>
      <w:r>
        <w:rPr>
          <w:rFonts w:ascii="MS Pゴシック" w:cs="MS Pゴシック" w:eastAsia="MS Pゴシック" w:hAnsi="MS Pゴシック"/>
          <w:color w:val="1A1A1A"/>
          <w:sz w:val="21"/>
          <w:szCs w:val="21"/>
        </w:rPr>
        <w:t xml:space="preserve">6〜10㎥の単価40.7円は、11〜50㎥の191.4円の4.7分の1である。仮にこの区分を11〜50㎥と同じ単価に揃えると、2事業合計で次の増収となる。</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6〜10㎥の従量水量（2事業計）</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56,362㎥</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2か月分の合計</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現行単価との差</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150.7円/㎥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 − 40.7円</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増収額</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8,493,753円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56,362㎥ × 150.7円</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+19.8%</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現行 42,987,132円</w:t>
            </w:r>
          </w:p>
        </w:tc>
      </w:tr>
    </w:tbl>
    <w:p>
      <w:pPr>
        <w:spacing w:after="200" w:before="60"/>
      </w:pPr>
      <w:r>
        <w:rPr>
          <w:rFonts w:ascii="MS Pゴシック" w:cs="MS Pゴシック" w:eastAsia="MS Pゴシック" w:hAnsi="MS Pゴシック"/>
          <w:color w:val="5F6F74"/>
          <w:sz w:val="17"/>
          <w:szCs w:val="17"/>
        </w:rPr>
        <w:t xml:space="preserve">表3　6〜10㎥を11〜50㎥と同単価に揃えた場合の増収余地。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つまり</w:t>
            </w:r>
          </w:p>
          <w:p>
            <w:pPr>
              <w:spacing w:after="60" w:line="290"/>
            </w:pPr>
            <w:r>
              <w:rPr>
                <w:rFonts w:ascii="MS Pゴシック" w:cs="MS Pゴシック" w:eastAsia="MS Pゴシック" w:hAnsi="MS Pゴシック"/>
                <w:color w:val="1A1A1A"/>
                <w:sz w:val="20"/>
                <w:szCs w:val="20"/>
              </w:rPr>
              <w:t xml:space="preserve">6〜10㎥区分の是正だけで、改定率19.8%に相当する増収余地がある。</w:t>
            </w:r>
          </w:p>
          <w:p>
            <w:pPr>
              <w:spacing w:after="60" w:line="290"/>
            </w:pPr>
            <w:r>
              <w:rPr>
                <w:rFonts w:ascii="MS Pゴシック" w:cs="MS Pゴシック" w:eastAsia="MS Pゴシック" w:hAnsi="MS Pゴシック"/>
                <w:color w:val="1A1A1A"/>
                <w:sz w:val="20"/>
                <w:szCs w:val="20"/>
              </w:rPr>
              <w:t xml:space="preserve">言い換えれば、この区分を放置したまま全体を一律に引き上げると、本来この区分が負担すべき分を他の区分が肩代わりし続けることになる。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是正水準の選択肢</w:t>
      </w:r>
    </w:p>
    <w:p>
      <w:pPr>
        <w:spacing w:after="120" w:before="0" w:line="300"/>
      </w:pPr>
      <w:r>
        <w:rPr>
          <w:rFonts w:ascii="MS Pゴシック" w:cs="MS Pゴシック" w:eastAsia="MS Pゴシック" w:hAnsi="MS Pゴシック"/>
          <w:color w:val="1A1A1A"/>
          <w:sz w:val="21"/>
          <w:szCs w:val="21"/>
        </w:rPr>
        <w:t xml:space="preserve">全体の改定率を+10%に固定し、基本使用料を据え置いたうえで、6〜10㎥をどこまで引き上げるかを4段階で比較した。6〜10㎥を上げるほど11〜50㎥は抑えられるため、負担の配分が変わる。</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50"/>
        <w:gridCol w:w="1200"/>
        <w:gridCol w:w="1100"/>
        <w:gridCol w:w="1400"/>
        <w:gridCol w:w="1250"/>
        <w:gridCol w:w="1250"/>
        <w:gridCol w:w="1250"/>
      </w:tblGrid>
      <w:tr>
        <w:trPr>
          <w:tblHeader/>
        </w:trPr>
        <w:tc>
          <w:tcPr>
            <w:tcW w:type="dxa" w:w="21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是正水準</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是正率</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21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是正なし</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235.9円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+13.8%</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w:t>
            </w:r>
          </w:p>
        </w:tc>
      </w:tr>
      <w:tr>
        <w:tc>
          <w:tcPr>
            <w:tcW w:type="dxa" w:w="21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弱い是正</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60円</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223.0円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+15.2%</w:t>
            </w:r>
          </w:p>
        </w:tc>
      </w:tr>
      <w:tr>
        <w:tc>
          <w:tcPr>
            <w:tcW w:type="dxa" w:w="21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中程度の是正（推奨）</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80円</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26.1%</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209.5円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+11.7%</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+10.3%</w:t>
            </w:r>
          </w:p>
        </w:tc>
      </w:tr>
      <w:tr>
        <w:tc>
          <w:tcPr>
            <w:tcW w:type="dxa" w:w="21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強い是正</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110円</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189.4円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w:t>
            </w:r>
          </w:p>
        </w:tc>
      </w:tr>
      <w:tr>
        <w:tc>
          <w:tcPr>
            <w:tcW w:type="dxa" w:w="21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（参考）完全是正</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134.7円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+5.8%</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−16.9%</w:t>
            </w:r>
          </w:p>
        </w:tc>
      </w:tr>
    </w:tbl>
    <w:p>
      <w:pPr>
        <w:spacing w:after="200" w:before="60"/>
      </w:pPr>
      <w:r>
        <w:rPr>
          <w:rFonts w:ascii="MS Pゴシック" w:cs="MS Pゴシック" w:eastAsia="MS Pゴシック" w:hAnsi="MS Pゴシック"/>
          <w:color w:val="5F6F74"/>
          <w:sz w:val="17"/>
          <w:szCs w:val="17"/>
        </w:rPr>
        <w:t xml:space="preserve">表4　是正水準別の料金と世帯影響（いずれも全体+10%・基本使用料は据置・51㎥〜は242.0円）。是正率は40.7円から191.4円までの到達度。</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是正水準別の負担増減率（月使用量別）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完全是正は一度にはできない</w:t>
            </w:r>
          </w:p>
          <w:p>
            <w:pPr>
              <w:spacing w:after="60" w:line="290"/>
            </w:pPr>
            <w:r>
              <w:rPr>
                <w:rFonts w:ascii="MS Pゴシック" w:cs="MS Pゴシック" w:eastAsia="MS Pゴシック" w:hAnsi="MS Pゴシック"/>
                <w:color w:val="1A1A1A"/>
                <w:sz w:val="20"/>
                <w:szCs w:val="20"/>
              </w:rPr>
              <w:t xml:space="preserve">6〜10㎥を一気に191.4円へ揃えると、月10㎥の世帯は+57.4%となる一方、月30㎥以上はむしろ減額（月50㎥で−16.9%）となり、負担の逆転が生じる。</w:t>
            </w:r>
          </w:p>
          <w:p>
            <w:pPr>
              <w:spacing w:after="60" w:line="290"/>
            </w:pPr>
            <w:r>
              <w:rPr>
                <w:rFonts w:ascii="MS Pゴシック" w:cs="MS Pゴシック" w:eastAsia="MS Pゴシック" w:hAnsi="MS Pゴシック"/>
                <w:color w:val="1A1A1A"/>
                <w:sz w:val="20"/>
                <w:szCs w:val="20"/>
              </w:rPr>
              <w:t xml:space="preserve">したがって是正は段階的に行う必要がある（第7章）。</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推奨案と各家庭への影響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推奨案の料金表</w:t>
      </w:r>
    </w:p>
    <w:p>
      <w:pPr>
        <w:spacing w:after="120" w:before="0" w:line="300"/>
      </w:pPr>
      <w:r>
        <w:rPr>
          <w:rFonts w:ascii="MS Pゴシック" w:cs="MS Pゴシック" w:eastAsia="MS Pゴシック" w:hAnsi="MS Pゴシック"/>
          <w:color w:val="1A1A1A"/>
          <w:sz w:val="21"/>
          <w:szCs w:val="21"/>
        </w:rPr>
        <w:t xml:space="preserve">「基本使用料は据置、6〜10㎥を40.7円→80円」を推奨する。少量利用者（月5㎥以下・件数の約2割）を据え置きながら、最も割安な区分を是正できる。</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2300"/>
        <w:gridCol w:w="1750"/>
        <w:gridCol w:w="1750"/>
        <w:gridCol w:w="18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料金案（1か月・税込）</w:t>
            </w:r>
          </w:p>
        </w:tc>
        <w:tc>
          <w:tcPr>
            <w:tcW w:type="dxa" w:w="2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2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推奨案 +5%</w:t>
            </w:r>
          </w:p>
        </w:tc>
        <w:tc>
          <w:tcPr>
            <w:tcW w:type="dxa" w:w="2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1,108.8円（据置）</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60円</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200.7円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231.0円</w:t>
            </w:r>
          </w:p>
        </w:tc>
      </w:tr>
      <w:tr>
        <w:tc>
          <w:tcPr>
            <w:tcW w:type="dxa" w:w="20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推奨案 +10%</w:t>
            </w:r>
          </w:p>
        </w:tc>
        <w:tc>
          <w:tcPr>
            <w:tcW w:type="dxa" w:w="2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1,108.8円（据置）</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80円</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209.5円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242.0円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推奨案 +15%</w:t>
            </w:r>
          </w:p>
        </w:tc>
        <w:tc>
          <w:tcPr>
            <w:tcW w:type="dxa" w:w="2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1,108.8円（据置）</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90円</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225.1円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253.0円</w:t>
            </w:r>
          </w:p>
        </w:tc>
      </w:tr>
    </w:tbl>
    <w:p>
      <w:pPr>
        <w:spacing w:after="200" w:before="60"/>
      </w:pPr>
      <w:r>
        <w:rPr>
          <w:rFonts w:ascii="MS Pゴシック" w:cs="MS Pゴシック" w:eastAsia="MS Pゴシック" w:hAnsi="MS Pゴシック"/>
          <w:color w:val="5F6F74"/>
          <w:sz w:val="17"/>
          <w:szCs w:val="17"/>
        </w:rPr>
        <w:t xml:space="preserve">表5　推奨案の料金表。区分の数は現行のままであり、条例改正は単価の差替えのみで足りる。</w:t>
      </w:r>
    </w:p>
    <w:p>
      <w:pPr>
        <w:pStyle w:val="Heading2"/>
        <w:keepNext/>
        <w:spacing w:after="100" w:before="240"/>
      </w:pPr>
      <w:r>
        <w:rPr>
          <w:rFonts w:ascii="MS Pゴシック" w:cs="MS Pゴシック" w:eastAsia="MS Pゴシック" w:hAnsi="MS Pゴシック"/>
          <w:b/>
          <w:bCs/>
          <w:color w:val="12939E"/>
          <w:sz w:val="22"/>
          <w:szCs w:val="22"/>
        </w:rPr>
        <w:t xml:space="preserve">5-2　各家庭への影響（推奨案+10%）</w:t>
      </w:r>
    </w:p>
    <w:p>
      <w:pPr>
        <w:spacing w:after="120" w:before="0" w:line="300"/>
      </w:pPr>
      <w:r>
        <w:rPr>
          <w:rFonts w:ascii="MS Pゴシック" w:cs="MS Pゴシック" w:eastAsia="MS Pゴシック" w:hAnsi="MS Pゴシック"/>
          <w:color w:val="1A1A1A"/>
          <w:sz w:val="21"/>
          <w:szCs w:val="21"/>
        </w:rPr>
        <w:t xml:space="preserve">調定は隔月のため、実際の請求額は月額の2倍となる。次表は2か月分の請求額で示した。</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00"/>
        <w:gridCol w:w="1800"/>
        <w:gridCol w:w="1700"/>
        <w:gridCol w:w="1700"/>
        <w:gridCol w:w="1650"/>
        <w:gridCol w:w="1650"/>
      </w:tblGrid>
      <w:tr>
        <w:trPr>
          <w:tblHeader/>
        </w:trPr>
        <w:tc>
          <w:tcPr>
            <w:tcW w:type="dxa" w:w="1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推奨案（2か月）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差額</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2,697円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+9.6%</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+393円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5,112円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4人世帯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7,207円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+755円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+11.7%</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9,302円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+11.2%</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11,397円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+1,117円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15,587円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+1,479円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19,777円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+1,841円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43,977円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+4,041円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r>
    </w:tbl>
    <w:p>
      <w:pPr>
        <w:spacing w:after="200" w:before="60"/>
      </w:pPr>
      <w:r>
        <w:rPr>
          <w:rFonts w:ascii="MS Pゴシック" w:cs="MS Pゴシック" w:eastAsia="MS Pゴシック" w:hAnsi="MS Pゴシック"/>
          <w:color w:val="5F6F74"/>
          <w:sz w:val="17"/>
          <w:szCs w:val="17"/>
        </w:rPr>
        <w:t xml:space="preserve">表6　推奨案+10%における2か月分請求額の変化（一般汚水・税込）。</w:t>
      </w:r>
    </w:p>
    <w:p>
      <w:pPr>
        <w:pStyle w:val="Heading2"/>
        <w:keepNext/>
        <w:spacing w:after="100" w:before="240"/>
      </w:pPr>
      <w:r>
        <w:rPr>
          <w:rFonts w:ascii="MS Pゴシック" w:cs="MS Pゴシック" w:eastAsia="MS Pゴシック" w:hAnsi="MS Pゴシック"/>
          <w:b/>
          <w:bCs/>
          <w:color w:val="12939E"/>
          <w:sz w:val="22"/>
          <w:szCs w:val="22"/>
        </w:rPr>
        <w:t xml:space="preserve">5-3　どの世帯がどれだけいるか</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650"/>
        <w:gridCol w:w="1950"/>
        <w:gridCol w:w="1150"/>
        <w:gridCol w:w="1250"/>
        <w:gridCol w:w="1250"/>
        <w:gridCol w:w="1150"/>
        <w:gridCol w:w="1200"/>
      </w:tblGrid>
      <w:tr>
        <w:trPr>
          <w:tblHeader/>
        </w:trPr>
        <w:tc>
          <w:tcPr>
            <w:tcW w:type="dxa" w:w="16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r>
      <w:tr>
        <w:tc>
          <w:tcPr>
            <w:tcW w:type="dxa" w:w="16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単身・高齢世帯など</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21.7%</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10.3%</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19.9%</w:t>
            </w:r>
          </w:p>
        </w:tc>
      </w:tr>
      <w:tr>
        <w:tc>
          <w:tcPr>
            <w:tcW w:type="dxa" w:w="16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2人世帯など</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24.5%</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12.8%</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296</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r>
      <w:tr>
        <w:tc>
          <w:tcPr>
            <w:tcW w:type="dxa" w:w="16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3〜4人世帯など</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31.2%</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29.1%</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35.3%</w:t>
            </w:r>
          </w:p>
        </w:tc>
      </w:tr>
      <w:tr>
        <w:tc>
          <w:tcPr>
            <w:tcW w:type="dxa" w:w="16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9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5人以上世帯など</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935</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247</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w:t>
            </w:r>
          </w:p>
        </w:tc>
      </w:tr>
      <w:tr>
        <w:tc>
          <w:tcPr>
            <w:tcW w:type="dxa" w:w="16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小規模事業所など</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8.6%</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r>
      <w:tr>
        <w:tc>
          <w:tcPr>
            <w:tcW w:type="dxa" w:w="16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9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大口（事業所・公共施設）</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6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487</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0.3%</w:t>
            </w:r>
          </w:p>
        </w:tc>
      </w:tr>
    </w:tbl>
    <w:p>
      <w:pPr>
        <w:spacing w:after="200" w:before="60"/>
      </w:pPr>
      <w:r>
        <w:rPr>
          <w:rFonts w:ascii="MS Pゴシック" w:cs="MS Pゴシック" w:eastAsia="MS Pゴシック" w:hAnsi="MS Pゴシック"/>
          <w:color w:val="5F6F74"/>
          <w:sz w:val="17"/>
          <w:szCs w:val="17"/>
        </w:rPr>
        <w:t xml:space="preserve">表7　月使用量帯別の構成（令和7年度調定）。据置となる月5㎥以下は件数の約2割、金額の約1割を占める。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増収額と経費回収率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00"/>
        <w:gridCol w:w="1900"/>
        <w:gridCol w:w="1600"/>
        <w:gridCol w:w="1500"/>
        <w:gridCol w:w="1500"/>
        <w:gridCol w:w="1400"/>
      </w:tblGrid>
      <w:tr>
        <w:trPr>
          <w:tblHeader/>
        </w:trPr>
        <w:tc>
          <w:tcPr>
            <w:tcW w:type="dxa" w:w="1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増収額（年額）</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 公共</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 漁集</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是正率</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推奨案 +5%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2,148,290円</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推奨案 +10%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4,295,086円</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+9.99%</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40.6%</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26.1%</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推奨案 +15%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6,447,884円</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57.3%</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42.6%</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32.7%</w:t>
            </w:r>
          </w:p>
        </w:tc>
      </w:tr>
    </w:tbl>
    <w:p>
      <w:pPr>
        <w:spacing w:after="200" w:before="60"/>
      </w:pPr>
      <w:r>
        <w:rPr>
          <w:rFonts w:ascii="MS Pゴシック" w:cs="MS Pゴシック" w:eastAsia="MS Pゴシック" w:hAnsi="MS Pゴシック"/>
          <w:color w:val="5F6F74"/>
          <w:sz w:val="17"/>
          <w:szCs w:val="17"/>
        </w:rPr>
        <w:t xml:space="preserve">表8　増収額はR7年度奇数月6回調定に各案を当てはめた再計算（税込）。経費回収率はR6決算統計（32表）に増収率を乗じたもので、汚水処理費はR6水準で据置。</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w:t>
            </w:r>
          </w:p>
          <w:p>
            <w:pPr>
              <w:spacing w:after="60" w:line="290"/>
            </w:pPr>
            <w:r>
              <w:rPr>
                <w:rFonts w:ascii="MS Pゴシック" w:cs="MS Pゴシック" w:eastAsia="MS Pゴシック" w:hAnsi="MS Pゴシック"/>
                <w:color w:val="1A1A1A"/>
                <w:sz w:val="20"/>
                <w:szCs w:val="20"/>
              </w:rPr>
              <w:t xml:space="preserve">基準内繰入金は改定しても変わらない。分流式下水道等に要する経費は「基準額のうち使用料収入で賄いきれない分」として満額繰入となっており、+15%程度の改定ではこの状態が続くためである。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基準内繰入金が減り始めるのは、使用料収入が汚水維持管理費を超えたとき（公共で現行の2.00倍、漁集で2.71倍）であり、今回の改定率では届かない。</w:t>
            </w:r>
          </w:p>
          <w:p>
            <w:pPr>
              <w:spacing w:after="60" w:line="290"/>
            </w:pPr>
            <w:r>
              <w:rPr>
                <w:rFonts w:ascii="MS Pゴシック" w:cs="MS Pゴシック" w:eastAsia="MS Pゴシック" w:hAnsi="MS Pゴシック"/>
                <w:color w:val="1A1A1A"/>
                <w:sz w:val="20"/>
                <w:szCs w:val="20"/>
              </w:rPr>
              <w:t xml:space="preserve">したがって増収分は、基準外繰入金の削減（一般会計負担の軽減）または事業収支の改善に回る。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段階的な是正の考え方</w:t>
      </w:r>
    </w:p>
    <w:p>
      <w:pPr>
        <w:spacing w:after="120" w:before="0" w:line="300"/>
      </w:pPr>
      <w:r>
        <w:rPr>
          <w:rFonts w:ascii="MS Pゴシック" w:cs="MS Pゴシック" w:eastAsia="MS Pゴシック" w:hAnsi="MS Pゴシック"/>
          <w:color w:val="1A1A1A"/>
          <w:sz w:val="21"/>
          <w:szCs w:val="21"/>
        </w:rPr>
        <w:t xml:space="preserve">経営戦略は令和8年度に+10%、令和13年度にさらに+10%（現行比+20%）の改定を織り込んでいる。この2段階に合わせて6〜10㎥を是正すると、次のようになる。</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400"/>
        <w:gridCol w:w="1400"/>
        <w:gridCol w:w="1300"/>
        <w:gridCol w:w="1400"/>
        <w:gridCol w:w="1550"/>
        <w:gridCol w:w="1550"/>
      </w:tblGrid>
      <w:tr>
        <w:trPr>
          <w:tblHeader/>
        </w:trPr>
        <w:tc>
          <w:tcPr>
            <w:tcW w:type="dxa" w:w="24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是正率</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w:t>
            </w:r>
          </w:p>
        </w:tc>
      </w:tr>
      <w:tr>
        <w:tc>
          <w:tcPr>
            <w:tcW w:type="dxa" w:w="2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第1段階（令和8年度）</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26.1%</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209.5円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242.0円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w:t>
            </w:r>
          </w:p>
        </w:tc>
      </w:tr>
      <w:tr>
        <w:tc>
          <w:tcPr>
            <w:tcW w:type="dxa" w:w="2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第2段階（令和13年度）</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227.2円</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264.0円</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w:t>
            </w:r>
          </w:p>
        </w:tc>
      </w:tr>
    </w:tbl>
    <w:p>
      <w:pPr>
        <w:spacing w:after="200" w:before="60"/>
      </w:pPr>
      <w:r>
        <w:rPr>
          <w:rFonts w:ascii="MS Pゴシック" w:cs="MS Pゴシック" w:eastAsia="MS Pゴシック" w:hAnsi="MS Pゴシック"/>
          <w:color w:val="5F6F74"/>
          <w:sz w:val="17"/>
          <w:szCs w:val="17"/>
        </w:rPr>
        <w:t xml:space="preserve">表9　段階的是正の料金表（1か月・税込）。基本使用料はいずれの段階も1,108.8円で据置。</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段階的是正による単価の段差の縮小</w:t>
      </w:r>
    </w:p>
    <w:p>
      <w:pPr>
        <w:spacing w:after="120" w:before="0" w:line="300"/>
      </w:pPr>
      <w:r>
        <w:rPr>
          <w:rFonts w:ascii="MS Pゴシック" w:cs="MS Pゴシック" w:eastAsia="MS Pゴシック" w:hAnsi="MS Pゴシック"/>
          <w:color w:val="1A1A1A"/>
          <w:sz w:val="21"/>
          <w:szCs w:val="21"/>
        </w:rPr>
        <w:t xml:space="preserve">現行4.70倍の段差は、第1段階で2.62倍、第2段階で1.89倍まで縮まる。2段階を経ても完全是正（1.00倍）には至らないが、10年かけて偏りを大きく改善できる。</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3,017円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3,417円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7,207円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+11.7%</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7,961円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+23.4%</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11,397円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12,505円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19,777円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21,593円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43,977円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47,993円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+20.2%</w:t>
            </w:r>
          </w:p>
        </w:tc>
      </w:tr>
    </w:tbl>
    <w:p>
      <w:pPr>
        <w:spacing w:after="200" w:before="60"/>
      </w:pPr>
      <w:r>
        <w:rPr>
          <w:rFonts w:ascii="MS Pゴシック" w:cs="MS Pゴシック" w:eastAsia="MS Pゴシック" w:hAnsi="MS Pゴシック"/>
          <w:color w:val="5F6F74"/>
          <w:sz w:val="17"/>
          <w:szCs w:val="17"/>
        </w:rPr>
        <w:t xml:space="preserve">表10　段階別の2か月請求額（一般汚水・税込）。</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留意事項</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奇数月6回調定（9,070件・42,987,132円）に基づく。通常の隔月検針者については概ね12か月相当だが、偶数月調定および毎月検針者の一部を含まない。毎月検針の大口は年12回のうち6回しか捕捉できていないため、増収額はやや過小に出ている可能性があ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調定明細に使用水量の記載がないため、請求金額から算定式を逆引きして推計している。基本料金帯（2,217円）は1〜10㎥のいずれでも同額のため水量を特定できず、この分は推計の対象外としている。ただし改定後の金額には影響しない。</w:t>
      </w:r>
    </w:p>
    <w:p>
      <w:pPr>
        <w:spacing w:after="40" w:before="120" w:line="300"/>
      </w:pPr>
      <w:r>
        <w:rPr>
          <w:rFonts w:ascii="MS Pゴシック" w:cs="MS Pゴシック" w:eastAsia="MS Pゴシック" w:hAnsi="MS Pゴシック"/>
          <w:b/>
          <w:bCs/>
          <w:color w:val="1A1A1A"/>
          <w:sz w:val="20"/>
          <w:szCs w:val="20"/>
        </w:rPr>
        <w:t xml:space="preserve">■ 経費回収率の定義</w:t>
      </w:r>
    </w:p>
    <w:p>
      <w:pPr>
        <w:spacing w:after="120" w:before="0" w:line="300"/>
        <w:ind w:left="240"/>
      </w:pPr>
      <w:r>
        <w:rPr>
          <w:rFonts w:ascii="MS Pゴシック" w:cs="MS Pゴシック" w:eastAsia="MS Pゴシック" w:hAnsi="MS Pゴシック"/>
          <w:color w:val="1A1A1A"/>
          <w:sz w:val="21"/>
          <w:szCs w:val="21"/>
        </w:rPr>
        <w:t xml:space="preserve">決算統計32表の汚水処理費（維持管理費の汚水分のみ）に対する使用料収入の比率である。経営戦略が用いている経費回収率（公共35.0%・漁集25.8%、令和4年度）は資本費を含む分母であり、本資料の数値とは連続しない。</w:t>
      </w:r>
    </w:p>
    <w:p>
      <w:pPr>
        <w:spacing w:after="40" w:before="120" w:line="300"/>
      </w:pPr>
      <w:r>
        <w:rPr>
          <w:rFonts w:ascii="MS Pゴシック" w:cs="MS Pゴシック" w:eastAsia="MS Pゴシック" w:hAnsi="MS Pゴシック"/>
          <w:b/>
          <w:bCs/>
          <w:color w:val="1A1A1A"/>
          <w:sz w:val="20"/>
          <w:szCs w:val="20"/>
        </w:rPr>
        <w:t xml:space="preserve">■ 汚水処理費の前提</w:t>
      </w:r>
    </w:p>
    <w:p>
      <w:pPr>
        <w:spacing w:after="120" w:before="0" w:line="300"/>
        <w:ind w:left="240"/>
      </w:pPr>
      <w:r>
        <w:rPr>
          <w:rFonts w:ascii="MS Pゴシック" w:cs="MS Pゴシック" w:eastAsia="MS Pゴシック" w:hAnsi="MS Pゴシック"/>
          <w:color w:val="1A1A1A"/>
          <w:sz w:val="21"/>
          <w:szCs w:val="21"/>
        </w:rPr>
        <w:t xml:space="preserve">経費回収率の試算は汚水処理費を令和6年度水準で据え置いている。維持管理費の変動は織り込んでいない。</w:t>
      </w:r>
    </w:p>
    <w:p>
      <w:pPr>
        <w:spacing w:after="40" w:before="120" w:line="300"/>
      </w:pPr>
      <w:r>
        <w:rPr>
          <w:rFonts w:ascii="MS Pゴシック" w:cs="MS Pゴシック" w:eastAsia="MS Pゴシック" w:hAnsi="MS Pゴシック"/>
          <w:b/>
          <w:bCs/>
          <w:color w:val="1A1A1A"/>
          <w:sz w:val="20"/>
          <w:szCs w:val="20"/>
        </w:rPr>
        <w:t xml:space="preserve">■ 端数処理</w:t>
      </w:r>
    </w:p>
    <w:p>
      <w:pPr>
        <w:spacing w:after="120" w:before="0" w:line="300"/>
        <w:ind w:left="240"/>
      </w:pPr>
      <w:r>
        <w:rPr>
          <w:rFonts w:ascii="MS Pゴシック" w:cs="MS Pゴシック" w:eastAsia="MS Pゴシック" w:hAnsi="MS Pゴシック"/>
          <w:color w:val="1A1A1A"/>
          <w:sz w:val="21"/>
          <w:szCs w:val="21"/>
        </w:rPr>
        <w:t xml:space="preserve">2か月分の請求額は「税抜額×1.1」の1円未満を切り捨てて算定している。条例改正にあたっては端数処理の方法を明記する必要がある。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汚水処理費、使用料収入、有収水量、繰入金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改定の織り込み、経営目標、近隣比較（表2.9）</w:t>
      </w:r>
    </w:p>
    <w:p>
      <w:pPr>
        <w:spacing w:after="60" w:before="0" w:line="300"/>
      </w:pPr>
      <w:r>
        <w:rPr>
          <w:rFonts w:ascii="MS Pゴシック" w:cs="MS Pゴシック" w:eastAsia="MS Pゴシック" w:hAnsi="MS Pゴシック"/>
          <w:color w:val="1A1A1A"/>
          <w:sz w:val="19"/>
          <w:szCs w:val="19"/>
        </w:rPr>
        <w:t xml:space="preserve">・階上町ホームページ　</w:t>
      </w:r>
      <w:r>
        <w:rPr>
          <w:rFonts w:ascii="MS Pゴシック" w:cs="MS Pゴシック" w:eastAsia="MS Pゴシック" w:hAnsi="MS Pゴシック"/>
          <w:color w:val="5F6F74"/>
          <w:sz w:val="19"/>
          <w:szCs w:val="19"/>
        </w:rPr>
        <w:t xml:space="preserve">現行の使用料体系</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本資料の数値は、別添の試算エビデンス（Excel）で全て追跡できる。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ab4400a51083fd278bc4b20a8981ac9e4f350197.png"/><Relationship Id="rId11" Type="http://schemas.openxmlformats.org/officeDocument/2006/relationships/image" Target="media/55dccb9ea65a10569903366981a616920137cec9.png"/><Relationship Id="rId12" Type="http://schemas.openxmlformats.org/officeDocument/2006/relationships/image" Target="media/36ad5c677bd1003f884c3799d1fec45e444cadf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2026-09-14T13:07:50.726Z</dcterms:created>
  <dcterms:modified xsi:type="dcterms:W3CDTF">2026-09-14T13:07:50.727Z</dcterms:modified>
</cp:coreProperties>
</file>

<file path=docProps/custom.xml><?xml version="1.0" encoding="utf-8"?>
<Properties xmlns="http://schemas.openxmlformats.org/officeDocument/2006/custom-properties" xmlns:vt="http://schemas.openxmlformats.org/officeDocument/2006/docPropsVTypes"/>
</file>