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基本理念・基本目標・施策体系を「参考」から本計画の内容へ位置づけ直し、第８期で加わる視点との対応表を新設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第３章</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t>第3章　計画の基本理念・基本目標及び施策体系</w:t>
      </w:r>
      <w:bookmarkEnd w:id="23"/>
    </w:p>
    <w:p>
      <w:pPr>
        <w:ind w:firstLine="210"/>
      </w:pPr>
      <w:r>
        <w:rPr>
          <w:rFonts w:ascii="BIZ UDPゴシック" w:hAnsi="BIZ UDPゴシック" w:eastAsia="BIZ UDPゴシック"/>
          <w:b w:val="0"/>
          <w:sz w:val="21"/>
        </w:rPr>
        <w:t>本計画は、令和６年度から令和11年度までを計画期間とする「第４次北塩原村障がい者計画」と一体的に推進するものです。同計画は今回の見直しの対象ではないため、その基本理念、基本目標及び施策体系は変更せず、本計画においても共有する理念・目標・体系として継承します。本章では、継承する内容を明らかにしたうえで、第８期障がい福祉計画・第４期障がい児福祉計画で新たに加わる視点がどの施策に接続するかを整理します。</w:t>
      </w:r>
    </w:p>
    <w:p>
      <w:pPr>
        <w:pStyle w:val="2"/>
      </w:pPr>
      <w:r>
        <w:rPr>
          <w:rFonts w:ascii="BIZ UDPゴシック" w:hAnsi="BIZ UDPゴシック" w:eastAsia="BIZ UDPゴシック"/>
          <w:b w:val="0"/>
          <w:sz w:val="21"/>
        </w:rPr>
        <w:t>１　基本理念</w:t>
      </w:r>
    </w:p>
    <w:p>
      <w:pPr>
        <w:ind w:firstLine="210"/>
      </w:pPr>
      <w:r>
        <w:rPr>
          <w:rFonts w:ascii="BIZ UDPゴシック" w:hAnsi="BIZ UDPゴシック" w:eastAsia="BIZ UDPゴシック"/>
          <w:b/>
          <w:sz w:val="21"/>
        </w:rPr>
        <w:t>「障がいのあるなしに関わらず、お互いの人格や個性を尊重し、多様な価値観を認め合い、誰もが自分らしく輝くむら」</w:t>
      </w:r>
    </w:p>
    <w:p>
      <w:pPr>
        <w:ind w:firstLine="210"/>
      </w:pPr>
      <w:r>
        <w:rPr>
          <w:rFonts w:ascii="BIZ UDPゴシック" w:hAnsi="BIZ UDPゴシック" w:eastAsia="BIZ UDPゴシック"/>
          <w:b w:val="0"/>
          <w:sz w:val="21"/>
        </w:rPr>
        <w:t>障がいの有無に関係なく、地域に暮らす人々がお互いに支え合いながら共に生きる「地域共生社会」の理念を基本としています。本村は、特性の異なる多様な地域が手を取り合い、各々の個性を磨きながら生活しています。これを踏まえ、人格や個性、価値観を認め合いながら、誰もが自分らしく生活できる地域社会の実現を基本理念とします。</w:t>
      </w:r>
    </w:p>
    <w:p>
      <w:pPr>
        <w:pStyle w:val="2"/>
      </w:pPr>
      <w:r>
        <w:rPr>
          <w:rFonts w:ascii="BIZ UDPゴシック" w:hAnsi="BIZ UDPゴシック" w:eastAsia="BIZ UDPゴシック"/>
          <w:b w:val="0"/>
          <w:sz w:val="21"/>
        </w:rPr>
        <w:t>２　基本目標</w:t>
      </w:r>
    </w:p>
    <w:p>
      <w:pPr>
        <w:ind w:firstLine="210"/>
      </w:pPr>
      <w:r>
        <w:rPr>
          <w:rFonts w:ascii="BIZ UDPゴシック" w:hAnsi="BIZ UDPゴシック" w:eastAsia="BIZ UDPゴシック"/>
          <w:b w:val="0"/>
          <w:sz w:val="21"/>
        </w:rPr>
        <w:t>基本理念を実現するため、次の３つの目標を設定し、各種施策を推進します。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基本目標</w:t>
            </w:r>
          </w:p>
        </w:tc>
        <w:tc>
          <w:tcPr>
            <w:tcW w:w="6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①　障がいへの理解を深め、交流を育むむら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②　共に支え合い、誰もが安心して暮らせるむら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tc>
      </w:tr>
      <w:tr>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③　みんなが輝き、自立した生活を送れるむら</w:t>
            </w:r>
          </w:p>
        </w:tc>
        <w:tc>
          <w:tcPr>
            <w:tcW w:w="6438" w:type="dxa"/>
            <w:tcMar>
              <w:top w:w="60" w:type="dxa"/>
              <w:left w:w="100" w:type="dxa"/>
              <w:bottom w:w="60" w:type="dxa"/>
              <w:right w:w="100" w:type="dxa"/>
            </w:tcMar>
            <w:vAlign w:val="center"/>
          </w:tcPr>
          <w:p>
            <w:r>
              <w:rPr>
                <w:rFonts w:ascii="BIZ UDPゴシック" w:hAnsi="BIZ UDPゴシック" w:eastAsia="BIZ UDPゴシック"/>
                <w:b w:val="0"/>
                <w:sz w:val="19"/>
              </w:rPr>
              <w:t>生きがいを持って活動できる社会を目指し、障がいのある人も様々な可能性の中から自分らしい生き方を選択できるように、ライフステージに沿った切れ目のない支援を進めます。</w:t>
            </w:r>
          </w:p>
        </w:tc>
      </w:tr>
    </w:tbl>
    <w:p/>
    <w:p>
      <w:pPr>
        <w:pStyle w:val="2"/>
      </w:pPr>
      <w:r>
        <w:rPr>
          <w:rFonts w:ascii="BIZ UDPゴシック" w:hAnsi="BIZ UDPゴシック" w:eastAsia="BIZ UDPゴシック"/>
          <w:b w:val="0"/>
          <w:sz w:val="21"/>
        </w:rPr>
        <w:t>３　施策体系と各施策の方向性</w:t>
      </w:r>
    </w:p>
    <w:p>
      <w:pPr>
        <w:ind w:firstLine="210"/>
      </w:pPr>
      <w:r>
        <w:rPr>
          <w:rFonts w:ascii="BIZ UDPゴシック" w:hAnsi="BIZ UDPゴシック" w:eastAsia="BIZ UDPゴシック"/>
          <w:b w:val="0"/>
          <w:sz w:val="21"/>
        </w:rPr>
        <w:t>基本理念及び基本目標のもとに、次の７つの基本施策を設定しています。各施策の方向性は第４次障がい者計画から継承します。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7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施策の方向性</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①　啓発・広報</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障がいや障がいのある人に対する理解と認識を深め、差別の解消や権利擁護の理念を浸透させるため、広報やホームページの活用、啓発事業の開催等を実施し、積極的に周知、啓発を行います。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②　保健・医療</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疾病・障がいの早期発見・早期治療による障がいにつながる疾病の予防や軽減のため、妊娠期や乳幼児期からの一生涯にわたる支援を目指し、保健・医療に関する施策を推進します。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③　福祉</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障がいのある方が必要なサービスを受けられるよう、適切なサービスの供給を確保していくとともに、サービス提供体制の整備や利用しやすい環境づくりを推進します。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④　教育・育成</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子どもの発達段階、障がいの程度や特性を考慮し、一人一人のニーズに応じた教育の推進に努め、教育相談の充実を図るとともに、医療・福祉と連携した総合的な相談体制の充実に向けた施策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⑤　雇用・就業</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就労希望者が就労できるよう、企業や雇用主に働きかけを行うとともに、各種関係機関との連携を取りながら、就労環境の整備を推進します。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⑥　生活環境</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障がいのある人が地域で安心して安全な生活ができるよう、公共施設等のバリアフリー化や地域ぐるみの防犯・防災体制の整備を推進します。</w:t>
            </w:r>
          </w:p>
        </w:tc>
      </w:tr>
      <w:tr>
        <w:tc>
          <w:tcPr>
            <w:tcW w:w="2400" w:type="dxa"/>
            <w:tcMar>
              <w:top w:w="60" w:type="dxa"/>
              <w:left w:w="100" w:type="dxa"/>
              <w:bottom w:w="60" w:type="dxa"/>
              <w:right w:w="100" w:type="dxa"/>
            </w:tcMar>
            <w:vAlign w:val="center"/>
          </w:tcPr>
          <w:p>
            <w:r>
              <w:rPr>
                <w:rFonts w:ascii="BIZ UDPゴシック" w:hAnsi="BIZ UDPゴシック" w:eastAsia="BIZ UDPゴシック"/>
                <w:b w:val="0"/>
                <w:sz w:val="19"/>
              </w:rPr>
              <w:t>⑦　スポーツ・文化</w:t>
            </w:r>
          </w:p>
        </w:tc>
        <w:tc>
          <w:tcPr>
            <w:tcW w:w="7238" w:type="dxa"/>
            <w:tcMar>
              <w:top w:w="60" w:type="dxa"/>
              <w:left w:w="100" w:type="dxa"/>
              <w:bottom w:w="60" w:type="dxa"/>
              <w:right w:w="100" w:type="dxa"/>
            </w:tcMar>
            <w:vAlign w:val="center"/>
          </w:tcPr>
          <w:p>
            <w:r>
              <w:rPr>
                <w:rFonts w:ascii="BIZ UDPゴシック" w:hAnsi="BIZ UDPゴシック" w:eastAsia="BIZ UDPゴシック"/>
                <w:b w:val="0"/>
                <w:sz w:val="19"/>
              </w:rPr>
              <w:t>各種スポーツや文化・芸術活動を行うことは、生活の質の向上や社会参加の促進を図るうえで重要です。障がいのある人も障がいのない人と同様に、主体的に自分の望むことを楽しむことができるよう、支援体制の整備を推進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第４次障がい者計画の体系図では、３つの基本目標と７つの基本施策の対応関係が示されています。計画書に体系図を再掲する際は、同計画の図（第１章４）の対応関係をそのまま用いてください。</w:t>
            </w:r>
          </w:p>
        </w:tc>
      </w:tr>
    </w:tbl>
    <w:p/>
    <w:p>
      <w:pPr>
        <w:pStyle w:val="2"/>
      </w:pPr>
      <w:r>
        <w:rPr>
          <w:rFonts w:ascii="BIZ UDPゴシック" w:hAnsi="BIZ UDPゴシック" w:eastAsia="BIZ UDPゴシック"/>
          <w:b w:val="0"/>
          <w:sz w:val="21"/>
        </w:rPr>
        <w:t>４　第８期計画で加わる視点と施策体系の対応</w:t>
      </w:r>
    </w:p>
    <w:p>
      <w:pPr>
        <w:ind w:firstLine="210"/>
      </w:pPr>
      <w:r>
        <w:rPr>
          <w:rFonts w:ascii="BIZ UDPゴシック" w:hAnsi="BIZ UDPゴシック" w:eastAsia="BIZ UDPゴシック"/>
          <w:b w:val="0"/>
          <w:sz w:val="21"/>
        </w:rPr>
        <w:t>令和８年３月31日に告示された国の基本指針では、第７期計画から新たに加わる視点が示されています。これらを継承する７つの基本施策のどこに接続し、第４章の成果目標及び第５章の見込量とどう対応させるかを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第８期で加わる視点</w:t>
            </w:r>
          </w:p>
        </w:tc>
        <w:tc>
          <w:tcPr>
            <w:tcW w:w="2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対応する成果目標</w:t>
            </w:r>
          </w:p>
        </w:tc>
        <w:tc>
          <w:tcPr>
            <w:tcW w:w="2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対応する見込量・事業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　啓発・広報</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合理的配慮の提供義務化（令和６年４月）の周知、意思疎通支援従事者の養成・派遣体制の整備、障がい者等に対する虐待の防止</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理解促進研修・啓発事業、意思疎通支援事業</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　保健・医療</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精神障害にも対応した地域包括ケアシステムの構築（心のサポーター、Ｋ６の活用）、医療的ケア児等への支援、高次脳機能障害者に対する支援【新規】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（２）精神障害にも対応した地域包括ケアシステムの構築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療養介護、自立支援医療、医療的ケア児等コーディネーターの配置</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　福祉</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機能の年１回以上の検証、強度行動障害を有する者の支援ニーズの把握、のぞまないセルフプランの解消、人口減少地域におけるサービスの維持・確保、住宅セーフティネット制度との連携【新規】</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（１）福祉施設の入所者の地域生活への移行、（５）地域生活支援の充実、（６）相談支援体制の充実・強化等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訪問系・日中活動系・居住系サービス、相談支援、地域生活支援事業（相談支援事業、日中一時支援事業等）</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　教育・育成</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児童発達支援センターの４つの中核機能の確保、インクルージョン推進のための協議の場の設置【新規】、こども家庭センターとの連携、18歳以降への円滑な移行</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（４）障がい児支援の提供体制の整備等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児童発達支援、放課後等デイサービス、保育所等訪問支援、障がい児相談支援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　雇用・就業</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就労選択支援の積極的な利用促進（令和７年10月開始）、法定雇用率2.7％への引上げ（令和８年７月）を踏まえた事業主啓発、就労定着率に関する目標の設定</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（３）福祉施設から一般就労への移行等</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就労選択支援、就労移行支援、就労継続支援Ａ型・Ｂ型、就労定着支援</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　生活環境</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災害時における障害福祉サービス提供の確保、個別避難計画の作成促進、冬季・積雪時の避難支援体制の整備</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移動支援事業、日常生活用具給付等事業、地域生活支援拠点等（緊急時の対応）</w:t>
            </w:r>
          </w:p>
        </w:tc>
      </w:tr>
      <w:tr>
        <w:tc>
          <w:tcPr>
            <w:tcW w:w="1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　スポーツ・文化</w:t>
            </w:r>
          </w:p>
        </w:tc>
        <w:tc>
          <w:tcPr>
            <w:tcW w:w="3200" w:type="dxa"/>
            <w:tcMar>
              <w:top w:w="60" w:type="dxa"/>
              <w:left w:w="100" w:type="dxa"/>
              <w:bottom w:w="60" w:type="dxa"/>
              <w:right w:w="100" w:type="dxa"/>
            </w:tcMar>
            <w:vAlign w:val="center"/>
          </w:tcPr>
          <w:p>
            <w:r>
              <w:rPr>
                <w:rFonts w:ascii="BIZ UDPゴシック" w:hAnsi="BIZ UDPゴシック" w:eastAsia="BIZ UDPゴシック"/>
                <w:b w:val="0"/>
                <w:sz w:val="19"/>
              </w:rPr>
              <w:t>スポーツ・健康増進活動による社会参加等の促進【新規】、地域共生社会の実現に向けた取組の一層の推進</w:t>
            </w:r>
          </w:p>
        </w:tc>
        <w:tc>
          <w:tcPr>
            <w:tcW w:w="2300" w:type="dxa"/>
            <w:tcMar>
              <w:top w:w="60" w:type="dxa"/>
              <w:left w:w="100" w:type="dxa"/>
              <w:bottom w:w="60" w:type="dxa"/>
              <w:right w:w="100" w:type="dxa"/>
            </w:tcMar>
            <w:vAlign w:val="center"/>
          </w:tcPr>
          <w:p>
            <w:r>
              <w:rPr>
                <w:rFonts w:ascii="BIZ UDPゴシック" w:hAnsi="BIZ UDPゴシック" w:eastAsia="BIZ UDPゴシック"/>
                <w:b w:val="0"/>
                <w:sz w:val="19"/>
              </w:rPr>
              <w:t>―</w:t>
            </w:r>
          </w:p>
        </w:tc>
        <w:tc>
          <w:tcPr>
            <w:tcW w:w="2638" w:type="dxa"/>
            <w:tcMar>
              <w:top w:w="60" w:type="dxa"/>
              <w:left w:w="100" w:type="dxa"/>
              <w:bottom w:w="60" w:type="dxa"/>
              <w:right w:w="100" w:type="dxa"/>
            </w:tcMar>
            <w:vAlign w:val="center"/>
          </w:tcPr>
          <w:p>
            <w:r>
              <w:rPr>
                <w:rFonts w:ascii="BIZ UDPゴシック" w:hAnsi="BIZ UDPゴシック" w:eastAsia="BIZ UDPゴシック"/>
                <w:b w:val="0"/>
                <w:sz w:val="19"/>
              </w:rPr>
              <w:t>地域活動支援センター機能強化事業、自発的活動支援事業</w:t>
            </w:r>
          </w:p>
        </w:tc>
      </w:tr>
    </w:tbl>
    <w:p/>
    <w:p>
      <w:pPr>
        <w:pStyle w:val="3"/>
      </w:pPr>
      <w:r>
        <w:rPr>
          <w:rFonts w:ascii="BIZ UDPゴシック" w:hAnsi="BIZ UDPゴシック" w:eastAsia="BIZ UDPゴシック"/>
          <w:b w:val="0"/>
          <w:sz w:val="21"/>
        </w:rPr>
        <w:t>■　人材確保・定着の扱い</w:t>
      </w:r>
    </w:p>
    <w:p>
      <w:pPr>
        <w:ind w:firstLine="210"/>
      </w:pPr>
      <w:r>
        <w:rPr>
          <w:rFonts w:ascii="BIZ UDPゴシック" w:hAnsi="BIZ UDPゴシック" w:eastAsia="BIZ UDPゴシック"/>
          <w:b w:val="0"/>
          <w:sz w:val="21"/>
        </w:rPr>
        <w:t>第８期基本指針では「障がい福祉人材の確保・定着、当事者視点に立ったケアの充実のための生産性向上」が成果目標に新設され、成果目標は８項目となりました。この分野は第４次障がい者計画の７つの基本施策には含まれていません。第４次障がい者計画は改定の対象外であり、その施策体系を変更することはできないため、本計画では、人材確保・定着を第４章の成果目標（７）及び第５章の確保方策として位置づけ、施策体系には加えないこととします。なお、当該区分の活動指標は都道府県が設定主体であり、本村の記載は県施策の活用・周知が中心となります。</w:t>
      </w:r>
    </w:p>
    <w:p/>
    <w:p>
      <w:pPr>
        <w:pStyle w:val="2"/>
      </w:pPr>
      <w:r>
        <w:rPr>
          <w:rFonts w:ascii="BIZ UDPゴシック" w:hAnsi="BIZ UDPゴシック" w:eastAsia="BIZ UDPゴシック"/>
          <w:b w:val="0"/>
          <w:sz w:val="21"/>
        </w:rPr>
        <w:t>５　第４次障がい者計画の目標値と進捗管理</w:t>
      </w:r>
    </w:p>
    <w:p>
      <w:pPr>
        <w:ind w:firstLine="210"/>
      </w:pPr>
      <w:r>
        <w:rPr>
          <w:rFonts w:ascii="BIZ UDPゴシック" w:hAnsi="BIZ UDPゴシック" w:eastAsia="BIZ UDPゴシック"/>
          <w:b w:val="0"/>
          <w:sz w:val="21"/>
        </w:rPr>
        <w:t>第４次障がい者計画は、本計画と同じ令和11年度を目標年度として次の８つの目標値を設定しています。このうちアンケートで測る指標は、本計画の策定に係るアンケート調査で対応する設問を確保する必要があり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基本施策</w:t>
            </w:r>
          </w:p>
        </w:tc>
        <w:tc>
          <w:tcPr>
            <w:tcW w:w="3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指標項目</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現状</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目標</w:t>
              <w:br/>
              <w:t>（令和11年度）</w:t>
            </w:r>
          </w:p>
        </w:tc>
        <w:tc>
          <w:tcPr>
            <w:tcW w:w="1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測定手段</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①啓発・広報</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差別や偏見を感じている障がいがある人の割合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25.3％</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②保健・医療</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特定健康診査の受診率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51.3％</w:t>
              <w:br/>
              <w:t>（令和４年度末）</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③福祉</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現在利用している福祉サービスに満足している人の割合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52％</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60％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④教育・育成</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医療的ケア児の受入れ体制の整備</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無</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有</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⑤雇用・就業</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障がい者就労施設等からの物品調達件数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０件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３件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障がい者に配慮した公共施設トイレの設置率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56.8％</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⑥生活環境</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個別避難計画の策定件数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１件</w:t>
              <w:br/>
              <w:t>（令和５年度）</w:t>
            </w:r>
          </w:p>
        </w:tc>
        <w:tc>
          <w:tcPr>
            <w:tcW w:w="1400" w:type="dxa"/>
            <w:tcMar>
              <w:top w:w="60" w:type="dxa"/>
              <w:left w:w="100" w:type="dxa"/>
              <w:bottom w:w="60" w:type="dxa"/>
              <w:right w:w="100" w:type="dxa"/>
            </w:tcMar>
            <w:vAlign w:val="center"/>
          </w:tcPr>
          <w:p>
            <w:r>
              <w:rPr>
                <w:rFonts w:ascii="BIZ UDPゴシック" w:hAnsi="BIZ UDPゴシック" w:eastAsia="BIZ UDPゴシック"/>
                <w:b w:val="0"/>
                <w:sz w:val="19"/>
              </w:rPr>
              <w:t>10件</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行政データ</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⑦スポーツ・文化</w:t>
            </w:r>
          </w:p>
        </w:tc>
        <w:tc>
          <w:tcPr>
            <w:tcW w:w="3600" w:type="dxa"/>
            <w:tcMar>
              <w:top w:w="60" w:type="dxa"/>
              <w:left w:w="100" w:type="dxa"/>
              <w:bottom w:w="60" w:type="dxa"/>
              <w:right w:w="100" w:type="dxa"/>
            </w:tcMar>
            <w:vAlign w:val="center"/>
          </w:tcPr>
          <w:p>
            <w:r>
              <w:rPr>
                <w:rFonts w:ascii="BIZ UDPゴシック" w:hAnsi="BIZ UDPゴシック" w:eastAsia="BIZ UDPゴシック"/>
                <w:b w:val="0"/>
                <w:sz w:val="19"/>
              </w:rPr>
              <w:t>外出目的が趣味・スポーツ・グループ活動である人の割合</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28.1％</w:t>
              <w:br/>
              <w:t>（令和５年度）</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w:t>
            </w:r>
          </w:p>
        </w:tc>
        <w:tc>
          <w:tcPr>
            <w:tcW w:w="1538" w:type="dxa"/>
            <w:tcMar>
              <w:top w:w="60" w:type="dxa"/>
              <w:left w:w="100" w:type="dxa"/>
              <w:bottom w:w="60" w:type="dxa"/>
              <w:right w:w="100" w:type="dxa"/>
            </w:tcMar>
            <w:vAlign w:val="center"/>
          </w:tcPr>
          <w:p>
            <w:r>
              <w:rPr>
                <w:rFonts w:ascii="BIZ UDPゴシック" w:hAnsi="BIZ UDPゴシック" w:eastAsia="BIZ UDPゴシック"/>
                <w:b w:val="0"/>
                <w:sz w:val="19"/>
              </w:rPr>
              <w:t>アンケート</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指標のうち、⑦スポーツ・文化の「外出目的が趣味・スポーツ・グループ活動である人の割合」については、前回調査（令和５年）に外出目的を尋ねる設問がありましたが、本計画の策定に係るアンケート調査票には対応する設問がありません（外出に関する設問は、頻度、外出時に困ること、移動手段の３問です）。このままでは同指標の経年比較ができないため、調査票の発送前に設問を追加するか、別の把握方法へ切り替えるかを村と協議のうえ確定してください。あわせて、中間年（令和８年度）における各指標の進捗状況を記載してください。</w:t>
            </w:r>
          </w:p>
        </w:tc>
      </w:tr>
    </w:tbl>
    <w:p/>
    <w:p>
      <w:pPr>
        <w:ind w:firstLine="210"/>
      </w:pPr>
      <w:r>
        <w:rPr>
          <w:rFonts w:ascii="BIZ UDPゴシック" w:hAnsi="BIZ UDPゴシック" w:eastAsia="BIZ UDPゴシック"/>
          <w:b w:val="0"/>
          <w:sz w:val="21"/>
        </w:rPr>
        <w:t>本計画（第８期北塩原村障がい福祉計画・第４期北塩原村障がい児福祉計画）は、以上の基本理念・基本目標及び施策体系の実現に向けて、第４章で成果目標を、第５章でサービス見込量を定めるものです。</w:t>
      </w:r>
    </w:p>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【照合済み】本章の≪国の基本指針≫欄は、「障害福祉サービス等及び障害児通所支援等の円滑な実施を確保するための基本的な指針」（令和８年３月31日 こども家庭庁・厚生労働省告示第４号による改正後）の本文及び別表と１件ずつ照合しています。数値の典拠は次のとおりです。（１）第二の一、（２）第二の二及び別表第四、（３）第二の三、（４）第二の四、（５）第二の五、（６）第二の六、（７）第二の七、（８）第二の八及び別表第一の十三。なお、改正後概要（３頁）は就労定着支援の基準を「令和６年度末実績」と記載していますが、告示本文は「令和六年度の実績」であるため、本計画では告示本文に従います。</w:t>
            </w:r>
          </w:p>
        </w:tc>
      </w:tr>
    </w:tbl>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地域移行者数：令和７年度末時点の施設入所者数の６％以上</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施設入所者数：令和11年度末に令和７年度末時点から５％以上削減</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令和８年度末において第７期計画の令和８年度目標が達成されないと見込まれる場合は、未達成割合を①②の目標値に加えた割合以上を目標値とする</w:t>
            </w:r>
          </w:p>
          <w:p w14:paraId="24C4BAD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地域移行等意向確認等に関する指針に従い、全ての施設入所者の地域生活移行に関する意向（支障となっている要因・必要とする支援を含む）を把握・確認し、市町村は協議の場において共有する</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精神病床から退院後１年以内の地域における平均生活日数：319.3日以上。ただし設定時点で既に319.3日以上である場合は、その時点の平均生活日数以上（福島県は令和４年度実績327.1日で既に基準を上回るため、本村もこの取扱いによ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精神病床への30日以上の再入院率：退院後90日時点10.3％以下、180日時点17.4％以下、365日時点25.7％以下（設定時点で既に基準以下の場合は、その時点の再入院率以下）【新規】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精神病床における１年以上長期入院患者数（65歳以上、65歳未満、75歳以上、40歳以上の認知症である者）：都道府県が基本指針別表第四の式により算定。市町村は当該区域における令和11年度末の基盤整備量（利用者数）を定める</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心のサポーター数：令和15年度末までに全国で100万人となるよう、都道府県の将来人口を勘案して都道府県が目標値を設定【新規】</w:t>
            </w:r>
          </w:p>
          <w:p w14:paraId="4B15BECE"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Ｋ６を活用した住民のこころの状態の把握【新規】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pPr>
        <w:pStyle w:val="3"/>
      </w:pPr>
      <w:r>
        <w:rPr>
          <w:rFonts w:ascii="BIZ UDPゴシック" w:hAnsi="BIZ UDPゴシック" w:eastAsia="BIZ UDPゴシック"/>
          <w:b w:val="0"/>
          <w:sz w:val="21"/>
        </w:rPr>
        <w:t>■　福島県の実績と本村の目標設定</w:t>
      </w:r>
    </w:p>
    <w:p>
      <w:pPr>
        <w:ind w:firstLine="210"/>
      </w:pPr>
      <w:r>
        <w:rPr>
          <w:rFonts w:ascii="BIZ UDPゴシック" w:hAnsi="BIZ UDPゴシック" w:eastAsia="BIZ UDPゴシック"/>
          <w:b w:val="0"/>
          <w:sz w:val="21"/>
        </w:rPr>
        <w:t>国の基本指針が掲げる数値のうち、平均生活日数と再入院率は都道府県単位で把握される指標です。国立精神・神経医療研究センターが公表する精神医療指標（ＮＤＢ集計）による福島県の実績は次のとおりで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8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指標</w:t>
            </w:r>
          </w:p>
        </w:tc>
        <w:tc>
          <w:tcPr>
            <w:tcW w:w="1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国の基準</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福島県の実績</w:t>
              <w:br/>
              <w:t>（令和４年度）</w:t>
            </w:r>
          </w:p>
        </w:tc>
        <w:tc>
          <w:tcPr>
            <w:tcW w:w="3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退院後１年以内の地域における平均生活日数</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319.3日以上</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327.1日</w:t>
              <w:br/>
              <w:t>（公費を含む集計では323.8日）</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既に基準を上回るため、基本指針の但し書きにより「設定時点の平均生活日数以上」を目標とする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退院後90日時点の30日以上再入院率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10.3％以下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12.9％</w:t>
              <w:br/>
              <w:t>（公費を含む集計では13.8％）</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基準を満たしていないため、国の基準どおり10.3％以下を目標とする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退院後180日時点の30日以上再入院率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17.4％以下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20.7％</w:t>
              <w:br/>
              <w:t>（同22.2％）</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同上（17.4％以下）</w:t>
            </w:r>
          </w:p>
        </w:tc>
      </w:tr>
      <w:tr>
        <w:tc>
          <w:tcPr>
            <w:tcW w:w="28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退院後365日時点の30日以上再入院率</w:t>
            </w:r>
          </w:p>
        </w:tc>
        <w:tc>
          <w:tcPr>
            <w:tcW w:w="1500" w:type="dxa"/>
            <w:tcMar>
              <w:top w:w="60" w:type="dxa"/>
              <w:left w:w="100" w:type="dxa"/>
              <w:bottom w:w="60" w:type="dxa"/>
              <w:right w:w="100" w:type="dxa"/>
            </w:tcMar>
            <w:vAlign w:val="center"/>
          </w:tcPr>
          <w:p>
            <w:r>
              <w:rPr>
                <w:rFonts w:ascii="BIZ UDPゴシック" w:hAnsi="BIZ UDPゴシック" w:eastAsia="BIZ UDPゴシック"/>
                <w:b w:val="0"/>
                <w:sz w:val="19"/>
              </w:rPr>
              <w:t>25.7％以下</w:t>
            </w:r>
          </w:p>
        </w:tc>
        <w:tc>
          <w:tcPr>
            <w:tcW w:w="2000" w:type="dxa"/>
            <w:tcMar>
              <w:top w:w="60" w:type="dxa"/>
              <w:left w:w="100" w:type="dxa"/>
              <w:bottom w:w="60" w:type="dxa"/>
              <w:right w:w="100" w:type="dxa"/>
            </w:tcMar>
            <w:vAlign w:val="center"/>
          </w:tcPr>
          <w:p>
            <w:r>
              <w:rPr>
                <w:rFonts w:ascii="BIZ UDPゴシック" w:hAnsi="BIZ UDPゴシック" w:eastAsia="BIZ UDPゴシック"/>
                <w:b w:val="0"/>
                <w:sz w:val="19"/>
              </w:rPr>
              <w:t>29.7％</w:t>
              <w:br/>
              <w:t>（同31.7％）</w:t>
            </w:r>
          </w:p>
        </w:tc>
        <w:tc>
          <w:tcPr>
            <w:tcW w:w="3338" w:type="dxa"/>
            <w:tcMar>
              <w:top w:w="60" w:type="dxa"/>
              <w:left w:w="100" w:type="dxa"/>
              <w:bottom w:w="60" w:type="dxa"/>
              <w:right w:w="100" w:type="dxa"/>
            </w:tcMar>
            <w:vAlign w:val="center"/>
          </w:tcPr>
          <w:p>
            <w:r>
              <w:rPr>
                <w:rFonts w:ascii="BIZ UDPゴシック" w:hAnsi="BIZ UDPゴシック" w:eastAsia="BIZ UDPゴシック"/>
                <w:b w:val="0"/>
                <w:sz w:val="19"/>
              </w:rPr>
              <w:t>同上（25.7％以下）</w:t>
            </w:r>
          </w:p>
        </w:tc>
      </w:tr>
    </w:tbl>
    <w:p/>
    <w:p>
      <w:pPr>
        <w:ind w:firstLine="210"/>
      </w:pPr>
      <w:r>
        <w:rPr>
          <w:rFonts w:ascii="BIZ UDPゴシック" w:hAnsi="BIZ UDPゴシック" w:eastAsia="BIZ UDPゴシック"/>
          <w:b w:val="0"/>
          <w:sz w:val="21"/>
        </w:rPr>
        <w:t>精神病床における１年以上長期入院患者数については、基本指針 別表第二の三の項が、「都道府県が別表第四の三の項に掲げる式により算定した当該都道府県の区域における令和11年度末の長期入院患者の地域生活への移行に伴う地域の精神保健医療福祉体制の基盤整備量（利用者数）を勘案して、当該市町村の区域における基盤整備量を定めること」を、市町村障害福祉計画で定めなければならない事項としています。福島県全体では、令和５年６月30日現在、精神病床に１年以上入院している方のうち県内に住所を有する方は2,591人（65歳未満901人、65歳以上1,690人）です（精神保健福祉資料・630調査）。本村では、現行計画に令和５年度の１年以上長期入院者５人という実績があります。また、ＲｅＭＨＲＡＤ（在院患者数・患者の住所ベース、出典は630調査）によれば、本村に住所を有する方で精神病床に入院している方は令和４年７人、令和５年10人、令和６年８人であり、入院先は喜多方市及び会津若松市の医療機関です。人口10万人あたりでは全国中央値の２倍を超える水準にあります。なお、この人数は入院期間を問わない在院患者数であり、国の基本指針が対象とする１年以上の長期入院患者はこの内数です。これらを踏まえ、対象となる方の状況と退院の可能性を個別に確認し、令和11年度末の基盤整備量（利用者数）を実数により設定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県】①令和７年度末時点の１年以上長期入院者の実数と、65歳未満・65歳以上・75歳以上・40歳以上の認知症の別、入院先を、村及び会津保健所において確認してください。ＲｅＭＨＲＡＤで把握できるのは入院期間を問わない在院患者数までであり、１年以上の内訳と年齢区分は公表データからは得られません。②対象となる方ごとの退院の可能性を協議の場及び自立支援協議会で判定し、令和11年度末の見込みを設定してください。③福島県の第８期障がい福祉計画における算定値（別表第四の三の項）の提供を県に依頼し、本村の値との整合を確認してください。なお福島県の第７期計画は、別表第四の一・二の項に相当する長期在院者数（令和８年度末目標：65歳未満898人・65歳以上1,656人）は掲げていますが、三の項の基盤整備量は掲げていないため、県への個別照会が必要です。</w:t>
            </w:r>
          </w:p>
        </w:tc>
      </w:tr>
    </w:tbl>
    <w:p/>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一般就労移行者数（全体）：令和６年度の一般就労への移行実績の1.31倍以上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うち就労移行支援事業：令和６年度実績の1.14倍以上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うち就労継続支援Ａ型事業：おおむね1.52倍以上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うち就労継続支援Ｂ型事業：おおむね1.67倍以上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就労移行支援事業利用終了者に占める一般就労移行者の割合が５割以上の事業所：就労移行支援事業所の５割以上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就労定着支援事業の利用者数：令和６年度の実績の1.47倍以上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就労定着率７割以上の就労定着支援事業所：全体の２割５分以上</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就労選択支援：協議会設置圏域ごとに１事業所以上を設置し、令和11年度の利用者数を全国で82,000人以上【新規】</w:t>
            </w:r>
          </w:p>
          <w:p w14:paraId="27864182"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令和８年度末において第７期計画の令和８年度目標が達成されないと見込まれる場合は、未達成割合を各目標値に加えた割合以上を目標値とする</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検討】国の基本指針は、一般就労移行者数の全体目標（1.31倍）とは別に、就労移行支援事業1.14倍、就労継続支援Ａ型おおむね1.52倍、就労継続支援Ｂ型おおむね1.67倍という事業種別ごとの目標も定めるよう求めています。本村の就労系サービス利用者は就労継続支援Ｂ型（令和５年度10人）とＡ型（１人）が中心であり、Ｂ型の倍率は第７期のおおむね1.28倍から1.67倍へ大幅に引き上げられています。令和６年度の一般就労移行実績を確認の上、事業種別ごとの目標値を設定してください。実績が０人の場合の目標設定の考え方（実績０に倍率を乗じても０となるため、個別ケースに基づき１人以上を置くか）も、あわせて自立支援協議会で整理が必要です。</w:t>
            </w:r>
          </w:p>
        </w:tc>
      </w:tr>
    </w:tbl>
    <w:p/>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児童発達支援センター等における「４つの中核機能」の確保：各市町村又は圏域</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（ⅰ）幅広い高度な専門性に基づく発達支援・家族支援機能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（ⅱ）地域の障害児通所支援事業所へのスーパーバイズ・コンサルテーション機能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（ⅲ）地域のインクルージョン推進の中核としての機能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 xml:space="preserve">　（ⅳ）地域の障がい児の発達支援の入口としての相談機能</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インクルージョン推進のための協議の場の設置：各都道府県・各市町村（圏域可）【新規】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医療的ケア児等支援に関する協議の場の設置及び医療的ケア児等コーディネーターの配置：各市町村（都道府県の関与の下、圏域可）／各都道府県（医療的ケア児支援センターの参画）</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主に重症心身障害児を支援する児童発達支援事業所及び放課後等デイサービス事業所の確保：各市町村に少なくとも１か所以上（圏域可。受入体制を整備した事業所等での確保も可）【新規】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⑤ 障がい児及びその家族への伴走的な相談支援体制の確保（障害児相談支援を利用していない場合を含む）：各市町村又は圏域【新規】</w:t>
            </w:r>
          </w:p>
          <w:p w14:paraId="38D38831"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⑥ 強度行動障害の状態にある児に関する支援ニーズの把握及び支援体制の整備：各都道府県（必要に応じて指定都市）【新規／村の目標項目ではない】</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各市町村において地域生活支援拠点等を整備し（複数市町村による共同整備を含む）、当該市町村の全ての日常生活圏域を支援の対象とする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拠点コーディネーターを配置するとともに、地域生活支援拠点等の機能を担う障害福祉サービス事業所等の担当者を配置し、支援ネットワーク等による効果的な支援体制及び緊急時の連絡体制を構築する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年１回以上、支援の実績等を踏まえ、各機能が果たされているかの運用状況を検証・検討する</w:t>
            </w:r>
          </w:p>
          <w:p w14:paraId="1E27D176"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強度行動障害の状態にある者について、各市町村又は圏域において支援ニーズを把握し、支援体制の整備を進める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全ての市町村において、基幹相談支援センター、地域生活支援拠点等及び協議会を設置・整備した上で、これらを連携させる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基幹相談支援センターが地域の相談支援体制の強化を図る体制を確保し、協議会の運営に関与する</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③ 都道府県及び市町村においてセルフプランに関する分析等を行い、相談支援専門員の計画的な養成等を通じて相談支援体制の充実・強化を図ることにより、令和11年度末までに「のぞまないセルフプラン」の件数をゼロとする【新規】</w:t>
            </w:r>
          </w:p>
          <w:p w14:paraId="2A9844F7"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④ 協議会における個別事例の検討を通じた地域サービス基盤の開発・改善（協議会への障がい当事者の参画は、基本指針第一及び見直し事項⑤に基づく取組）</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≪国の基本指針≫</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① 都道府県及び市町村において、令和11年度末までに、障害福祉サービス等の質を向上させるための取組（基本指針別表第一の十三に掲げる事項）を実施する体制を構築する</w:t>
            </w:r>
          </w:p>
          <w:p w14:paraId="00CD80AD" w14:textId="77777777" w:rsidR="00C311F8" w:rsidRPr="001026E7" w:rsidRDefault="00000000">
            <w:pPr>
              <w:spacing w:after="60"/>
              <w:rPr>
                <w:rFonts w:ascii="BIZ UDPゴシック" w:eastAsia="BIZ UDPゴシック" w:hAnsi="BIZ UDPゴシック"/>
              </w:rPr>
            </w:pPr>
            <w:r>
              <w:rPr>
                <w:rFonts w:ascii="BIZ UDPゴシック" w:hAnsi="BIZ UDPゴシック" w:eastAsia="BIZ UDPゴシック"/>
                <w:b w:val="0"/>
                <w:sz w:val="19"/>
              </w:rPr>
              <w:t>② 障害福祉サービス等情報公表制度における管内事業所の情報の公表率及び更新率を100％とする：各都道府県、政令市又は中核市【新規／村の目標項目ではない】</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別表第一を参考としつつ、現在の利用実績等に関する分析、障がい者等のサービスの利用に関する意向、心身の状況等を勘案し、地域の実情を踏まえて設定することを求めています（第三の二の２㈠）。第８期指針では、これに加えて別表第五により、全部過疎市町村ではなく、かつサービス利用者割合が上位25％の範囲内にある市町村に対して全国の伸び率を用いる算定方法が新たに定められました。本村は過疎地域の持続的発展の支援に関する特別措置法第２条により全域が過疎地域に該当するため、同表一の項⑴「全部過疎市町村ではないこと」を満たさず、同表の算定方法の適用対象外となります。したがって、上記の一般則により見込量を設定します。</w:t>
      </w:r>
    </w:p>
    <w:p>
      <w:pPr>
        <w:ind w:firstLine="210"/>
      </w:pPr>
      <w:r>
        <w:rPr>
          <w:rFonts w:ascii="BIZ UDPゴシック" w:hAnsi="BIZ UDPゴシック" w:eastAsia="BIZ UDPゴシック"/>
          <w:b w:val="0"/>
          <w:sz w:val="21"/>
        </w:rPr>
        <w:t>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算定方法の根拠となる基本指針の規定</w:t>
      </w:r>
    </w:p>
    <w:p>
      <w:pPr>
        <w:ind w:firstLine="210"/>
      </w:pPr>
      <w:r>
        <w:rPr>
          <w:rFonts w:ascii="BIZ UDPゴシック" w:hAnsi="BIZ UDPゴシック" w:eastAsia="BIZ UDPゴシック"/>
          <w:b w:val="0"/>
          <w:sz w:val="21"/>
        </w:rPr>
        <w:t>本章の見込量は、「障害福祉サービス等及び障害児通所支援等の円滑な実施を確保するための基本的な指針」（令和８年３月31日 こども家庭庁・厚生労働省告示第４号による改正後）の次の規定に基づいて算定しています。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4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告示の規定</w:t>
            </w:r>
          </w:p>
        </w:tc>
        <w:tc>
          <w:tcPr>
            <w:tcW w:w="5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本計画での取扱い</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第三の二の２㈠：別表第一を参考としつつ、現在の利用実績等に関する分析、障がい者等のサービスの利用に関する意向、心身の状況等を勘案し、地域の実情を踏まえて設定する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本章１の個別積上げ方式（実績・意向・心身の状況を利用者単位で積み上げる方法）による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現に利用している者の数、障がい者等のニーズ、施設入所者の地域生活への移行者数、入院中の精神障がい者のうち移行後に利用が見込まれる者の数、平均的な一人当たり利用量等を勘案して、利用者数及び量の見込みを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利用者数と１人当たり月利用量を分けて設定し、月間見込量＝利用者数×１人当たり月利用量として算定する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第三の二の２㈠：障害児通所支援や障害児入所支援から障害福祉サービスへ円滑に支援の移行を図ることを考慮しながら設定する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本章２の年齢到達に伴うサービスの移行（６歳・18歳）により、対象者を個別に把握して見込量に反映する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別表第一（生活介護・短期入所・共同生活援助）：強度行動障害の状態にある者、高次脳機能障害を有する者、医療的ケアを必要とする者等について個別に利用者数の見込みを設定するよう努める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対象者を村の給付実績から特定し、当該３サービスについて内数として計上する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別表第一（施設入所支援）：令和７年度末時点の施設入所者数を基礎とし、地域生活への移行者数を控除の上、真に必要と判断される数を加えた数を勘案する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本章の施設入所支援の見込量は、令和７年度末実績を起点とする積上げにより算定する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別表第五：全部過疎市町村ではなく、かつ当該サービスの人口に占める利用者割合が上位25％の範囲内である市町村は、全国の利用者数の伸び率を用いた算定方法を基本とする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過疎地域の持続的発展の支援に関する特別措置法第２条により全域が過疎地域に該当するため（福島県「県内の過疎・中山間地域の指定状況」令和７年４月１日現在）、同表一の項⑴を満たさず適用対象外。個別積上げ方式を原則どおり採用する</w:t>
            </w:r>
          </w:p>
        </w:tc>
      </w:tr>
      <w:tr>
        <w:tc>
          <w:tcPr>
            <w:tcW w:w="4200" w:type="dxa"/>
            <w:tcMar>
              <w:top w:w="60" w:type="dxa"/>
              <w:left w:w="100" w:type="dxa"/>
              <w:bottom w:w="60" w:type="dxa"/>
              <w:right w:w="100" w:type="dxa"/>
            </w:tcMar>
            <w:vAlign w:val="center"/>
          </w:tcPr>
          <w:p>
            <w:r>
              <w:rPr>
                <w:rFonts w:ascii="BIZ UDPゴシック" w:hAnsi="BIZ UDPゴシック" w:eastAsia="BIZ UDPゴシック"/>
                <w:b w:val="0"/>
                <w:sz w:val="19"/>
              </w:rPr>
              <w:t>第一の一の３：中山間・人口減少地域においては、共生型サービスや基準該当障害福祉サービス、多機能型、従たる事業所等の現行制度の活用等も図りつつ、サービス提供体制を維持・確保していくことが重要である</w:t>
            </w:r>
          </w:p>
        </w:tc>
        <w:tc>
          <w:tcPr>
            <w:tcW w:w="5438" w:type="dxa"/>
            <w:tcMar>
              <w:top w:w="60" w:type="dxa"/>
              <w:left w:w="100" w:type="dxa"/>
              <w:bottom w:w="60" w:type="dxa"/>
              <w:right w:w="100" w:type="dxa"/>
            </w:tcMar>
            <w:vAlign w:val="center"/>
          </w:tcPr>
          <w:p>
            <w:r>
              <w:rPr>
                <w:rFonts w:ascii="BIZ UDPゴシック" w:hAnsi="BIZ UDPゴシック" w:eastAsia="BIZ UDPゴシック"/>
                <w:b w:val="0"/>
                <w:sz w:val="19"/>
              </w:rPr>
              <w:t>本村は福島県過疎・中山間地域振興条例の中山間地域（全域）にも該当する。本章10の提供体制の確保のための方策に、これらの制度の活用を位置づける</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確認済み】福島県「県内の過疎・中山間地域の指定状況」（令和７年４月１日現在）において、本村は過疎法第２条により全域が過疎地域に該当する市町村とされ、旧北山村・旧大塩村・旧檜原村の３区域はいずれも過疎地域・振興山村地域・特定農山村地域に該当します（農林統計の地域類型は旧北山村が中間農業地域、旧大塩村・旧檜原村が山間農業地域）。あわせて福島県過疎・中山間地域振興条例の中山間地域（全域）にも該当します。このため基本指針 別表第五の算定方法は適用されず、本節の個別積上げ方式を原則として採用できます。</w:t>
            </w:r>
          </w:p>
        </w:tc>
      </w:tr>
    </w:tbl>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pPr>
        <w:ind w:firstLine="210"/>
      </w:pPr>
      <w:r>
        <w:rPr>
          <w:rFonts w:ascii="BIZ UDPゴシック" w:hAnsi="BIZ UDPゴシック" w:eastAsia="BIZ UDPゴシック"/>
          <w:b w:val="0"/>
          <w:sz w:val="21"/>
        </w:rPr>
        <w:t>本村に所在する障がい福祉サービス事業所は、居宅介護1か所、重度訪問介護1か所、生活介護1か所です（ＲｅＭＨＲＡＤ 障害福祉資源、令和７年時点）。それ以外のサービスは会津北部圏域（猪苗代町・磐梯町・湯川村）及び会津若松市・喜多方市等の事業所を利用しています。国の基本指針は、訪問系サービス及び指定通所支援について「各市町村において事業を実施する事業所を最低一箇所確保できるよう努める」こととした上で、小規模町村等において確保できない場合の工夫を具体的に示しています（第三の二の２㈡）。また、本村が該当する中山間・人口減少地域については、現行制度の活用によりサービス提供体制を維持・確保することが重要とされています（第一の一の３）。これらを踏まえ、次の方策を講じ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方策</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本村での取組み</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介護保険事業所への指定取得の働きかけ</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訪問系サービスや指定通所支援を行う事業所を確保できない場合、介護保険制度における訪問介護事業所や居宅介護支援事業所に対して、障害者総合支援法に基づく居宅介護事業所としての指定を取るよう促す。</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村内及び圏域の介護保険事業所に対し、指定取得の意向を確認する。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共生型サービスの周知</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平成30年に創設された共生型サービスの指定制度を事業者へ周知する。介護保険事業所が障がい福祉サービスの指定を受けやすくなる仕組み。</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圏域４町村と協調して制度周知を行い、指定の意向がある事業所を把握する。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基準該当障害福祉サービスの活用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指定基準を完全には満たさない事業所であっても、市町村が認めた場合に特例的に給付の対象とすることができる。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圏域内で確保が困難なサービスについて、活用の可否を村・県と協議する。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多機能型・従たる事業所の活用</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複数のサービスを一体的に実施する多機能型事業所、主たる事業所と一体的に運営する従たる事業所の設置により、小規模でも成り立つ運営形態を確保する。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圏域事業者に対し、本村への従たる事業所の設置可能性を照会する。</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介護者が病気等になったときに対応できる短期入所サービスの充実が重要であり、医療型短期入所をはじめとした指定短期入所事業所の確保に努める。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令和６年度２件・令和７年度３件の利用実績があるため、圏域の受入可能事業所を把握し、緊急時の連絡体制に組み込む。</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計画相談支援・障がい児相談支援の事業所の確保</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指定計画相談支援及び指定障害児相談支援の事業を行う事業所についてもその確保に努める必要がある。</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のぞまないセルフプランの解消（第４章（６））と一体で、圏域の相談支援事業所の受入余力を把握する。</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本村</w:t>
            </w:r>
          </w:p>
        </w:tc>
        <w:tc>
          <w:tcPr>
            <w:tcW w:w="13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猪苗代町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磐梯町</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湯川村</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会津若松市</w:t>
            </w:r>
          </w:p>
        </w:tc>
        <w:tc>
          <w:tcPr>
            <w:tcW w:w="1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喜多方市</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重度訪問介護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8</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短期入所</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r>
      <w:tr>
        <w:tc>
          <w:tcPr>
            <w:tcW w:w="2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3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w:t>
            </w:r>
          </w:p>
        </w:tc>
        <w:tc>
          <w:tcPr>
            <w:tcW w:w="13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0</w:t>
            </w:r>
          </w:p>
        </w:tc>
      </w:tr>
    </w:tbl>
    <w:p>
      <w:pPr>
        <w:ind w:firstLine="210"/>
      </w:pPr>
      <w:r>
        <w:rPr>
          <w:rFonts w:ascii="BIZ UDPゴシック" w:hAnsi="BIZ UDPゴシック" w:eastAsia="BIZ UDPゴシック"/>
          <w:b w:val="0"/>
          <w:sz w:val="21"/>
        </w:rPr>
        <w:t>上表は令和７年時点の事業所数です（ＲｅＭＨＲＡＤ 障害福祉資源。出典は障害福祉サービス等情報公表システム）。事業所数は所在地の市町村で計上されるため、本村の住民が圏域外の事業所を利用している分は現れません。また、情報公表システムに公表されていない事業所は計上されません。実際に利用できる量は、事業所の定員・空き状況・送迎範囲を照会して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確認：村・圏域】本村は過疎法第２条により全域が過疎地域に該当し、福島県過疎・中山間地域振興条例の中山間地域（全域）でもあります。基本指針の見直し事項⑩「人口減少地域におけるサービスの維持・確保」に正面から該当するため、上表の方策は本計画の重点事項として位置づけることが適当です。圏域４町村（猪苗代町・磐梯町・湯川村・北塩原村）の担当者会議で、共生型サービスの指定状況、多機能型・従たる事業所の設置可能性、介護保険事業所の指定取得意向を確認し、結果を本節に反映してください。あわせて、上表の本村の事業所（居宅介護1か所、重度訪問介護1か所、生活介護1か所）について、事業所名、指定年月、共生型サービスの指定の有無、受入可能人数を確認してください。令和２年時点はいずれも０か所であり、その後に指定を受けた事業所と考えられます。また、会津北部圏域の居宅介護・重度訪問介護は、令和２年時点で猪苗代町に各１か所ありましたが令和７年時点では０か所となっており、圏域内に残るのは本村の事業所のみです。圏域全体の訪問系サービスの提供体制について、県及び３町と協議してください。</w:t>
            </w:r>
          </w:p>
        </w:tc>
      </w:tr>
    </w:tbl>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pPr>
        <w:pStyle w:val="3"/>
      </w:pPr>
      <w:r>
        <w:rPr>
          <w:rFonts w:ascii="BIZ UDPゴシック" w:hAnsi="BIZ UDPゴシック" w:eastAsia="BIZ UDPゴシック"/>
          <w:b w:val="0"/>
          <w:sz w:val="21"/>
        </w:rPr>
        <w:t>■　事業ごとの実施に関する考え方</w:t>
      </w:r>
    </w:p>
    <w:p>
      <w:pPr>
        <w:ind w:firstLine="210"/>
      </w:pPr>
      <w:r>
        <w:rPr>
          <w:rFonts w:ascii="BIZ UDPゴシック" w:hAnsi="BIZ UDPゴシック" w:eastAsia="BIZ UDPゴシック"/>
          <w:b w:val="0"/>
          <w:sz w:val="21"/>
        </w:rPr>
        <w:t>国の基本指針は、地域生活支援事業について「実施する事業の内容」「各年度における事業の種類ごとの実施に関する考え方及び量の見込み」「各事業の見込量の確保のための方策」「その他実施に必要な事項」を定めるとしています（第三の二の３）。このうち実施に関する考え方は、次のとおり整理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事業</w:t>
            </w:r>
          </w:p>
        </w:tc>
        <w:tc>
          <w:tcPr>
            <w:tcW w:w="5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実施に関する考え方</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継続して</w:t>
              <w:br/>
              <w:t>実施する事業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障がい者相談支援事業、成年後見制度利用支援事業、日常生活用具給付等事業、地域活動支援センター機能強化事業、日中一時支援事業、福祉ホーム事業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実績のある事業として継続します。日常生活用具給付等事業のうち排泄管理支援用具は令和３年度40件から令和５年度69件へ増加しており、高齢化の進行に伴い引き続き増加が見込まれるため、実績の傾向を反映して見込量を設定します。地域活動支援センター機能強化事業及び日中一時支援事業は、実績が前計画の見込量を上回っているため、実績を基礎と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実績がない</w:t>
              <w:br/>
              <w:t>必須事業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理解促進研修・啓発事業、自発的活動支援事業、意思疎通支援事業、移動支援事業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いずれも法により市町村が実施するものとされている必須事業です。実績がないことをもって需要がないと判断せず、利用が生じた場合に速やかに対応できる体制を確保します。特に意思疎通支援事業については、国の基本指針の見直し事項において意思疎通支援従事者の養成・派遣体制の整備、幅広い年齢層の支援者の養成、障がい当事者に対するＩＣＴ機器の利用支援が挙げられていることを踏まえ、県及び圏域の派遣体制へのアクセスを確保します。</w:t>
            </w:r>
          </w:p>
        </w:tc>
      </w:tr>
      <w:tr>
        <w:tc>
          <w:tcPr>
            <w:tcW w:w="16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圏域で対応する事業</w:t>
            </w:r>
          </w:p>
        </w:tc>
        <w:tc>
          <w:tcPr>
            <w:tcW w:w="3000" w:type="dxa"/>
            <w:tcMar>
              <w:top w:w="60" w:type="dxa"/>
              <w:left w:w="100" w:type="dxa"/>
              <w:bottom w:w="60" w:type="dxa"/>
              <w:right w:w="100" w:type="dxa"/>
            </w:tcMar>
            <w:vAlign w:val="center"/>
          </w:tcPr>
          <w:p>
            <w:r>
              <w:rPr>
                <w:rFonts w:ascii="BIZ UDPゴシック" w:hAnsi="BIZ UDPゴシック" w:eastAsia="BIZ UDPゴシック"/>
                <w:b w:val="0"/>
                <w:sz w:val="19"/>
              </w:rPr>
              <w:t>障がい者相談支援事業、地域活動支援センター機能強化事業</w:t>
            </w:r>
          </w:p>
        </w:tc>
        <w:tc>
          <w:tcPr>
            <w:tcW w:w="5038" w:type="dxa"/>
            <w:tcMar>
              <w:top w:w="60" w:type="dxa"/>
              <w:left w:w="100" w:type="dxa"/>
              <w:bottom w:w="60" w:type="dxa"/>
              <w:right w:w="100" w:type="dxa"/>
            </w:tcMar>
            <w:vAlign w:val="center"/>
          </w:tcPr>
          <w:p>
            <w:r>
              <w:rPr>
                <w:rFonts w:ascii="BIZ UDPゴシック" w:hAnsi="BIZ UDPゴシック" w:eastAsia="BIZ UDPゴシック"/>
                <w:b w:val="0"/>
                <w:sz w:val="19"/>
              </w:rPr>
              <w:t>会津北部圏域（猪苗代町・磐梯町・湯川村・北塩原村）の地域生活支援拠点等整備事業と一体で実施し、村単独では確保が難しい機能を圏域で補完します。</w:t>
            </w:r>
          </w:p>
        </w:tc>
      </w:tr>
    </w:tbl>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①移動支援事業は令和３年度から令和８年度まで見込量・実績とも一貫して０人です。本村は北山・大塩・檜原の各地区が分散し、冬季の移動が困難であるという地域特性があり、実績０が続くことと整合しません。制度が知られていないのか、同行援護・村単独事業・家族送迎で代替されているのか、需要そのものがないのかを確認してください。②福祉ホーム事業は令和３〜５年度に１〜２人の実績がありますが、令和６〜８年度の見込量は０人としています。実績のある事業に見込量を置かないと補助金の算定と計画の整合が取れないため、次期計画では実績に基づく見込量を設定してください。③成年後見制度法人後見支援事業及び手話奉仕員養成研修事業は、現行計画の事業内容欄には記載がありますが、実績・見込量の表に行がありません。表に加えるか、実施しない旨を明記するかを整理してください。④地域生活支援事業は国２分の１以内・県４分の１以内の統合補助金による裁量的経費です。事業別の事業費、国県補助額、村負担額、補助基準額の超過の有無をご提供ください。</w:t>
            </w:r>
          </w:p>
        </w:tc>
      </w:tr>
    </w:tbl>
    <w:p/>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pPr>
        <w:pStyle w:val="2"/>
      </w:pPr>
      <w:r>
        <w:rPr>
          <w:rFonts w:ascii="BIZ UDPゴシック" w:hAnsi="BIZ UDPゴシック" w:eastAsia="BIZ UDPゴシック"/>
          <w:b w:val="0"/>
          <w:sz w:val="21"/>
        </w:rPr>
        <w:t>10　活動指標</w:t>
      </w:r>
    </w:p>
    <w:p>
      <w:pPr>
        <w:ind w:firstLine="210"/>
      </w:pPr>
      <w:r>
        <w:rPr>
          <w:rFonts w:ascii="BIZ UDPゴシック" w:hAnsi="BIZ UDPゴシック" w:eastAsia="BIZ UDPゴシック"/>
          <w:b w:val="0"/>
          <w:sz w:val="21"/>
        </w:rPr>
        <w:t>国の基本指針は、成果目標を達成するために必要な量等を「活動指標」として計画に見込むことが適当であるとしています（第二）。活動指標の項目は基本指針の別表第一に定められており、このうちサービスの見込量に相当するものは本章３から８までに掲げた見込量がそのまま活動指標となります。サービスの見込量以外の活動指標については、地方公共団体の実情に応じて任意に定めることができるとされています（第三の四㈡）。</w:t>
      </w:r>
    </w:p>
    <w:p>
      <w:pPr>
        <w:ind w:firstLine="210"/>
      </w:pPr>
      <w:r>
        <w:rPr>
          <w:rFonts w:ascii="BIZ UDPゴシック" w:hAnsi="BIZ UDPゴシック" w:eastAsia="BIZ UDPゴシック"/>
          <w:b w:val="0"/>
          <w:sz w:val="21"/>
        </w:rPr>
        <w:t>本村では、村内に障害者支援施設がないこと、相談支援・発達障がい支援の専門機関が県又は圏域に置かれていることを踏まえ、次の項目を活動指標として設定します。</w:t>
      </w:r>
    </w:p>
    <w:p>
      <w:pPr>
        <w:pStyle w:val="3"/>
      </w:pPr>
      <w:r>
        <w:rPr>
          <w:rFonts w:ascii="BIZ UDPゴシック" w:hAnsi="BIZ UDPゴシック" w:eastAsia="BIZ UDPゴシック"/>
          <w:b w:val="0"/>
          <w:sz w:val="21"/>
        </w:rPr>
        <w:t>■　サービスの見込量に相当する活動指標</w:t>
      </w:r>
    </w:p>
    <w:p>
      <w:pPr>
        <w:ind w:firstLine="210"/>
      </w:pPr>
      <w:r>
        <w:rPr>
          <w:rFonts w:ascii="BIZ UDPゴシック" w:hAnsi="BIZ UDPゴシック" w:eastAsia="BIZ UDPゴシック"/>
          <w:b w:val="0"/>
          <w:sz w:val="21"/>
        </w:rPr>
        <w:t>本章３（訪問系サービス）、４（日中活動系サービス）、５（居住系サービス）、６（相談支援）、７（障がい児支援）に掲げる見込量が活動指標を兼ねます。対象は居宅介護、重度訪問介護、同行援護、行動援護、重度障害者等包括支援、生活介護、自立訓練（機能訓練・生活訓練）、就労選択支援、就労移行支援、就労継続支援（Ａ型・Ｂ型）、就労定着支援、療養介護、短期入所（福祉型・医療型）、自立生活援助、共同生活援助、施設入所支援、計画相談支援、地域移行支援、地域定着支援、児童発達支援、放課後等デイサービス、保育所等訪問支援、居宅訪問型児童発達支援及び障害児相談支援です。</w:t>
      </w:r>
    </w:p>
    <w:p>
      <w:pPr>
        <w:pStyle w:val="3"/>
      </w:pPr>
      <w:r>
        <w:rPr>
          <w:rFonts w:ascii="BIZ UDPゴシック" w:hAnsi="BIZ UDPゴシック" w:eastAsia="BIZ UDPゴシック"/>
          <w:b w:val="0"/>
          <w:sz w:val="21"/>
        </w:rPr>
        <w:t>■　その他の活動指標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3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活動指標</w:t>
            </w:r>
          </w:p>
        </w:tc>
        <w:tc>
          <w:tcPr>
            <w:tcW w:w="1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単位</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令和６年度</w:t>
              <w:br/>
              <w:t>実績</w:t>
            </w:r>
          </w:p>
        </w:tc>
        <w:tc>
          <w:tcPr>
            <w:tcW w:w="16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令和11年度</w:t>
              <w:br/>
              <w:t>見込</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精神障害にも対応した</w:t>
              <w:br/>
              <w:t>地域包括ケアシステム</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保健・医療・福祉関係者による協議の場の開催回数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協議の場への関係者の参加者数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協議の場における目標設定及び活動状況の把握・評価</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実施</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心のサポーター養成研修の実施回数【新規】</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０</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精神障がい者の地域移行支援・地域定着支援・共同生活援助・自立生活援助・自立訓練（生活訓練）・短期入所の利用者数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人／月</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地域生活支援の充実</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地域生活支援拠点等の設置箇所数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か所</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拠点コーディネーターの配置人数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運用状況の検証・検討の実施回数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１回以上</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医療的ケア児等に対する関連分野の支援を調整するコーディネーターの配置人数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１</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相談支援体制の</w:t>
              <w:br/>
              <w:t>充実・強化等</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協議会の実施回数、専門部会の設置数及び実施回数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回・か所</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個別事例の検討を通じて抽出された課題を協議会の議題とした数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件／年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障がい福祉サービス等の</w:t>
              <w:br/>
              <w:t>質の向上</w:t>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県が実施する障がい福祉サービス等に係る研修への村職員の参加人数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人／年</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3400" w:type="dxa"/>
            <w:tcMar>
              <w:top w:w="60" w:type="dxa"/>
              <w:left w:w="100" w:type="dxa"/>
              <w:bottom w:w="60" w:type="dxa"/>
              <w:right w:w="100" w:type="dxa"/>
            </w:tcMar>
            <w:vAlign w:val="center"/>
          </w:tcPr>
          <w:p>
            <w:r>
              <w:rPr>
                <w:rFonts w:ascii="BIZ UDPゴシック" w:hAnsi="BIZ UDPゴシック" w:eastAsia="BIZ UDPゴシック"/>
                <w:b w:val="0"/>
                <w:sz w:val="19"/>
              </w:rPr>
              <w:t>障害者自立支援審査支払等システム等による審査結果を分析・共有する体制の有無及び実施回数</w:t>
            </w:r>
          </w:p>
        </w:tc>
        <w:tc>
          <w:tcPr>
            <w:tcW w:w="1100" w:type="dxa"/>
            <w:tcMar>
              <w:top w:w="60" w:type="dxa"/>
              <w:left w:w="100" w:type="dxa"/>
              <w:bottom w:w="60" w:type="dxa"/>
              <w:right w:w="100" w:type="dxa"/>
            </w:tcMar>
            <w:vAlign w:val="center"/>
          </w:tcPr>
          <w:p>
            <w:r>
              <w:rPr>
                <w:rFonts w:ascii="BIZ UDPゴシック" w:hAnsi="BIZ UDPゴシック" w:eastAsia="BIZ UDPゴシック"/>
                <w:b w:val="0"/>
                <w:sz w:val="19"/>
              </w:rPr>
              <w:t>有無・回</w:t>
            </w:r>
          </w:p>
        </w:tc>
        <w:tc>
          <w:tcPr>
            <w:tcW w:w="1600" w:type="dxa"/>
            <w:tcMar>
              <w:top w:w="60" w:type="dxa"/>
              <w:left w:w="100" w:type="dxa"/>
              <w:bottom w:w="60" w:type="dxa"/>
              <w:right w:w="100" w:type="dxa"/>
            </w:tcMar>
            <w:vAlign w:val="center"/>
          </w:tcPr>
          <w:p>
            <w:r>
              <w:rPr>
                <w:rFonts w:ascii="BIZ UDPゴシック" w:hAnsi="BIZ UDPゴシック" w:eastAsia="BIZ UDPゴシック"/>
                <w:b w:val="0"/>
                <w:sz w:val="19"/>
              </w:rPr>
              <w:t>【要更新】</w:t>
            </w:r>
          </w:p>
        </w:tc>
        <w:tc>
          <w:tcPr>
            <w:tcW w:w="1638" w:type="dxa"/>
            <w:tcMar>
              <w:top w:w="60" w:type="dxa"/>
              <w:left w:w="100" w:type="dxa"/>
              <w:bottom w:w="60" w:type="dxa"/>
              <w:right w:w="100" w:type="dxa"/>
            </w:tcMar>
            <w:vAlign w:val="center"/>
          </w:tcPr>
          <w:p>
            <w:r>
              <w:rPr>
                <w:rFonts w:ascii="BIZ UDPゴシック" w:hAnsi="BIZ UDPゴシック" w:eastAsia="BIZ UDPゴシック"/>
                <w:b w:val="0"/>
                <w:sz w:val="19"/>
              </w:rPr>
              <w:t>【要検討】</w:t>
            </w:r>
          </w:p>
        </w:tc>
      </w:tr>
    </w:tbl>
    <w:p>
      <w:pPr>
        <w:pStyle w:val="3"/>
      </w:pPr>
      <w:r>
        <w:rPr>
          <w:rFonts w:ascii="BIZ UDPゴシック" w:hAnsi="BIZ UDPゴシック" w:eastAsia="BIZ UDPゴシック"/>
          <w:b w:val="0"/>
          <w:sz w:val="21"/>
        </w:rPr>
        <w:t>■　本村では設定しない活動指標</w:t>
      </w:r>
    </w:p>
    <w:p>
      <w:pPr>
        <w:ind w:firstLine="210"/>
      </w:pPr>
      <w:r>
        <w:rPr>
          <w:rFonts w:ascii="BIZ UDPゴシック" w:hAnsi="BIZ UDPゴシック" w:eastAsia="BIZ UDPゴシック"/>
          <w:b w:val="0"/>
          <w:sz w:val="21"/>
        </w:rPr>
        <w:t>別表第一に掲げられた活動指標のうち、次の項目は本村の実情から設定しません。施設における居室の個室化等の取組状況及び意向確認担当者の地域生活への移行に向けた支援回数は、いずれも障害者支援施設の取組を測る指標であり、本村に施設がないためです（ただし、施設入所者の意向を協議の場において共有することは本村の役割として第４章（１）に位置づけています）。精神保健福祉相談員講習会等の実施回数、発達障害者支援地域協議会の開催回数及び発達障害者支援センターに関する各指標は、県又は圏域の機関が実施主体であるためで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令和６年度実績は村の記録から把握してください。また「本村では設定しない」とした項目について、村としての判断を確定してください。設定するか否かを明記しないと、検討漏れと区別がつきません。なお、基本指針は成果目標及び活動指標に加えて独自に目標及び指標を設定することができるとしています（第二）。本村では中山間・人口減少地域としての課題を踏まえ、圏域の事業所の受入可能性に関する指標（例：訪問系サービスを提供する事業所数）を独自指標として設定することも考えられます。</w:t>
            </w:r>
          </w:p>
        </w:tc>
      </w:tr>
    </w:tbl>
    <w:p/>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11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12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