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する方針が決まったことを受け、当方の素案に入れた９か所を他メンバー版へ移すための手順をまとめたものです。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いずれも令和８年10月９日の第２回外部レビュー（27論点）への対応です。レビューが最優先に挙げた「ワークシートの仮置き値を実績に差し替えること」は村の回答（M-19）が前提であり、本書には含みません。</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積雪・通行止めにより村外への通所ができない場合に備え、訪問系サービス又は日中一時支援への一時的な振替えを想定する</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会津北部地域生活支援拠点を通じて圏域内の代替の受入れ先を調整する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先に受領した素案の網羅性点検で挙げた論点のうち、本書の９件に含まれていないものです。移植先の目安を添えました。基盤整備量（Ｄ）は定めなければならない事項であり、最も急ぎます。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Ｄ</w:t>
            </w:r>
          </w:p>
        </w:tc>
        <w:tc>
          <w:tcPr>
            <w:tcW w:w="4200" w:type="dxa"/>
          </w:tcPr>
          <w:p>
            <w:pPr>
              <w:spacing w:after="0"/>
            </w:pPr>
            <w:r>
              <w:rPr>
                <w:rFonts w:ascii="BIZ UDPゴシック" w:hAnsi="BIZ UDPゴシック" w:eastAsia="BIZ UDPゴシック" w:cs="BIZ UDPゴシック"/>
                <w:b w:val="0"/>
                <w:sz w:val="18"/>
              </w:rPr>
              <w:t>基盤整備量（令和11年度末の長期入院患者の地域生活への移行に伴う地域の精神保健医療福祉体制の基盤整備量）</w:t>
            </w:r>
          </w:p>
        </w:tc>
        <w:tc>
          <w:tcPr>
            <w:tcW w:w="2800" w:type="dxa"/>
          </w:tcPr>
          <w:p>
            <w:pPr>
              <w:spacing w:after="0"/>
            </w:pPr>
            <w:r>
              <w:rPr>
                <w:rFonts w:ascii="BIZ UDPゴシック" w:hAnsi="BIZ UDPゴシック" w:eastAsia="BIZ UDPゴシック" w:cs="BIZ UDPゴシック"/>
                <w:b w:val="0"/>
                <w:sz w:val="18"/>
              </w:rPr>
              <w:t>別表第二 三㈠⑤。定めなければならない事項</w:t>
            </w:r>
          </w:p>
        </w:tc>
        <w:tc>
          <w:tcPr>
            <w:tcW w:w="2200" w:type="dxa"/>
          </w:tcPr>
          <w:p>
            <w:pPr>
              <w:spacing w:after="0"/>
            </w:pPr>
            <w:r>
              <w:rPr>
                <w:rFonts w:ascii="BIZ UDPゴシック" w:hAnsi="BIZ UDPゴシック" w:eastAsia="BIZ UDPゴシック" w:cs="BIZ UDPゴシック"/>
                <w:b w:val="0"/>
                <w:sz w:val="18"/>
              </w:rPr>
              <w:t>第４章２（２）</w:t>
            </w:r>
          </w:p>
        </w:tc>
        <w:tc>
          <w:tcPr>
            <w:tcW w:w="4200" w:type="dxa"/>
          </w:tcPr>
          <w:p>
            <w:pPr>
              <w:spacing w:after="0"/>
            </w:pPr>
            <w:r>
              <w:rPr>
                <w:rFonts w:ascii="BIZ UDPゴシック" w:hAnsi="BIZ UDPゴシック" w:eastAsia="BIZ UDPゴシック" w:cs="BIZ UDPゴシック"/>
                <w:b w:val="0"/>
                <w:sz w:val="18"/>
              </w:rPr>
              <w:t>県の算定値（S-6）が前提。空欄のまま計画を確定できない</w:t>
            </w:r>
          </w:p>
        </w:tc>
        <w:tc>
          <w:tcPr>
            <w:tcW w:w="9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Ｅ</w:t>
            </w:r>
          </w:p>
        </w:tc>
        <w:tc>
          <w:tcPr>
            <w:tcW w:w="4200" w:type="dxa"/>
          </w:tcPr>
          <w:p>
            <w:pPr>
              <w:spacing w:after="0"/>
            </w:pPr>
            <w:r>
              <w:rPr>
                <w:rFonts w:ascii="BIZ UDPゴシック" w:hAnsi="BIZ UDPゴシック" w:eastAsia="BIZ UDPゴシック" w:cs="BIZ UDPゴシック"/>
                <w:b w:val="0"/>
                <w:sz w:val="18"/>
              </w:rPr>
              <w:t>継続入所者の控除と保育所等における受入体制</w:t>
            </w:r>
          </w:p>
        </w:tc>
        <w:tc>
          <w:tcPr>
            <w:tcW w:w="2800" w:type="dxa"/>
          </w:tcPr>
          <w:p>
            <w:pPr>
              <w:spacing w:after="0"/>
            </w:pPr>
            <w:r>
              <w:rPr>
                <w:rFonts w:ascii="BIZ UDPゴシック" w:hAnsi="BIZ UDPゴシック" w:eastAsia="BIZ UDPゴシック" w:cs="BIZ UDPゴシック"/>
                <w:b w:val="0"/>
                <w:sz w:val="18"/>
              </w:rPr>
              <w:t>告示 第三の二の2㈠。「ものとする」とされた2要件</w:t>
            </w:r>
          </w:p>
        </w:tc>
        <w:tc>
          <w:tcPr>
            <w:tcW w:w="2200" w:type="dxa"/>
          </w:tcPr>
          <w:p>
            <w:pPr>
              <w:spacing w:after="0"/>
            </w:pPr>
            <w:r>
              <w:rPr>
                <w:rFonts w:ascii="BIZ UDPゴシック" w:hAnsi="BIZ UDPゴシック" w:eastAsia="BIZ UDPゴシック" w:cs="BIZ UDPゴシック"/>
                <w:b w:val="0"/>
                <w:sz w:val="18"/>
              </w:rPr>
              <w:t>第５章１（２）（３）（５）</w:t>
            </w:r>
          </w:p>
        </w:tc>
        <w:tc>
          <w:tcPr>
            <w:tcW w:w="4200" w:type="dxa"/>
          </w:tcPr>
          <w:p>
            <w:pPr>
              <w:spacing w:after="0"/>
            </w:pPr>
            <w:r>
              <w:rPr>
                <w:rFonts w:ascii="BIZ UDPゴシック" w:hAnsi="BIZ UDPゴシック" w:eastAsia="BIZ UDPゴシック" w:cs="BIZ UDPゴシック"/>
                <w:b w:val="0"/>
                <w:sz w:val="18"/>
              </w:rPr>
              <w:t>生活介護・就労継続支援Ｂ型・施設入所支援の見込量は継続入所者を除いて設定する。障がい児通所支援は保育所等の受入体制を踏まえて設定する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Ｆ</w:t>
            </w:r>
          </w:p>
        </w:tc>
        <w:tc>
          <w:tcPr>
            <w:tcW w:w="4200" w:type="dxa"/>
          </w:tcPr>
          <w:p>
            <w:pPr>
              <w:spacing w:after="0"/>
            </w:pPr>
            <w:r>
              <w:rPr>
                <w:rFonts w:ascii="BIZ UDPゴシック" w:hAnsi="BIZ UDPゴシック" w:eastAsia="BIZ UDPゴシック" w:cs="BIZ UDPゴシック"/>
                <w:b w:val="0"/>
                <w:sz w:val="18"/>
              </w:rPr>
              <w:t>一般就労の事業種別の内訳目標（就労移行支援1.14倍・Ａ型おおむね1.52倍・Ｂ型おおむね1.67倍）</w:t>
            </w:r>
          </w:p>
        </w:tc>
        <w:tc>
          <w:tcPr>
            <w:tcW w:w="2800" w:type="dxa"/>
          </w:tcPr>
          <w:p>
            <w:pPr>
              <w:spacing w:after="0"/>
            </w:pPr>
            <w:r>
              <w:rPr>
                <w:rFonts w:ascii="BIZ UDPゴシック" w:hAnsi="BIZ UDPゴシック" w:eastAsia="BIZ UDPゴシック" w:cs="BIZ UDPゴシック"/>
                <w:b w:val="0"/>
                <w:sz w:val="18"/>
              </w:rPr>
              <w:t>告示 第二 三。「併せて定めることとする」とされている</w:t>
            </w:r>
          </w:p>
        </w:tc>
        <w:tc>
          <w:tcPr>
            <w:tcW w:w="2200" w:type="dxa"/>
          </w:tcPr>
          <w:p>
            <w:pPr>
              <w:spacing w:after="0"/>
            </w:pPr>
            <w:r>
              <w:rPr>
                <w:rFonts w:ascii="BIZ UDPゴシック" w:hAnsi="BIZ UDPゴシック" w:eastAsia="BIZ UDPゴシック" w:cs="BIZ UDPゴシック"/>
                <w:b w:val="0"/>
                <w:sz w:val="18"/>
              </w:rPr>
              <w:t>第４章２（３）</w:t>
            </w:r>
          </w:p>
        </w:tc>
        <w:tc>
          <w:tcPr>
            <w:tcW w:w="4200" w:type="dxa"/>
          </w:tcPr>
          <w:p>
            <w:pPr>
              <w:spacing w:after="0"/>
            </w:pPr>
            <w:r>
              <w:rPr>
                <w:rFonts w:ascii="BIZ UDPゴシック" w:hAnsi="BIZ UDPゴシック" w:eastAsia="BIZ UDPゴシック" w:cs="BIZ UDPゴシック"/>
                <w:b w:val="0"/>
                <w:sz w:val="18"/>
              </w:rPr>
              <w:t>≪国の基本指針≫欄にこの3つがない。目標値も立てていない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Ｇ</w:t>
            </w:r>
          </w:p>
        </w:tc>
        <w:tc>
          <w:tcPr>
            <w:tcW w:w="4200" w:type="dxa"/>
          </w:tcPr>
          <w:p>
            <w:pPr>
              <w:spacing w:after="0"/>
            </w:pPr>
            <w:r>
              <w:rPr>
                <w:rFonts w:ascii="BIZ UDPゴシック" w:hAnsi="BIZ UDPゴシック" w:eastAsia="BIZ UDPゴシック" w:cs="BIZ UDPゴシック"/>
                <w:b w:val="0"/>
                <w:sz w:val="18"/>
              </w:rPr>
              <w:t>福島県の計画との整合（第５次県障がい者計画・第７期県障がい福祉計画の名称・期間・成果目標との関係、会津障がい保健福祉圏域と会津北部圏域の違い）</w:t>
            </w:r>
          </w:p>
        </w:tc>
        <w:tc>
          <w:tcPr>
            <w:tcW w:w="2800" w:type="dxa"/>
          </w:tcPr>
          <w:p>
            <w:pPr>
              <w:spacing w:after="0"/>
            </w:pPr>
            <w:r>
              <w:rPr>
                <w:rFonts w:ascii="BIZ UDPゴシック" w:hAnsi="BIZ UDPゴシック" w:eastAsia="BIZ UDPゴシック" w:cs="BIZ UDPゴシック"/>
                <w:b w:val="0"/>
                <w:sz w:val="18"/>
              </w:rPr>
              <w:t>告示 第三の一の7（他の計画等との調和）</w:t>
            </w:r>
          </w:p>
        </w:tc>
        <w:tc>
          <w:tcPr>
            <w:tcW w:w="2200" w:type="dxa"/>
          </w:tcPr>
          <w:p>
            <w:pPr>
              <w:spacing w:after="0"/>
            </w:pPr>
            <w:r>
              <w:rPr>
                <w:rFonts w:ascii="BIZ UDPゴシック" w:hAnsi="BIZ UDPゴシック" w:eastAsia="BIZ UDPゴシック" w:cs="BIZ UDPゴシック"/>
                <w:b w:val="0"/>
                <w:sz w:val="18"/>
              </w:rPr>
              <w:t>第１章２又は第７章</w:t>
            </w:r>
          </w:p>
        </w:tc>
        <w:tc>
          <w:tcPr>
            <w:tcW w:w="4200" w:type="dxa"/>
          </w:tcPr>
          <w:p>
            <w:pPr>
              <w:spacing w:after="0"/>
            </w:pPr>
            <w:r>
              <w:rPr>
                <w:rFonts w:ascii="BIZ UDPゴシック" w:hAnsi="BIZ UDPゴシック" w:eastAsia="BIZ UDPゴシック" w:cs="BIZ UDPゴシック"/>
                <w:b w:val="0"/>
                <w:sz w:val="18"/>
              </w:rPr>
              <w:t>現行は第１章２に1文のみ。県の計画協議で最初に問われる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Ｈ</w:t>
            </w:r>
          </w:p>
        </w:tc>
        <w:tc>
          <w:tcPr>
            <w:tcW w:w="4200" w:type="dxa"/>
          </w:tcPr>
          <w:p>
            <w:pPr>
              <w:spacing w:after="0"/>
            </w:pPr>
            <w:r>
              <w:rPr>
                <w:rFonts w:ascii="BIZ UDPゴシック" w:hAnsi="BIZ UDPゴシック" w:eastAsia="BIZ UDPゴシック" w:cs="BIZ UDPゴシック"/>
                <w:b w:val="0"/>
                <w:sz w:val="18"/>
              </w:rPr>
              <w:t>介護保険事業計画との切り分け（介護保険優先原則・適用除外・65歳到達・共生型サービス・新高額障害福祉サービス等給付費）</w:t>
            </w:r>
          </w:p>
        </w:tc>
        <w:tc>
          <w:tcPr>
            <w:tcW w:w="2800" w:type="dxa"/>
          </w:tcPr>
          <w:p>
            <w:pPr>
              <w:spacing w:after="0"/>
            </w:pPr>
            <w:r>
              <w:rPr>
                <w:rFonts w:ascii="BIZ UDPゴシック" w:hAnsi="BIZ UDPゴシック" w:eastAsia="BIZ UDPゴシック" w:cs="BIZ UDPゴシック"/>
                <w:b w:val="0"/>
                <w:sz w:val="18"/>
              </w:rPr>
              <w:t>障害者総合支援法第7条、介護保険法施行法第11条第1項</w:t>
            </w:r>
          </w:p>
        </w:tc>
        <w:tc>
          <w:tcPr>
            <w:tcW w:w="2200" w:type="dxa"/>
          </w:tcPr>
          <w:p>
            <w:pPr>
              <w:spacing w:after="0"/>
            </w:pPr>
            <w:r>
              <w:rPr>
                <w:rFonts w:ascii="BIZ UDPゴシック" w:hAnsi="BIZ UDPゴシック" w:eastAsia="BIZ UDPゴシック" w:cs="BIZ UDPゴシック"/>
                <w:b w:val="0"/>
                <w:sz w:val="18"/>
              </w:rPr>
              <w:t>第５章に新しい節、又は第７章</w:t>
            </w:r>
          </w:p>
        </w:tc>
        <w:tc>
          <w:tcPr>
            <w:tcW w:w="4200" w:type="dxa"/>
          </w:tcPr>
          <w:p>
            <w:pPr>
              <w:spacing w:after="0"/>
            </w:pPr>
            <w:r>
              <w:rPr>
                <w:rFonts w:ascii="BIZ UDPゴシック" w:hAnsi="BIZ UDPゴシック" w:eastAsia="BIZ UDPゴシック" w:cs="BIZ UDPゴシック"/>
                <w:b w:val="0"/>
                <w:sz w:val="18"/>
              </w:rPr>
              <w:t>施設入所支援４人が適用除外に当たると介護保険の第1号被保険者から除く必要がある。介護保険事業計画が固まる前でないと直せない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Ｋ</w:t>
            </w:r>
          </w:p>
        </w:tc>
        <w:tc>
          <w:tcPr>
            <w:tcW w:w="4200" w:type="dxa"/>
          </w:tcPr>
          <w:p>
            <w:pPr>
              <w:spacing w:after="0"/>
            </w:pPr>
            <w:r>
              <w:rPr>
                <w:rFonts w:ascii="BIZ UDPゴシック" w:hAnsi="BIZ UDPゴシック" w:eastAsia="BIZ UDPゴシック" w:cs="BIZ UDPゴシック"/>
                <w:b w:val="0"/>
                <w:sz w:val="18"/>
              </w:rPr>
              <w:t>年齢到達に伴うサービスの移行（15～17歳・18歳・20歳・22歳・40歳・65歳）と学校卒業に伴う移行</w:t>
            </w:r>
          </w:p>
        </w:tc>
        <w:tc>
          <w:tcPr>
            <w:tcW w:w="2800" w:type="dxa"/>
          </w:tcPr>
          <w:p>
            <w:pPr>
              <w:spacing w:after="0"/>
            </w:pPr>
            <w:r>
              <w:rPr>
                <w:rFonts w:ascii="BIZ UDPゴシック" w:hAnsi="BIZ UDPゴシック" w:eastAsia="BIZ UDPゴシック" w:cs="BIZ UDPゴシック"/>
                <w:b w:val="0"/>
                <w:sz w:val="18"/>
              </w:rPr>
              <w:t>告示 第三の二の2㈠（障害児通所支援等からの円滑な移行）</w:t>
            </w:r>
          </w:p>
        </w:tc>
        <w:tc>
          <w:tcPr>
            <w:tcW w:w="2200" w:type="dxa"/>
          </w:tcPr>
          <w:p>
            <w:pPr>
              <w:spacing w:after="0"/>
            </w:pPr>
            <w:r>
              <w:rPr>
                <w:rFonts w:ascii="BIZ UDPゴシック" w:hAnsi="BIZ UDPゴシック" w:eastAsia="BIZ UDPゴシック" w:cs="BIZ UDPゴシック"/>
                <w:b w:val="0"/>
                <w:sz w:val="18"/>
              </w:rPr>
              <w:t>第５章１の冒頭又は新しい節</w:t>
            </w:r>
          </w:p>
        </w:tc>
        <w:tc>
          <w:tcPr>
            <w:tcW w:w="4200" w:type="dxa"/>
          </w:tcPr>
          <w:p>
            <w:pPr>
              <w:spacing w:after="0"/>
            </w:pPr>
            <w:r>
              <w:rPr>
                <w:rFonts w:ascii="BIZ UDPゴシック" w:hAnsi="BIZ UDPゴシック" w:eastAsia="BIZ UDPゴシック" w:cs="BIZ UDPゴシック"/>
                <w:b w:val="0"/>
                <w:sz w:val="18"/>
              </w:rPr>
              <w:t>本申し送りの４（医療的ケア児等の18歳到達）は、この節があるとより収まりがよい</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第５章２（９）（本申し送りの６）に含めたが、サービスごとの圏域の整備量までは書いていない</w:t>
            </w:r>
          </w:p>
        </w:tc>
        <w:tc>
          <w:tcPr>
            <w:tcW w:w="4200" w:type="dxa"/>
          </w:tcPr>
          <w:p>
            <w:pPr>
              <w:spacing w:after="0"/>
            </w:pPr>
            <w:r>
              <w:rPr>
                <w:rFonts w:ascii="BIZ UDPゴシック" w:hAnsi="BIZ UDPゴシック" w:eastAsia="BIZ UDPゴシック" w:cs="BIZ UDPゴシック"/>
                <w:b w:val="0"/>
                <w:sz w:val="18"/>
              </w:rPr>
              <w:t>県計画の会津障がい保健福祉圏域計画が定める必要事業所数を引用すると具体化できる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Ｍ</w:t>
            </w:r>
          </w:p>
        </w:tc>
        <w:tc>
          <w:tcPr>
            <w:tcW w:w="4200" w:type="dxa"/>
          </w:tcPr>
          <w:p>
            <w:pPr>
              <w:spacing w:after="0"/>
            </w:pPr>
            <w:r>
              <w:rPr>
                <w:rFonts w:ascii="BIZ UDPゴシック" w:hAnsi="BIZ UDPゴシック" w:eastAsia="BIZ UDPゴシック" w:cs="BIZ UDPゴシック"/>
                <w:b w:val="0"/>
                <w:sz w:val="18"/>
              </w:rPr>
              <w:t>地域生活支援事業の「その他実施に必要な事項」（利用者負担・申請手続・委託先・周知方法）</w:t>
            </w:r>
          </w:p>
        </w:tc>
        <w:tc>
          <w:tcPr>
            <w:tcW w:w="2800" w:type="dxa"/>
          </w:tcPr>
          <w:p>
            <w:pPr>
              <w:spacing w:after="0"/>
            </w:pPr>
            <w:r>
              <w:rPr>
                <w:rFonts w:ascii="BIZ UDPゴシック" w:hAnsi="BIZ UDPゴシック" w:eastAsia="BIZ UDPゴシック" w:cs="BIZ UDPゴシック"/>
                <w:b w:val="0"/>
                <w:sz w:val="18"/>
              </w:rPr>
              <w:t>別表第二 四④</w:t>
            </w:r>
          </w:p>
        </w:tc>
        <w:tc>
          <w:tcPr>
            <w:tcW w:w="2200" w:type="dxa"/>
          </w:tcPr>
          <w:p>
            <w:pPr>
              <w:spacing w:after="0"/>
            </w:pPr>
            <w:r>
              <w:rPr>
                <w:rFonts w:ascii="BIZ UDPゴシック" w:hAnsi="BIZ UDPゴシック" w:eastAsia="BIZ UDPゴシック" w:cs="BIZ UDPゴシック"/>
                <w:b w:val="0"/>
                <w:sz w:val="18"/>
              </w:rPr>
              <w:t>第５章３</w:t>
            </w:r>
          </w:p>
        </w:tc>
        <w:tc>
          <w:tcPr>
            <w:tcW w:w="4200" w:type="dxa"/>
          </w:tcPr>
          <w:p>
            <w:pPr>
              <w:spacing w:after="0"/>
            </w:pPr>
            <w:r>
              <w:rPr>
                <w:rFonts w:ascii="BIZ UDPゴシック" w:hAnsi="BIZ UDPゴシック" w:eastAsia="BIZ UDPゴシック" w:cs="BIZ UDPゴシック"/>
                <w:b w:val="0"/>
                <w:sz w:val="18"/>
              </w:rPr>
              <w:t>定めなければならない事項の一部</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Ｎ</w:t>
            </w:r>
          </w:p>
        </w:tc>
        <w:tc>
          <w:tcPr>
            <w:tcW w:w="4200" w:type="dxa"/>
          </w:tcPr>
          <w:p>
            <w:pPr>
              <w:spacing w:after="0"/>
            </w:pPr>
            <w:r>
              <w:rPr>
                <w:rFonts w:ascii="BIZ UDPゴシック" w:hAnsi="BIZ UDPゴシック" w:eastAsia="BIZ UDPゴシック" w:cs="BIZ UDPゴシック"/>
                <w:b w:val="0"/>
                <w:sz w:val="18"/>
              </w:rPr>
              <w:t>関係機関との連携のうち就労関係の機関（公共職業安定所・障害者職業センター・障害者就業・生活支援センター）</w:t>
            </w:r>
          </w:p>
        </w:tc>
        <w:tc>
          <w:tcPr>
            <w:tcW w:w="2800" w:type="dxa"/>
          </w:tcPr>
          <w:p>
            <w:pPr>
              <w:spacing w:after="0"/>
            </w:pPr>
            <w:r>
              <w:rPr>
                <w:rFonts w:ascii="BIZ UDPゴシック" w:hAnsi="BIZ UDPゴシック" w:eastAsia="BIZ UDPゴシック" w:cs="BIZ UDPゴシック"/>
                <w:b w:val="0"/>
                <w:sz w:val="18"/>
              </w:rPr>
              <w:t>別表第二 五㈠</w:t>
            </w:r>
          </w:p>
        </w:tc>
        <w:tc>
          <w:tcPr>
            <w:tcW w:w="2200" w:type="dxa"/>
          </w:tcPr>
          <w:p>
            <w:pPr>
              <w:spacing w:after="0"/>
            </w:pPr>
            <w:r>
              <w:rPr>
                <w:rFonts w:ascii="BIZ UDPゴシック" w:hAnsi="BIZ UDPゴシック" w:eastAsia="BIZ UDPゴシック" w:cs="BIZ UDPゴシック"/>
                <w:b w:val="0"/>
                <w:sz w:val="18"/>
              </w:rPr>
              <w:t>第５章２又は新しい節</w:t>
            </w:r>
          </w:p>
        </w:tc>
        <w:tc>
          <w:tcPr>
            <w:tcW w:w="4200" w:type="dxa"/>
          </w:tcPr>
          <w:p>
            <w:pPr>
              <w:spacing w:after="0"/>
            </w:pPr>
            <w:r>
              <w:rPr>
                <w:rFonts w:ascii="BIZ UDPゴシック" w:hAnsi="BIZ UDPゴシック" w:eastAsia="BIZ UDPゴシック" w:cs="BIZ UDPゴシック"/>
                <w:b w:val="0"/>
                <w:sz w:val="18"/>
              </w:rPr>
              <w:t>本申し送りの３で機関名を一度出すが、連携の内容を定める節は別に要る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Ｓ</w:t>
            </w:r>
          </w:p>
        </w:tc>
        <w:tc>
          <w:tcPr>
            <w:tcW w:w="4200" w:type="dxa"/>
          </w:tcPr>
          <w:p>
            <w:pPr>
              <w:spacing w:after="0"/>
            </w:pPr>
            <w:r>
              <w:rPr>
                <w:rFonts w:ascii="BIZ UDPゴシック" w:hAnsi="BIZ UDPゴシック" w:eastAsia="BIZ UDPゴシック" w:cs="BIZ UDPゴシック"/>
                <w:b w:val="0"/>
                <w:sz w:val="18"/>
              </w:rPr>
              <w:t>難病等（令和７年４月から376疾病）も障がい福祉サービスの対象であること</w:t>
            </w:r>
          </w:p>
        </w:tc>
        <w:tc>
          <w:tcPr>
            <w:tcW w:w="2800" w:type="dxa"/>
          </w:tcPr>
          <w:p>
            <w:pPr>
              <w:spacing w:after="0"/>
            </w:pPr>
            <w:r>
              <w:rPr>
                <w:rFonts w:ascii="BIZ UDPゴシック" w:hAnsi="BIZ UDPゴシック" w:eastAsia="BIZ UDPゴシック" w:cs="BIZ UDPゴシック"/>
                <w:b w:val="0"/>
                <w:sz w:val="18"/>
              </w:rPr>
              <w:t>障害者総合支援法第４条第１項、同法施行令第１条</w:t>
            </w:r>
          </w:p>
        </w:tc>
        <w:tc>
          <w:tcPr>
            <w:tcW w:w="2200" w:type="dxa"/>
          </w:tcPr>
          <w:p>
            <w:pPr>
              <w:spacing w:after="0"/>
            </w:pPr>
            <w:r>
              <w:rPr>
                <w:rFonts w:ascii="BIZ UDPゴシック" w:hAnsi="BIZ UDPゴシック" w:eastAsia="BIZ UDPゴシック" w:cs="BIZ UDPゴシック"/>
                <w:b w:val="0"/>
                <w:sz w:val="18"/>
              </w:rPr>
              <w:t>第２章２（手帳所持者数）と第５章１（見込量の考え方）</w:t>
            </w:r>
          </w:p>
        </w:tc>
        <w:tc>
          <w:tcPr>
            <w:tcW w:w="4200" w:type="dxa"/>
          </w:tcPr>
          <w:p>
            <w:pPr>
              <w:spacing w:after="0"/>
            </w:pPr>
            <w:r>
              <w:rPr>
                <w:rFonts w:ascii="BIZ UDPゴシック" w:hAnsi="BIZ UDPゴシック" w:eastAsia="BIZ UDPゴシック" w:cs="BIZ UDPゴシック"/>
                <w:b w:val="0"/>
                <w:sz w:val="18"/>
              </w:rPr>
              <w:t>他メンバー版・当方の素案のいずれも「難病」の語が０件。手帳所持者数だけで対象者を示しているため、手帳を所持しない難病等の方が視野に入っていない。厚生労働省の資料（令和８年10月９日受領）で、平成25年４月の130疾病から令和７年４月の376疾病まで７次にわたり拡大されたことを確認した。指定難病（医療費助成。令和７年４月現在348疾病）より範囲が広く、重症度も勘案しないため、医療費助成の対象外でもサービスの対象になりうる。また、症状が変化することが難病の特徴であり（毎日変化41.2％、進行している19.1％）、見込量を月平均だけで置くと症状が重いときの必要量が落ち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Ｑ</w:t>
            </w:r>
          </w:p>
        </w:tc>
        <w:tc>
          <w:tcPr>
            <w:tcW w:w="4200" w:type="dxa"/>
          </w:tcPr>
          <w:p>
            <w:pPr>
              <w:spacing w:after="0"/>
            </w:pPr>
            <w:r>
              <w:rPr>
                <w:rFonts w:ascii="BIZ UDPゴシック" w:hAnsi="BIZ UDPゴシック" w:eastAsia="BIZ UDPゴシック" w:cs="BIZ UDPゴシック"/>
                <w:b w:val="0"/>
                <w:sz w:val="18"/>
              </w:rPr>
              <w:t>給付費及び財源構成の見込み</w:t>
            </w:r>
          </w:p>
        </w:tc>
        <w:tc>
          <w:tcPr>
            <w:tcW w:w="2800" w:type="dxa"/>
          </w:tcPr>
          <w:p>
            <w:pPr>
              <w:spacing w:after="0"/>
            </w:pPr>
            <w:r>
              <w:rPr>
                <w:rFonts w:ascii="BIZ UDPゴシック" w:hAnsi="BIZ UDPゴシック" w:eastAsia="BIZ UDPゴシック" w:cs="BIZ UDPゴシック"/>
                <w:b w:val="0"/>
                <w:sz w:val="18"/>
              </w:rPr>
              <w:t>別表第二の求める事項ではない</w:t>
            </w:r>
          </w:p>
        </w:tc>
        <w:tc>
          <w:tcPr>
            <w:tcW w:w="2200" w:type="dxa"/>
          </w:tcPr>
          <w:p>
            <w:pPr>
              <w:spacing w:after="0"/>
            </w:pPr>
            <w:r>
              <w:rPr>
                <w:rFonts w:ascii="BIZ UDPゴシック" w:hAnsi="BIZ UDPゴシック" w:eastAsia="BIZ UDPゴシック" w:cs="BIZ UDPゴシック"/>
                <w:b w:val="0"/>
                <w:sz w:val="18"/>
              </w:rPr>
              <w:t>第５章に新しい節</w:t>
            </w:r>
          </w:p>
        </w:tc>
        <w:tc>
          <w:tcPr>
            <w:tcW w:w="4200" w:type="dxa"/>
          </w:tcPr>
          <w:p>
            <w:pPr>
              <w:spacing w:after="0"/>
            </w:pPr>
            <w:r>
              <w:rPr>
                <w:rFonts w:ascii="BIZ UDPゴシック" w:hAnsi="BIZ UDPゴシック" w:eastAsia="BIZ UDPゴシック" w:cs="BIZ UDPゴシック"/>
                <w:b w:val="0"/>
                <w:sz w:val="18"/>
              </w:rPr>
              <w:t>庁議・議会で必ず問われる。当方の算定では3か年計1億7,286万円</w:t>
            </w:r>
          </w:p>
        </w:tc>
        <w:tc>
          <w:tcPr>
            <w:tcW w:w="900" w:type="dxa"/>
          </w:tcPr>
          <w:p>
            <w:pPr>
              <w:spacing w:after="0"/>
            </w:pPr>
            <w:r>
              <w:rPr>
                <w:rFonts w:ascii="BIZ UDPゴシック" w:hAnsi="BIZ UDPゴシック" w:eastAsia="BIZ UDPゴシック" w:cs="BIZ UDPゴシック"/>
                <w:b w:val="0"/>
                <w:sz w:val="18"/>
              </w:rPr>
              <w:t>低</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・移植した箇所の章節の参照（第４章２（１）等）が、他メンバー版の構成と合っているか。</w:t>
      </w:r>
    </w:p>
    <w:p>
      <w:pPr>
        <w:spacing w:after="40"/>
        <w:ind w:left="240"/>
      </w:pPr>
      <w:r>
        <w:rPr>
          <w:rFonts w:ascii="BIZ UDPゴシック" w:hAnsi="BIZ UDPゴシック" w:eastAsia="BIZ UDPゴシック" w:cs="BIZ UDPゴシック"/>
          <w:b w:val="0"/>
          <w:sz w:val="21"/>
        </w:rPr>
        <w:t>・第５章２に（７）～（13）を足した結果、項が13になります。読みにくければ「１ サービスの確保」「２ 体制の確保」の2つに分ける案もあります。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・本書の９件を入れると、他メンバー版は約45頁から約51頁になります（注記を削ると約49頁）。分量配分計画の60頁には収まります。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