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明朝" w:cs="游明朝" w:eastAsia="游明朝" w:hAnsi="游明朝"/>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明朝" w:cs="游明朝" w:eastAsia="游明朝" w:hAnsi="游明朝"/>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明朝" w:cs="游明朝" w:eastAsia="游明朝" w:hAnsi="游明朝"/>
          <w:sz w:val="21"/>
          <w:szCs w:val="21"/>
        </w:rPr>
        <w:t xml:space="preserve"/>
      </w:r>
    </w:p>
    <w:p>
      <w:pPr>
        <w:spacing w:after="180" w:line="300"/>
      </w:pPr>
      <w:r>
        <w:rPr>
          <w:rFonts w:ascii="游明朝" w:cs="游明朝" w:eastAsia="游明朝" w:hAnsi="游明朝"/>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明朝" w:cs="游明朝" w:eastAsia="游明朝" w:hAnsi="游明朝"/>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680"/>
        <w:gridCol w:w="1498"/>
        <w:gridCol w:w="262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開会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委嘱状の交付</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村長あいさつ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委員長・副委員長の選出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議事（6）成果目標・活動指標（案）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その他・閉会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120分</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本日ご議論いただきたい事項</w:t>
      </w:r>
    </w:p>
    <w:p>
      <w:pPr>
        <w:spacing w:after="120" w:line="300"/>
      </w:pPr>
      <w:r>
        <w:rPr>
          <w:rFonts w:ascii="游明朝" w:cs="游明朝" w:eastAsia="游明朝" w:hAnsi="游明朝"/>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493"/>
        <w:gridCol w:w="1685"/>
        <w:gridCol w:w="262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数十円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1人／月あたり75円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約700円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令和22年度で1,496円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「保険料への効き」は、その判断によって第10期の介護保険料の基準額（月額）がどの程度動くかを示したものである。判断の重みの目安としてご覧いただきたい。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委員名簿</w:t>
      </w:r>
    </w:p>
    <w:p>
      <w:pPr>
        <w:spacing w:after="120" w:line="300"/>
      </w:pPr>
      <w:r>
        <w:rPr>
          <w:rFonts w:ascii="游明朝" w:cs="游明朝" w:eastAsia="游明朝" w:hAnsi="游明朝"/>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936"/>
        <w:gridCol w:w="2246"/>
        <w:gridCol w:w="374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所属・役職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氏名・役職</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座席表</w:t>
      </w:r>
    </w:p>
    <w:p>
      <w:pPr>
        <w:spacing w:after="120" w:line="300"/>
      </w:pPr>
      <w:r>
        <w:rPr>
          <w:rFonts w:ascii="游明朝" w:cs="游明朝" w:eastAsia="游明朝" w:hAnsi="游明朝"/>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村長・保健福祉課長</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学識経験者・保健医療関係者（4名）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社会福祉関係者・住民代表（9名）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委員長・副委員長は本日の委員会で選出されるため、席は「委員長」「副委員長」の表示にとどめ、氏名は当日に記入するか表示しない。会場・配置は村がお決めになる。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936"/>
        <w:gridCol w:w="280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配付方法</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当日配付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頁数は目安である。資料2から資料8および別冊は、開催の1週間前までに事前送付する。別冊の素案は分量があるため、当日は資料4から資料7により要点をご説明する。素案の103頁のうち2.3頁は5-12「据え置いている項目の一覧」であり、数値が確定した段階で削除するため、成果品としての計画書は約101頁になる見込みである（仕様書は約100頁）。</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第9期計画の概要</w:t>
      </w:r>
    </w:p>
    <w:p>
      <w:pPr>
        <w:spacing w:after="120" w:line="300"/>
      </w:pPr>
      <w:r>
        <w:rPr>
          <w:rFonts w:ascii="游明朝" w:cs="游明朝" w:eastAsia="游明朝" w:hAnsi="游明朝"/>
          <w:sz w:val="21"/>
          <w:szCs w:val="21"/>
        </w:rPr>
        <w:t xml:space="preserve">第9期北塩原村高齢者福祉計画・第9期北塩原村介護保険事業計画は、令和6年度から令和8年度までの3年間を計画期間とし、4つの基本目標のもとに19の施策を掲げています。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936"/>
        <w:gridCol w:w="468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施策の達成状況</w:t>
      </w:r>
    </w:p>
    <w:p>
      <w:pPr>
        <w:spacing w:after="120" w:line="300"/>
      </w:pPr>
      <w:r>
        <w:rPr>
          <w:rFonts w:ascii="游明朝" w:cs="游明朝" w:eastAsia="游明朝" w:hAnsi="游明朝"/>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6365"/>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spacing w:after="100" w:line="300"/>
      </w:pPr>
      <w:r>
        <w:rPr>
          <w:rFonts w:ascii="游ゴシック" w:cs="游ゴシック" w:eastAsia="游ゴシック" w:hAnsi="游ゴシック"/>
          <w:b/>
          <w:bCs/>
          <w:color w:val="2E75B6"/>
          <w:sz w:val="21"/>
          <w:szCs w:val="21"/>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高齢者の移動に関する支援は令和3年度5点から令和4年度15点へ伸びており、第10期で継続・拡充の対象になります。</w:t>
      </w:r>
    </w:p>
    <w:p>
      <w:pPr>
        <w:spacing w:after="100" w:line="300"/>
      </w:pPr>
      <w:r>
        <w:rPr>
          <w:rFonts w:ascii="游ゴシック" w:cs="游ゴシック" w:eastAsia="游ゴシック" w:hAnsi="游ゴシック"/>
          <w:b/>
          <w:bCs/>
          <w:color w:val="2E75B6"/>
          <w:sz w:val="21"/>
          <w:szCs w:val="21"/>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計画値と実績の乖離</w:t>
      </w:r>
    </w:p>
    <w:p>
      <w:pPr>
        <w:spacing w:after="120" w:line="300"/>
      </w:pPr>
      <w:r>
        <w:rPr>
          <w:rFonts w:ascii="游明朝" w:cs="游明朝" w:eastAsia="游明朝" w:hAnsi="游明朝"/>
          <w:sz w:val="21"/>
          <w:szCs w:val="21"/>
        </w:rPr>
        <w:t xml:space="preserve">第9期の計画値と実績を突き合わせたところ、次の乖離が確認されました。</w:t>
      </w:r>
    </w:p>
    <w:p>
      <w:pPr>
        <w:spacing w:after="100" w:line="300"/>
      </w:pPr>
      <w:r>
        <w:rPr>
          <w:rFonts w:ascii="游ゴシック" w:cs="游ゴシック" w:eastAsia="游ゴシック" w:hAnsi="游ゴシック"/>
          <w:b/>
          <w:bCs/>
          <w:color w:val="2E75B6"/>
          <w:sz w:val="21"/>
          <w:szCs w:val="21"/>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685"/>
        <w:gridCol w:w="1871"/>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059"/>
        <w:gridCol w:w="2246"/>
        <w:gridCol w:w="243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spacing w:after="100" w:line="300"/>
      </w:pPr>
      <w:r>
        <w:rPr>
          <w:rFonts w:ascii="游ゴシック" w:cs="游ゴシック" w:eastAsia="游ゴシック" w:hAnsi="游ゴシック"/>
          <w:b/>
          <w:bCs/>
          <w:color w:val="2E75B6"/>
          <w:sz w:val="21"/>
          <w:szCs w:val="21"/>
        </w:rPr>
        <w:t xml:space="preserve">(2) 要介護度別では大きくずれています</w:t>
      </w:r>
    </w:p>
    <w:p>
      <w:pPr>
        <w:spacing w:after="120" w:line="300"/>
      </w:pPr>
      <w:r>
        <w:rPr>
          <w:rFonts w:ascii="游明朝" w:cs="游明朝" w:eastAsia="游明朝" w:hAnsi="游明朝"/>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872"/>
        <w:gridCol w:w="2246"/>
        <w:gridCol w:w="243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要支援1の急増を捉えられていません。要支援1の認定者数は令和2年3月末の17人から令和8年3月末の51人へ、6年で3倍になっています（認定率1.7%→5.0%）。</w:t>
      </w:r>
    </w:p>
    <w:p>
      <w:pPr>
        <w:spacing w:after="100" w:line="300"/>
      </w:pPr>
      <w:r>
        <w:rPr>
          <w:rFonts w:ascii="游ゴシック" w:cs="游ゴシック" w:eastAsia="游ゴシック" w:hAnsi="游ゴシック"/>
          <w:b/>
          <w:bCs/>
          <w:color w:val="2E75B6"/>
          <w:sz w:val="21"/>
          <w:szCs w:val="21"/>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744"/>
        <w:gridCol w:w="2808"/>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明朝" w:cs="游明朝" w:eastAsia="游明朝" w:hAnsi="游明朝"/>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介護給付費の計画値と実績（令和6年度・令和7年度）、および介護給付費準備基金の残高は未受領です。受領後に本節を確定します。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保険者機能の評価</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年間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spacing w:after="100" w:line="300"/>
      </w:pPr>
      <w:r>
        <w:rPr>
          <w:rFonts w:ascii="游ゴシック" w:cs="游ゴシック" w:eastAsia="游ゴシック" w:hAnsi="游ゴシック"/>
          <w:b/>
          <w:bCs/>
          <w:color w:val="2E75B6"/>
          <w:sz w:val="21"/>
          <w:szCs w:val="21"/>
        </w:rPr>
        <w:t xml:space="preserve">3か年の推移を項目ごとにみると</w:t>
      </w:r>
    </w:p>
    <w:p>
      <w:pPr>
        <w:spacing w:after="120" w:line="300"/>
      </w:pPr>
      <w:r>
        <w:rPr>
          <w:rFonts w:ascii="游明朝" w:cs="游明朝" w:eastAsia="游明朝" w:hAnsi="游明朝"/>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改善した</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悪化した</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満点で維持している</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満点を3年間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年間で1項目5点のみです。</w:t>
      </w:r>
    </w:p>
    <w:p>
      <w:pPr>
        <w:spacing w:after="100" w:line="300"/>
      </w:pPr>
      <w:r>
        <w:rPr>
          <w:rFonts w:ascii="游ゴシック" w:cs="游ゴシック" w:eastAsia="游ゴシック" w:hAnsi="游ゴシック"/>
          <w:b/>
          <w:bCs/>
          <w:color w:val="2E75B6"/>
          <w:sz w:val="21"/>
          <w:szCs w:val="21"/>
        </w:rPr>
        <w:t xml:space="preserve">目標別にみると</w:t>
      </w:r>
    </w:p>
    <w:p>
      <w:pPr>
        <w:spacing w:after="120" w:line="300"/>
      </w:pPr>
      <w:r>
        <w:rPr>
          <w:rFonts w:ascii="游明朝" w:cs="游明朝" w:eastAsia="游明朝" w:hAnsi="游明朝"/>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749"/>
        <w:gridCol w:w="936"/>
        <w:gridCol w:w="1123"/>
        <w:gridCol w:w="1123"/>
        <w:gridCol w:w="1872"/>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県内の中央値と比べると、遅れているのは2目標だけです</w:t>
      </w:r>
    </w:p>
    <w:p>
      <w:pPr>
        <w:spacing w:after="120" w:line="300"/>
      </w:pPr>
      <w:r>
        <w:rPr>
          <w:rFonts w:ascii="游明朝" w:cs="游明朝" w:eastAsia="游明朝" w:hAnsi="游明朝"/>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1123"/>
        <w:gridCol w:w="749"/>
        <w:gridCol w:w="1123"/>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要改善の項目と点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8項目 28点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4項目 30点</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spacing w:after="100" w:line="300"/>
      </w:pPr>
      <w:r>
        <w:rPr>
          <w:rFonts w:ascii="游ゴシック" w:cs="游ゴシック" w:eastAsia="游ゴシック" w:hAnsi="游ゴシック"/>
          <w:b/>
          <w:bCs/>
          <w:color w:val="2E75B6"/>
          <w:sz w:val="21"/>
          <w:szCs w:val="21"/>
        </w:rPr>
        <w:t xml:space="preserve">福島県の評価と重ねると</w:t>
      </w:r>
    </w:p>
    <w:p>
      <w:pPr>
        <w:spacing w:after="120" w:line="300"/>
      </w:pPr>
      <w:r>
        <w:rPr>
          <w:rFonts w:ascii="游明朝" w:cs="游明朝" w:eastAsia="游明朝" w:hAnsi="游明朝"/>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310"/>
        <w:gridCol w:w="1310"/>
        <w:gridCol w:w="280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spacing w:after="100" w:line="300"/>
      </w:pPr>
      <w:r>
        <w:rPr>
          <w:rFonts w:ascii="游ゴシック" w:cs="游ゴシック" w:eastAsia="游ゴシック" w:hAnsi="游ゴシック"/>
          <w:b/>
          <w:bCs/>
          <w:color w:val="2E75B6"/>
          <w:sz w:val="21"/>
          <w:szCs w:val="21"/>
        </w:rPr>
        <w:t xml:space="preserve">悪化した115点のうち、村の取組の後退は15点です</w:t>
      </w:r>
    </w:p>
    <w:p>
      <w:pPr>
        <w:spacing w:after="120" w:line="300"/>
      </w:pPr>
      <w:r>
        <w:rPr>
          <w:rFonts w:ascii="游明朝" w:cs="游明朝" w:eastAsia="游明朝" w:hAnsi="游明朝"/>
          <w:sz w:val="21"/>
          <w:szCs w:val="21"/>
        </w:rPr>
        <w:t xml:space="preserve">上の推移で悪化した23項目115点の内訳を分けると、村の取組が後退したといえるのは3項目15点に限られます。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749"/>
        <w:gridCol w:w="655"/>
        <w:gridCol w:w="1030"/>
        <w:gridCol w:w="936"/>
        <w:gridCol w:w="318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性質</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村の取組。令和6・7年度は取得していた</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退した3項目はいずれも全国の65〜86%が取得している項目で、令和6年度・令和7年度は本村も取得していました。取組が止まったのか、国への該当状況調査票の記載によるものかを確認したうえで、取組が止まっているのであれば令和9年度の評価で取り戻せます。合わせて15点です。</w:t>
      </w:r>
    </w:p>
    <w:p>
      <w:pPr>
        <w:spacing w:after="100" w:line="300"/>
      </w:pPr>
      <w:r>
        <w:rPr>
          <w:rFonts w:ascii="游ゴシック" w:cs="游ゴシック" w:eastAsia="游ゴシック" w:hAnsi="游ゴシック"/>
          <w:b/>
          <w:bCs/>
          <w:color w:val="2E75B6"/>
          <w:sz w:val="21"/>
          <w:szCs w:val="21"/>
        </w:rPr>
        <w:t xml:space="preserve">成果指標群（目標Ⅳ）は令和8年度に低下しました</w:t>
      </w:r>
    </w:p>
    <w:p>
      <w:pPr>
        <w:spacing w:after="120" w:line="300"/>
      </w:pPr>
      <w:r>
        <w:rPr>
          <w:rFonts w:ascii="游明朝" w:cs="游明朝" w:eastAsia="游明朝" w:hAnsi="游明朝"/>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4680"/>
        <w:gridCol w:w="936"/>
        <w:gridCol w:w="2059"/>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第9期の課題（要約）</w:t>
      </w:r>
    </w:p>
    <w:p>
      <w:pPr>
        <w:spacing w:after="120" w:line="300"/>
      </w:pPr>
      <w:r>
        <w:rPr>
          <w:rFonts w:ascii="游明朝" w:cs="游明朝" w:eastAsia="游明朝" w:hAnsi="游明朝"/>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054"/>
        <w:gridCol w:w="374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pPr>
      <w:r>
        <w:rPr>
          <w:rFonts w:ascii="游明朝" w:cs="游明朝" w:eastAsia="游明朝" w:hAnsi="游明朝"/>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pPr>
      <w:r>
        <w:rPr>
          <w:rFonts w:ascii="游明朝" w:cs="游明朝" w:eastAsia="游明朝" w:hAnsi="游明朝"/>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spacing w:after="100" w:line="300"/>
      </w:pPr>
      <w:r>
        <w:rPr>
          <w:rFonts w:ascii="游ゴシック" w:cs="游ゴシック" w:eastAsia="游ゴシック" w:hAnsi="游ゴシック"/>
          <w:b/>
          <w:bCs/>
          <w:color w:val="2E75B6"/>
          <w:sz w:val="21"/>
          <w:szCs w:val="21"/>
        </w:rPr>
        <w:t xml:space="preserve">割合の分母について（本資料に共通する約束ごと）</w:t>
      </w:r>
    </w:p>
    <w:p>
      <w:pPr>
        <w:spacing w:after="120" w:line="300"/>
      </w:pPr>
      <w:r>
        <w:rPr>
          <w:rFonts w:ascii="游明朝" w:cs="游明朝" w:eastAsia="游明朝" w:hAnsi="游明朝"/>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8798"/>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本資料の約束ごと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931"/>
        <w:gridCol w:w="337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在宅の要介護認定者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spacing w:after="100" w:line="300"/>
      </w:pPr>
      <w:r>
        <w:rPr>
          <w:rFonts w:ascii="游ゴシック" w:cs="游ゴシック" w:eastAsia="游ゴシック" w:hAnsi="游ゴシック"/>
          <w:b/>
          <w:bCs/>
          <w:color w:val="2E75B6"/>
          <w:sz w:val="21"/>
          <w:szCs w:val="21"/>
        </w:rPr>
        <w:t xml:space="preserve">地区別の回収状況</w:t>
      </w:r>
    </w:p>
    <w:p>
      <w:pPr>
        <w:spacing w:after="120" w:line="300"/>
      </w:pPr>
      <w:r>
        <w:rPr>
          <w:rFonts w:ascii="游明朝" w:cs="游明朝" w:eastAsia="游明朝" w:hAnsi="游明朝"/>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498"/>
        <w:gridCol w:w="1498"/>
        <w:gridCol w:w="3556"/>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（参考）第9期の対象者数／回収率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329人／57.4%</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200人／55.0%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114人／59.6%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240人／58.8%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883人／57.6%</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地区別の回収率の分母は、各地区の対象者数（発送数）である。全体の回収率と地区別の回収率は分母が異なるため、地区別の回収率を平均しても全体の回収率にはならない。</w:t>
      </w:r>
    </w:p>
    <w:p>
      <w:pPr>
        <w:spacing w:after="100" w:line="300"/>
      </w:pPr>
      <w:r>
        <w:rPr>
          <w:rFonts w:ascii="游ゴシック" w:cs="游ゴシック" w:eastAsia="游ゴシック" w:hAnsi="游ゴシック"/>
          <w:b/>
          <w:bCs/>
          <w:color w:val="2E75B6"/>
          <w:sz w:val="21"/>
          <w:szCs w:val="21"/>
        </w:rPr>
        <w:t xml:space="preserve">対象者の属性（回収の偏りを見るための基準）</w:t>
      </w:r>
    </w:p>
    <w:p>
      <w:pPr>
        <w:spacing w:after="120" w:line="300"/>
      </w:pPr>
      <w:r>
        <w:rPr>
          <w:rFonts w:ascii="游明朝" w:cs="游明朝" w:eastAsia="游明朝" w:hAnsi="游明朝"/>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650"/>
        <w:gridCol w:w="365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在宅介護実態調査（118人）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12人（10.2%）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25人（21.2%）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81人（68.6%）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36人（30.5%）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82人（69.5%）</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spacing w:after="100" w:line="300"/>
      </w:pPr>
      <w:r>
        <w:rPr>
          <w:rFonts w:ascii="游ゴシック" w:cs="游ゴシック" w:eastAsia="游ゴシック" w:hAnsi="游ゴシック"/>
          <w:b/>
          <w:bCs/>
          <w:color w:val="2E75B6"/>
          <w:sz w:val="21"/>
          <w:szCs w:val="21"/>
        </w:rPr>
        <w:t xml:space="preserve">回答方法別の状況（第10期の新規）</w:t>
      </w:r>
    </w:p>
    <w:p>
      <w:pPr>
        <w:spacing w:after="120" w:line="300"/>
      </w:pPr>
      <w:r>
        <w:rPr>
          <w:rFonts w:ascii="游明朝" w:cs="游明朝" w:eastAsia="游明朝" w:hAnsi="游明朝"/>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276"/>
        <w:gridCol w:w="327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生活機能からみた高齢者の姿</w:t>
      </w:r>
    </w:p>
    <w:p>
      <w:pPr>
        <w:spacing w:after="120" w:line="300"/>
      </w:pPr>
      <w:r>
        <w:rPr>
          <w:rFonts w:ascii="游明朝" w:cs="游明朝" w:eastAsia="游明朝" w:hAnsi="游明朝"/>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元気な軽度者はどれくらいいるか</w:t>
      </w:r>
    </w:p>
    <w:p>
      <w:pPr>
        <w:spacing w:after="120" w:line="300"/>
      </w:pPr>
      <w:r>
        <w:rPr>
          <w:rFonts w:ascii="游明朝" w:cs="游明朝" w:eastAsia="游明朝" w:hAnsi="游明朝"/>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1685"/>
        <w:gridCol w:w="1685"/>
        <w:gridCol w:w="1872"/>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本表は要介護認定データとの関連付けを前提とする。村からの認定データの提供が10月中旬に間に合わない場合、3-3と3-4および3-6は作成できない。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生活機能からみた4つの層</w:t>
      </w:r>
    </w:p>
    <w:p>
      <w:pPr>
        <w:spacing w:after="120" w:line="300"/>
      </w:pPr>
      <w:r>
        <w:rPr>
          <w:rFonts w:ascii="游明朝" w:cs="游明朝" w:eastAsia="游明朝" w:hAnsi="游明朝"/>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872"/>
        <w:gridCol w:w="1123"/>
        <w:gridCol w:w="112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spacing w:after="100" w:line="300"/>
      </w:pPr>
      <w:r>
        <w:rPr>
          <w:rFonts w:ascii="游ゴシック" w:cs="游ゴシック" w:eastAsia="游ゴシック" w:hAnsi="游ゴシック"/>
          <w:b/>
          <w:bCs/>
          <w:color w:val="2E75B6"/>
          <w:sz w:val="21"/>
          <w:szCs w:val="21"/>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498"/>
        <w:gridCol w:w="1498"/>
        <w:gridCol w:w="1498"/>
        <w:gridCol w:w="1498"/>
        <w:gridCol w:w="14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3-5　支え合いの現状と孤立</w:t>
      </w:r>
    </w:p>
    <w:p>
      <w:pPr>
        <w:spacing w:after="120" w:line="300"/>
      </w:pPr>
      <w:r>
        <w:rPr>
          <w:rFonts w:ascii="游明朝" w:cs="游明朝" w:eastAsia="游明朝" w:hAnsi="游明朝"/>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2434"/>
        <w:gridCol w:w="2058"/>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spacing w:after="100" w:line="300"/>
      </w:pPr>
      <w:r>
        <w:rPr>
          <w:rFonts w:ascii="游ゴシック" w:cs="游ゴシック" w:eastAsia="游ゴシック" w:hAnsi="游ゴシック"/>
          <w:b/>
          <w:bCs/>
          <w:color w:val="2E75B6"/>
          <w:sz w:val="21"/>
          <w:szCs w:val="21"/>
        </w:rPr>
        <w:t xml:space="preserve">独居・高齢者のみ世帯の状況</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3-6　担い手の可能性</w:t>
      </w:r>
    </w:p>
    <w:p>
      <w:pPr>
        <w:spacing w:after="120" w:line="300"/>
      </w:pPr>
      <w:r>
        <w:rPr>
          <w:rFonts w:ascii="游明朝" w:cs="游明朝" w:eastAsia="游明朝" w:hAnsi="游明朝"/>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2434"/>
        <w:gridCol w:w="1498"/>
        <w:gridCol w:w="131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pPr>
      <w:r>
        <w:rPr>
          <w:rFonts w:ascii="游明朝" w:cs="游明朝" w:eastAsia="游明朝" w:hAnsi="游明朝"/>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872"/>
        <w:gridCol w:w="2059"/>
        <w:gridCol w:w="2434"/>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時間の余裕がある層</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つながりのある層</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3-7　地区別の課題（移動・除雪）</w:t>
      </w:r>
    </w:p>
    <w:p>
      <w:pPr>
        <w:spacing w:after="120" w:line="300"/>
      </w:pPr>
      <w:r>
        <w:rPr>
          <w:rFonts w:ascii="游明朝" w:cs="游明朝" w:eastAsia="游明朝" w:hAnsi="游明朝"/>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2621"/>
        <w:gridCol w:w="1685"/>
        <w:gridCol w:w="1872"/>
        <w:gridCol w:w="187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同（移動）</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自分で運転する方の割合が下がる一方で代替手段がない地区があれば、移動支援の優先度が高いことを意味する。施策2-1の組み立てに用いる。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3-8　在宅生活の継続に必要な支援</w:t>
      </w:r>
    </w:p>
    <w:p>
      <w:pPr>
        <w:spacing w:after="120" w:line="300"/>
      </w:pPr>
      <w:r>
        <w:rPr>
          <w:rFonts w:ascii="游明朝" w:cs="游明朝" w:eastAsia="游明朝" w:hAnsi="游明朝"/>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370"/>
        <w:gridCol w:w="2808"/>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施策との関係</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施策2-5・3-1・3-4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施策3-2・3-3（見込量の前提）</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spacing w:after="100" w:line="300"/>
      </w:pPr>
      <w:r>
        <w:rPr>
          <w:rFonts w:ascii="游ゴシック" w:cs="游ゴシック" w:eastAsia="游ゴシック" w:hAnsi="游ゴシック"/>
          <w:b/>
          <w:bCs/>
          <w:color w:val="2E75B6"/>
          <w:sz w:val="21"/>
          <w:szCs w:val="21"/>
        </w:rPr>
        <w:t xml:space="preserve">施設入所の検討状況と村内施設の有無</w:t>
      </w:r>
    </w:p>
    <w:p>
      <w:pPr>
        <w:spacing w:after="120" w:line="300"/>
      </w:pPr>
      <w:r>
        <w:rPr>
          <w:rFonts w:ascii="游明朝" w:cs="游明朝" w:eastAsia="游明朝" w:hAnsi="游明朝"/>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621"/>
        <w:gridCol w:w="3369"/>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うち村内に施設があれば利用したい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spacing w:after="100" w:line="300"/>
      </w:pPr>
      <w:r>
        <w:rPr>
          <w:rFonts w:ascii="游ゴシック" w:cs="游ゴシック" w:eastAsia="游ゴシック" w:hAnsi="游ゴシック"/>
          <w:b/>
          <w:bCs/>
          <w:color w:val="2E75B6"/>
          <w:sz w:val="21"/>
          <w:szCs w:val="21"/>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591"/>
        <w:gridCol w:w="1123"/>
        <w:gridCol w:w="1310"/>
        <w:gridCol w:w="1872"/>
        <w:gridCol w:w="2060"/>
      </w:tblGrid>
      <w:tr>
        <w:trPr>
          <w:tblHeader/>
        </w:trPr>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続けられない・わからない</w:t>
            </w:r>
          </w:p>
        </w:tc>
      </w:tr>
      <w:t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3-9　調査から見えた課題</w:t>
      </w:r>
    </w:p>
    <w:p>
      <w:pPr>
        <w:spacing w:after="120" w:line="300"/>
      </w:pPr>
      <w:r>
        <w:rPr>
          <w:rFonts w:ascii="游明朝" w:cs="游明朝" w:eastAsia="游明朝" w:hAnsi="游明朝"/>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3182"/>
        <w:gridCol w:w="243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対応する施策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3-1・3-4・2-5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明朝" w:cs="游明朝" w:eastAsia="游明朝" w:hAnsi="游明朝"/>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803"/>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第9期の基本理念と基本目標（振り返り）</w:t>
      </w:r>
    </w:p>
    <w:p>
      <w:pPr>
        <w:spacing w:after="120" w:line="300"/>
      </w:pPr>
      <w:r>
        <w:rPr>
          <w:rFonts w:ascii="游明朝" w:cs="游明朝" w:eastAsia="游明朝" w:hAnsi="游明朝"/>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936"/>
        <w:gridCol w:w="4118"/>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第10期の基本理念（案）</w:t>
      </w:r>
    </w:p>
    <w:p>
      <w:pPr>
        <w:spacing w:after="100" w:line="300"/>
      </w:pPr>
      <w:r>
        <w:rPr>
          <w:rFonts w:ascii="游ゴシック" w:cs="游ゴシック" w:eastAsia="游ゴシック" w:hAnsi="游ゴシック"/>
          <w:b/>
          <w:bCs/>
          <w:color w:val="2E75B6"/>
          <w:sz w:val="21"/>
          <w:szCs w:val="21"/>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明朝" w:cs="游明朝" w:eastAsia="游明朝" w:hAnsi="游明朝"/>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spacing w:after="100" w:line="300"/>
      </w:pPr>
      <w:r>
        <w:rPr>
          <w:rFonts w:ascii="游ゴシック" w:cs="游ゴシック" w:eastAsia="游ゴシック" w:hAnsi="游ゴシック"/>
          <w:b/>
          <w:bCs/>
          <w:color w:val="2E75B6"/>
          <w:sz w:val="21"/>
          <w:szCs w:val="21"/>
        </w:rPr>
        <w:t xml:space="preserve">案B　基本理念を継承したうえで、副題を加える</w:t>
      </w:r>
    </w:p>
    <w:p>
      <w:pPr>
        <w:spacing w:after="120" w:line="300"/>
      </w:pPr>
      <w:r>
        <w:rPr>
          <w:rFonts w:ascii="游明朝" w:cs="游明朝" w:eastAsia="游明朝" w:hAnsi="游明朝"/>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副題を加えると方向性は明確になりますが、第9期からの連続性が見えにくくなります。また、計画書・概要版・関連計画の表記をすべて揃える必要があります。</w:t>
      </w:r>
    </w:p>
    <w:p>
      <w:pPr>
        <w:spacing w:after="100" w:line="300"/>
      </w:pPr>
      <w:r>
        <w:rPr>
          <w:rFonts w:ascii="游ゴシック" w:cs="游ゴシック" w:eastAsia="游ゴシック" w:hAnsi="游ゴシック"/>
          <w:b/>
          <w:bCs/>
          <w:color w:val="2E75B6"/>
          <w:sz w:val="21"/>
          <w:szCs w:val="21"/>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基本目標（案）</w:t>
      </w:r>
    </w:p>
    <w:p>
      <w:pPr>
        <w:spacing w:after="120" w:line="300"/>
      </w:pPr>
      <w:r>
        <w:rPr>
          <w:rFonts w:ascii="游明朝" w:cs="游明朝" w:eastAsia="游明朝" w:hAnsi="游明朝"/>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4306"/>
        <w:gridCol w:w="168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基本目標5を新設する理由</w:t>
      </w:r>
    </w:p>
    <w:p>
      <w:pPr>
        <w:spacing w:after="120" w:line="300"/>
      </w:pPr>
      <w:r>
        <w:rPr>
          <w:rFonts w:ascii="游明朝" w:cs="游明朝" w:eastAsia="游明朝" w:hAnsi="游明朝"/>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明朝" w:cs="游明朝" w:eastAsia="游明朝" w:hAnsi="游明朝"/>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基本目標として独立させるか、各基本目標に横断的に組み込むかは構成上の選択です。独立させることを提案しますが、ご議論をお願いします（論点2）。</w:t>
      </w:r>
    </w:p>
    <w:p>
      <w:pPr>
        <w:spacing w:after="100" w:line="300"/>
      </w:pPr>
      <w:r>
        <w:rPr>
          <w:rFonts w:ascii="游ゴシック" w:cs="游ゴシック" w:eastAsia="游ゴシック" w:hAnsi="游ゴシック"/>
          <w:b/>
          <w:bCs/>
          <w:color w:val="2E75B6"/>
          <w:sz w:val="21"/>
          <w:szCs w:val="21"/>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5429"/>
        <w:gridCol w:w="1497"/>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施策の体系（案）</w:t>
      </w:r>
    </w:p>
    <w:p>
      <w:pPr>
        <w:spacing w:after="120" w:line="300"/>
      </w:pPr>
      <w:r>
        <w:rPr>
          <w:rFonts w:ascii="游明朝" w:cs="游明朝" w:eastAsia="游明朝" w:hAnsi="游明朝"/>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pPr>
        <w:spacing w:after="60" w:before="160"/>
        <w:jc w:val="center"/>
      </w:pPr>
      <w:r>
        <w:drawing>
          <wp:inline distT="0" distB="0" distL="0" distR="0">
            <wp:extent cx="5762625" cy="929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9296400"/>
                    </a:xfrm>
                    <a:prstGeom prst="rect">
                      <a:avLst/>
                    </a:prstGeom>
                  </pic:spPr>
                </pic:pic>
              </a:graphicData>
            </a:graphic>
          </wp:inline>
        </w:drawing>
      </w:r>
    </w:p>
    <w:p>
      <w:pPr>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pPr>
      <w:r>
        <w:rPr>
          <w:rFonts w:ascii="游明朝" w:cs="游明朝" w:eastAsia="游明朝" w:hAnsi="游明朝"/>
          <w:sz w:val="21"/>
          <w:szCs w:val="21"/>
        </w:rPr>
        <w:t xml:space="preserve">以下、基本目標ごとに施策のねらいを示します。</w:t>
      </w:r>
    </w:p>
    <w:p>
      <w:pPr>
        <w:spacing w:after="100" w:line="300"/>
      </w:pPr>
      <w:r>
        <w:rPr>
          <w:rFonts w:ascii="游ゴシック" w:cs="游ゴシック" w:eastAsia="游ゴシック" w:hAnsi="游ゴシック"/>
          <w:b/>
          <w:bCs/>
          <w:color w:val="2E75B6"/>
          <w:sz w:val="21"/>
          <w:szCs w:val="21"/>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spacing w:after="100" w:line="300"/>
      </w:pPr>
      <w:r>
        <w:rPr>
          <w:rFonts w:ascii="游ゴシック" w:cs="游ゴシック" w:eastAsia="游ゴシック" w:hAnsi="游ゴシック"/>
          <w:b/>
          <w:bCs/>
          <w:color w:val="2E75B6"/>
          <w:sz w:val="21"/>
          <w:szCs w:val="21"/>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令和4年度に評価が改善。生活支援サービス事業による移動支援の創設を検討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spacing w:after="100" w:line="300"/>
      </w:pPr>
      <w:r>
        <w:rPr>
          <w:rFonts w:ascii="游ゴシック" w:cs="游ゴシック" w:eastAsia="游ゴシック" w:hAnsi="游ゴシック"/>
          <w:b/>
          <w:bCs/>
          <w:color w:val="2E75B6"/>
          <w:sz w:val="21"/>
          <w:szCs w:val="21"/>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第9期からの変更点</w:t>
      </w:r>
    </w:p>
    <w:p>
      <w:pPr>
        <w:spacing w:after="120" w:line="300"/>
      </w:pPr>
      <w:r>
        <w:rPr>
          <w:rFonts w:ascii="游明朝" w:cs="游明朝" w:eastAsia="游明朝" w:hAnsi="游明朝"/>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936"/>
        <w:gridCol w:w="692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5803"/>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関連計画との整合</w:t>
      </w:r>
    </w:p>
    <w:p>
      <w:pPr>
        <w:spacing w:after="120" w:line="300"/>
      </w:pPr>
      <w:r>
        <w:rPr>
          <w:rFonts w:ascii="游明朝" w:cs="游明朝" w:eastAsia="游明朝" w:hAnsi="游明朝"/>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5990"/>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次期の総合振興計画・生涯学習推進計画の策定状況を確認のうえ、記述を確定します。</w:t>
      </w:r>
    </w:p>
    <w:p>
      <w:pPr>
        <w:spacing w:after="100" w:line="300"/>
      </w:pPr>
      <w:r>
        <w:rPr>
          <w:rFonts w:ascii="游ゴシック" w:cs="游ゴシック" w:eastAsia="游ゴシック" w:hAnsi="游ゴシック"/>
          <w:b/>
          <w:bCs/>
          <w:color w:val="2E75B6"/>
          <w:sz w:val="21"/>
          <w:szCs w:val="21"/>
        </w:rPr>
        <w:t xml:space="preserve">生涯学習推進計画との施策の重複について</w:t>
      </w:r>
    </w:p>
    <w:p>
      <w:pPr>
        <w:spacing w:after="120" w:line="300"/>
      </w:pPr>
      <w:r>
        <w:rPr>
          <w:rFonts w:ascii="游明朝" w:cs="游明朝" w:eastAsia="游明朝" w:hAnsi="游明朝"/>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明朝" w:cs="游明朝" w:eastAsia="游明朝" w:hAnsi="游明朝"/>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pPr>
      <w:r>
        <w:rPr>
          <w:rFonts w:ascii="游明朝" w:cs="游明朝" w:eastAsia="游明朝" w:hAnsi="游明朝"/>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306"/>
        <w:gridCol w:w="411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状態</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確定（考え方）</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算定済み（暫定値）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★本日の主たる論点</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ご判断をいただきます</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調査結果を待って確定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数値はすべて暫定値です。据え置いた項目と確定の条件は、計画素案5-12に31項目を一覧化しています。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推計の手順と前提</w:t>
      </w:r>
    </w:p>
    <w:p>
      <w:pPr>
        <w:spacing w:after="120" w:line="300"/>
      </w:pPr>
      <w:r>
        <w:rPr>
          <w:rFonts w:ascii="游明朝" w:cs="游明朝" w:eastAsia="游明朝" w:hAnsi="游明朝"/>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段階2の変更について</w:t>
      </w:r>
    </w:p>
    <w:p>
      <w:pPr>
        <w:spacing w:after="120" w:line="300"/>
      </w:pPr>
      <w:r>
        <w:rPr>
          <w:rFonts w:ascii="游明朝" w:cs="游明朝" w:eastAsia="游明朝" w:hAnsi="游明朝"/>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明朝" w:cs="游明朝" w:eastAsia="游明朝" w:hAnsi="游明朝"/>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685"/>
        <w:gridCol w:w="1310"/>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将来人口と認定者数の見通し</w:t>
      </w:r>
    </w:p>
    <w:p>
      <w:pPr>
        <w:spacing w:after="120" w:line="300"/>
      </w:pPr>
      <w:r>
        <w:rPr>
          <w:rFonts w:ascii="游明朝" w:cs="游明朝" w:eastAsia="游明朝" w:hAnsi="游明朝"/>
          <w:sz w:val="21"/>
          <w:szCs w:val="21"/>
        </w:rPr>
        <w:t xml:space="preserve">本村の第1号被保険者数は減少局面に入っています。ただし後期高齢者（75歳以上）は令和12年（2030年）の547人がピークで、第10期（令和9〜11年度）はその増加のまっただ中にあたります。</w:t>
      </w:r>
    </w:p>
    <w:p>
      <w:pPr>
        <w:spacing w:after="100" w:line="300"/>
      </w:pPr>
      <w:r>
        <w:rPr>
          <w:rFonts w:ascii="游ゴシック" w:cs="游ゴシック" w:eastAsia="游ゴシック" w:hAnsi="游ゴシック"/>
          <w:b/>
          <w:bCs/>
          <w:color w:val="2E75B6"/>
          <w:sz w:val="21"/>
          <w:szCs w:val="21"/>
        </w:rPr>
        <w:t xml:space="preserve">配布データによる推計（補正後・各年1月1日時点）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030"/>
        <w:gridCol w:w="1030"/>
        <w:gridCol w:w="1030"/>
        <w:gridCol w:w="1030"/>
        <w:gridCol w:w="1030"/>
        <w:gridCol w:w="1030"/>
        <w:gridCol w:w="11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1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918</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ご議論いただきたい論点：配布データをそのまま用いるかどうか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配布データの令和8年の推計値954人に対し、実績（令和7年12月末の第1号被保険者数）は1,012人で、推計が実績を58人（5.7%）下回っています。これは第9期の乖離6.6%とほぼ同じ規模です。配布データをそのまま用いると、第9期と同じ過少推計を繰り返す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118"/>
        <w:gridCol w:w="1498"/>
        <w:gridCol w:w="1498"/>
        <w:gridCol w:w="1497"/>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931人</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配布データの伸び率を用い、水準を令和8年の実績に合わせる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B案の令和9年は1,004人である。前期高齢者465人・後期高齢者538人の内訳をそれぞれ四捨五入して足すと1,003人になるが、合計を四捨五入した1,004人を用い、保険料の算定（資料6）もこの値による。同じ指標に2つの値が併存しないよう、計画素案・本資料をとおして1,004人に統一してい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村の第1号被保険者数には出所が3つあり、時点も定義も異なるため混ぜてはならない。(1)地域包括ケア「見える化」システムの年度の値（令和6年度1,015人・令和7年度1,011人。第9期の乖離検証と受給率の分母に用いる）、(2)村の住民基本台帳による実績（令和7年12月末1,012人。推計の置き直しの基準）、(3)B案の推計（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spacing w:after="120" w:line="300"/>
      </w:pPr>
      <w:r>
        <w:rPr>
          <w:rFonts w:ascii="游明朝" w:cs="游明朝" w:eastAsia="游明朝" w:hAnsi="游明朝"/>
          <w:sz w:val="21"/>
          <w:szCs w:val="21"/>
        </w:rPr>
        <w:t xml:space="preserve">第1号被保険者数は保険料算定の分母です。分母を小さく見積もれば、1人あたりの必要保険料は同じ割合だけ高く算出されます。A案とB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県の通知は「配布データを参考として適切に設定願います」としており、配布データの使用を義務づけてはいません。当方はB案を提案しますが、ご判断をお願いします。</w:t>
      </w:r>
    </w:p>
    <w:p>
      <w:pPr>
        <w:spacing w:after="100" w:line="300"/>
      </w:pPr>
      <w:r>
        <w:rPr>
          <w:rFonts w:ascii="游ゴシック" w:cs="游ゴシック" w:eastAsia="游ゴシック" w:hAnsi="游ゴシック"/>
          <w:b/>
          <w:bCs/>
          <w:color w:val="2E75B6"/>
          <w:sz w:val="21"/>
          <w:szCs w:val="21"/>
        </w:rPr>
        <w:t xml:space="preserve">要支援・要介護認定者数の見通し</w:t>
      </w:r>
    </w:p>
    <w:p>
      <w:pPr>
        <w:spacing w:after="120" w:line="300"/>
      </w:pPr>
      <w:r>
        <w:rPr>
          <w:rFonts w:ascii="游明朝" w:cs="游明朝" w:eastAsia="游明朝" w:hAnsi="游明朝"/>
          <w:sz w:val="21"/>
          <w:szCs w:val="21"/>
        </w:rPr>
        <w:t xml:space="preserve">第1号被保険者数に要介護度別の認定率を乗じて推計します。認定率は前期高齢者（65〜74歳）と後期高齢者（75歳以上）に分けて算出しました。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後期高齢者の認定率は前期高齢者の約6倍です。本村で今後認定者が増えるのは、高齢者が増えるからではなく、高齢者の中で後期高齢者の比率が上がるためです。</w:t>
      </w:r>
    </w:p>
    <w:p>
      <w:pPr>
        <w:spacing w:after="120" w:line="300"/>
      </w:pPr>
      <w:r>
        <w:rPr>
          <w:rFonts w:ascii="游明朝" w:cs="游明朝" w:eastAsia="游明朝" w:hAnsi="游明朝"/>
          <w:sz w:val="21"/>
          <w:szCs w:val="21"/>
        </w:rPr>
        <w:t xml:space="preserve">B案（実績にリベース）と令和8年の認定率を用いた場合の推計は次のとおりです。令和8年は実績を置き、令和9年以降は前期高齢者・後期高齢者それぞれの要介護度別認定率をB案の人口に乗じた値です。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第1号被保険者数が令和8年から令和11年にかけて25人（2.5%）減るなかで、認定者数は6人（2.8%）増えます。後期高齢者の比率が52.0%から57.0%に上がるためです。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令和8年の欄は令和8年3月末の実績（計画素案2-3・5-3と同じ値）である。令和9年以降の「計」は要介護度別の値を四捨五入する前に合計し、その合計を四捨五入した値であるため、要介護度別の数字をそのまま足した値と最大1人違う（令和9年は内訳の和213人・計214人、令和10年は内訳の和218人・計217人）。保険料の算定には「計」の値を用いている。</w:t>
      </w:r>
    </w:p>
    <w:p>
      <w:pPr>
        <w:spacing w:after="100" w:line="300"/>
      </w:pPr>
      <w:r>
        <w:rPr>
          <w:rFonts w:ascii="游ゴシック" w:cs="游ゴシック" w:eastAsia="游ゴシック" w:hAnsi="游ゴシック"/>
          <w:b/>
          <w:bCs/>
          <w:color w:val="2E75B6"/>
          <w:sz w:val="21"/>
          <w:szCs w:val="21"/>
        </w:rPr>
        <w:t xml:space="preserve">ご議論いただきたい論点：認定率をどう置くか</w:t>
      </w:r>
    </w:p>
    <w:p>
      <w:pPr>
        <w:spacing w:after="120" w:line="300"/>
      </w:pPr>
      <w:r>
        <w:rPr>
          <w:rFonts w:ascii="游明朝" w:cs="游明朝" w:eastAsia="游明朝" w:hAnsi="游明朝"/>
          <w:sz w:val="21"/>
          <w:szCs w:val="21"/>
        </w:rPr>
        <w:t xml:space="preserve">認定者数は、以降のサービス見込み量・給付費・保険料のすべての基礎になります。認定率の置き方により次の幅が生じます。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1123"/>
        <w:gridCol w:w="1123"/>
        <w:gridCol w:w="1591"/>
        <w:gridCol w:w="159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【当方の提案】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③は、本村の認定率が令和2年3月末の17.4%から令和8年3月末の21.1%へ、6年間で年平均0.62ポイント上昇してきた傾向が続くと置いたものです。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①を提案するのは、本村は認定者が200人程度と少なく、単年度の認定率は数人の増減で動くためです。ただし①は3つのなかで最も低い見込みであり、認定率の上昇が続けば下振れします。幅は令和11年で6人、保険料基準額で月額約170円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サービス種類別の見込み量</w:t>
      </w:r>
    </w:p>
    <w:p>
      <w:pPr>
        <w:spacing w:after="120" w:line="300"/>
      </w:pPr>
      <w:r>
        <w:rPr>
          <w:rFonts w:ascii="游明朝" w:cs="游明朝" w:eastAsia="游明朝" w:hAnsi="游明朝"/>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spacing w:after="100" w:line="300"/>
      </w:pPr>
      <w:r>
        <w:rPr>
          <w:rFonts w:ascii="游ゴシック" w:cs="游ゴシック" w:eastAsia="游ゴシック" w:hAnsi="游ゴシック"/>
          <w:b/>
          <w:bCs/>
          <w:color w:val="2E75B6"/>
          <w:sz w:val="21"/>
          <w:szCs w:val="21"/>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217"/>
        <w:gridCol w:w="1217"/>
        <w:gridCol w:w="1217"/>
        <w:gridCol w:w="1217"/>
        <w:gridCol w:w="1217"/>
        <w:gridCol w:w="1216"/>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単位：人／月　令和5〜7年度は実績、令和9年度以降は見込みです。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spacing w:after="100" w:line="300"/>
      </w:pPr>
      <w:r>
        <w:rPr>
          <w:rFonts w:ascii="游ゴシック" w:cs="游ゴシック" w:eastAsia="游ゴシック" w:hAnsi="游ゴシック"/>
          <w:b/>
          <w:bCs/>
          <w:color w:val="2E75B6"/>
          <w:sz w:val="21"/>
          <w:szCs w:val="21"/>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123"/>
        <w:gridCol w:w="1404"/>
        <w:gridCol w:w="1404"/>
        <w:gridCol w:w="1404"/>
        <w:gridCol w:w="140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498"/>
        <w:gridCol w:w="168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spacing w:after="100" w:line="300"/>
      </w:pPr>
      <w:r>
        <w:rPr>
          <w:rFonts w:ascii="游ゴシック" w:cs="游ゴシック" w:eastAsia="游ゴシック" w:hAnsi="游ゴシック"/>
          <w:b/>
          <w:bCs/>
          <w:color w:val="2E75B6"/>
          <w:sz w:val="21"/>
          <w:szCs w:val="21"/>
        </w:rPr>
        <w:t xml:space="preserve">実績のないサービスの扱い</w:t>
      </w:r>
    </w:p>
    <w:p>
      <w:pPr>
        <w:spacing w:after="120" w:line="300"/>
      </w:pPr>
      <w:r>
        <w:rPr>
          <w:rFonts w:ascii="游明朝" w:cs="游明朝" w:eastAsia="游明朝" w:hAnsi="游明朝"/>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推計の幅をどう考えるか</w:t>
      </w:r>
    </w:p>
    <w:p>
      <w:pPr>
        <w:spacing w:after="120" w:line="300"/>
      </w:pPr>
      <w:r>
        <w:rPr>
          <w:rFonts w:ascii="游明朝" w:cs="游明朝" w:eastAsia="游明朝" w:hAnsi="游明朝"/>
          <w:sz w:val="21"/>
          <w:szCs w:val="21"/>
        </w:rPr>
        <w:t xml:space="preserve">本節は、数値そのものではなく、その数値がどれだけ確かなものかについてご説明します。保険料の議論（資料6）の前提になります。</w:t>
      </w:r>
    </w:p>
    <w:p>
      <w:pPr>
        <w:spacing w:after="120" w:line="300"/>
      </w:pPr>
      <w:r>
        <w:rPr>
          <w:rFonts w:ascii="游明朝" w:cs="游明朝" w:eastAsia="游明朝" w:hAnsi="游明朝"/>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spacing w:after="100" w:line="300"/>
      </w:pPr>
      <w:r>
        <w:rPr>
          <w:rFonts w:ascii="游ゴシック" w:cs="游ゴシック" w:eastAsia="游ゴシック" w:hAnsi="游ゴシック"/>
          <w:b/>
          <w:bCs/>
          <w:color w:val="2E75B6"/>
          <w:sz w:val="21"/>
          <w:szCs w:val="21"/>
        </w:rPr>
        <w:t xml:space="preserve">① 単価が趨勢的に上がっていること</w:t>
      </w:r>
    </w:p>
    <w:p>
      <w:pPr>
        <w:spacing w:after="120" w:line="300"/>
      </w:pPr>
      <w:r>
        <w:rPr>
          <w:rFonts w:ascii="游明朝" w:cs="游明朝" w:eastAsia="游明朝" w:hAnsi="游明朝"/>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spacing w:after="100" w:line="300"/>
      </w:pPr>
      <w:r>
        <w:rPr>
          <w:rFonts w:ascii="游ゴシック" w:cs="游ゴシック" w:eastAsia="游ゴシック" w:hAnsi="游ゴシック"/>
          <w:b/>
          <w:bCs/>
          <w:color w:val="2E75B6"/>
          <w:sz w:val="21"/>
          <w:szCs w:val="21"/>
        </w:rPr>
        <w:t xml:space="preserve">② サービスごとの伸びが大きく違うこと</w:t>
      </w:r>
    </w:p>
    <w:p>
      <w:pPr>
        <w:spacing w:after="120" w:line="300"/>
      </w:pPr>
      <w:r>
        <w:rPr>
          <w:rFonts w:ascii="游明朝" w:cs="游明朝" w:eastAsia="游明朝" w:hAnsi="游明朝"/>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pPr>
      <w:r>
        <w:rPr>
          <w:rFonts w:ascii="游明朝" w:cs="游明朝" w:eastAsia="游明朝" w:hAnsi="游明朝"/>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spacing w:after="100" w:line="300"/>
      </w:pPr>
      <w:r>
        <w:rPr>
          <w:rFonts w:ascii="游ゴシック" w:cs="游ゴシック" w:eastAsia="游ゴシック" w:hAnsi="游ゴシック"/>
          <w:b/>
          <w:bCs/>
          <w:color w:val="2E75B6"/>
          <w:sz w:val="21"/>
          <w:szCs w:val="21"/>
        </w:rPr>
        <w:t xml:space="preserve">③ 推計そのものに誤差があること</w:t>
      </w:r>
    </w:p>
    <w:p>
      <w:pPr>
        <w:spacing w:after="120" w:line="300"/>
      </w:pPr>
      <w:r>
        <w:rPr>
          <w:rFonts w:ascii="游明朝" w:cs="游明朝" w:eastAsia="游明朝" w:hAnsi="游明朝"/>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1685"/>
        <w:gridCol w:w="2059"/>
        <w:gridCol w:w="2059"/>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pPr>
      <w:r>
        <w:rPr>
          <w:rFonts w:ascii="游明朝" w:cs="游明朝" w:eastAsia="游明朝" w:hAnsi="游明朝"/>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spacing w:after="100" w:line="300"/>
      </w:pPr>
      <w:r>
        <w:rPr>
          <w:rFonts w:ascii="游ゴシック" w:cs="游ゴシック" w:eastAsia="游ゴシック" w:hAnsi="游ゴシック"/>
          <w:b/>
          <w:bCs/>
          <w:color w:val="2E75B6"/>
          <w:sz w:val="21"/>
          <w:szCs w:val="21"/>
        </w:rPr>
        <w:t xml:space="preserve">④ 自己点検の結果</w:t>
      </w:r>
    </w:p>
    <w:p>
      <w:pPr>
        <w:spacing w:after="120" w:line="300"/>
      </w:pPr>
      <w:r>
        <w:rPr>
          <w:rFonts w:ascii="游明朝" w:cs="游明朝" w:eastAsia="游明朝" w:hAnsi="游明朝"/>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pPr>
      <w:r>
        <w:rPr>
          <w:rFonts w:ascii="游明朝" w:cs="游明朝" w:eastAsia="游明朝" w:hAnsi="游明朝"/>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217"/>
        <w:gridCol w:w="1217"/>
        <w:gridCol w:w="1217"/>
        <w:gridCol w:w="1217"/>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前2者は②の指摘がそのまま現れたものです。村の給付実績の提供を受けたうえで、3か年平均によらず令和7年度の水準に置くかどうかをご判断いただきます。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令和9年4月に新設される区分</w:t>
      </w:r>
    </w:p>
    <w:p>
      <w:pPr>
        <w:spacing w:after="120" w:line="300"/>
      </w:pPr>
      <w:r>
        <w:rPr>
          <w:rFonts w:ascii="游明朝" w:cs="游明朝" w:eastAsia="游明朝" w:hAnsi="游明朝"/>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3744"/>
        <w:gridCol w:w="337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pPr>
      <w:r>
        <w:rPr>
          <w:rFonts w:ascii="游明朝" w:cs="游明朝" w:eastAsia="游明朝" w:hAnsi="游明朝"/>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施設整備の論点</w:t>
      </w:r>
    </w:p>
    <w:p>
      <w:pPr>
        <w:spacing w:after="120" w:line="300"/>
      </w:pPr>
      <w:r>
        <w:rPr>
          <w:rFonts w:ascii="游明朝" w:cs="游明朝" w:eastAsia="游明朝" w:hAnsi="游明朝"/>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spacing w:after="100" w:line="300"/>
      </w:pPr>
      <w:r>
        <w:rPr>
          <w:rFonts w:ascii="游ゴシック" w:cs="游ゴシック" w:eastAsia="游ゴシック" w:hAnsi="游ゴシック"/>
          <w:b/>
          <w:bCs/>
          <w:color w:val="2E75B6"/>
          <w:sz w:val="21"/>
          <w:szCs w:val="21"/>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spacing w:after="100" w:line="300"/>
      </w:pPr>
      <w:r>
        <w:rPr>
          <w:rFonts w:ascii="游ゴシック" w:cs="游ゴシック" w:eastAsia="游ゴシック" w:hAnsi="游ゴシック"/>
          <w:b/>
          <w:bCs/>
          <w:color w:val="2E75B6"/>
          <w:sz w:val="21"/>
          <w:szCs w:val="21"/>
        </w:rPr>
        <w:t xml:space="preserve">ご議論いただきたい論点</w:t>
      </w:r>
    </w:p>
    <w:p>
      <w:pPr>
        <w:pStyle w:val="ListParagraph"/>
        <w:numPr>
          <w:ilvl w:val="0"/>
          <w:numId w:val="2"/>
        </w:numPr>
        <w:spacing w:after="60" w:line="300"/>
      </w:pPr>
      <w:r>
        <w:rPr>
          <w:rFonts w:ascii="游明朝" w:cs="游明朝" w:eastAsia="游明朝" w:hAnsi="游明朝"/>
          <w:sz w:val="21"/>
          <w:szCs w:val="21"/>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明朝" w:cs="游明朝" w:eastAsia="游明朝" w:hAnsi="游明朝"/>
          <w:sz w:val="21"/>
          <w:szCs w:val="21"/>
        </w:rPr>
        <w:t xml:space="preserve">第10期で施設整備を議論の対象とするかどうか</w:t>
      </w:r>
    </w:p>
    <w:p>
      <w:pPr>
        <w:pStyle w:val="ListParagraph"/>
        <w:numPr>
          <w:ilvl w:val="0"/>
          <w:numId w:val="2"/>
        </w:numPr>
        <w:spacing w:after="60" w:line="300"/>
      </w:pPr>
      <w:r>
        <w:rPr>
          <w:rFonts w:ascii="游明朝" w:cs="游明朝" w:eastAsia="游明朝" w:hAnsi="游明朝"/>
          <w:sz w:val="21"/>
          <w:szCs w:val="21"/>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介護人材の確保</w:t>
      </w:r>
    </w:p>
    <w:p>
      <w:pPr>
        <w:spacing w:after="120" w:line="300"/>
      </w:pPr>
      <w:r>
        <w:rPr>
          <w:rFonts w:ascii="游明朝" w:cs="游明朝" w:eastAsia="游明朝" w:hAnsi="游明朝"/>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研修の実施実績等のデータが未受領のため、本節は受領後に確定します。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pPr>
      <w:r>
        <w:rPr>
          <w:rFonts w:ascii="游明朝" w:cs="游明朝" w:eastAsia="游明朝" w:hAnsi="游明朝"/>
          <w:sz w:val="21"/>
          <w:szCs w:val="21"/>
        </w:rPr>
        <w:t xml:space="preserve">保険料の確定には国の推計ワークシートと介護給付費準備基金の残高が必要であり、いずれも未受領です。ただし第9期計画の数値から算定の構造を復元できたため、前提を動かしたときに保険料がどう動くかはお示しで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本日ご議論いただきたいのは、①基金の取崩しをどの規模で行うか、②推計の幅をどこまで保険料に織り込むか、の2点です。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第10期の保険料を考える前提</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spacing w:after="100" w:line="300"/>
      </w:pPr>
      <w:r>
        <w:rPr>
          <w:rFonts w:ascii="游ゴシック" w:cs="游ゴシック" w:eastAsia="游ゴシック" w:hAnsi="游ゴシック"/>
          <w:b/>
          <w:bCs/>
          <w:color w:val="2E75B6"/>
          <w:sz w:val="21"/>
          <w:szCs w:val="21"/>
        </w:rPr>
        <w:t xml:space="preserve">(1) 給付費は10年間ほぼ横ばいです</w:t>
      </w:r>
    </w:p>
    <w:p>
      <w:pPr>
        <w:spacing w:after="120" w:line="300"/>
      </w:pPr>
      <w:r>
        <w:rPr>
          <w:rFonts w:ascii="游明朝" w:cs="游明朝" w:eastAsia="游明朝" w:hAnsi="游明朝"/>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spacing w:after="100" w:line="300"/>
      </w:pPr>
      <w:r>
        <w:rPr>
          <w:rFonts w:ascii="游ゴシック" w:cs="游ゴシック" w:eastAsia="游ゴシック" w:hAnsi="游ゴシック"/>
          <w:b/>
          <w:bCs/>
          <w:color w:val="2E75B6"/>
          <w:sz w:val="21"/>
          <w:szCs w:val="21"/>
        </w:rPr>
        <w:t xml:space="preserve">(2) 調整交付金が10年で3分の2に減っています</w:t>
      </w:r>
    </w:p>
    <w:p>
      <w:pPr>
        <w:spacing w:after="120" w:line="300"/>
      </w:pPr>
      <w:r>
        <w:rPr>
          <w:rFonts w:ascii="游明朝" w:cs="游明朝" w:eastAsia="游明朝" w:hAnsi="游明朝"/>
          <w:sz w:val="21"/>
          <w:szCs w:val="21"/>
        </w:rPr>
        <w:t xml:space="preserve">後期高齢者の割合と所得段階の分布による相対評価によるもので、村の努力では動かしにくい部分です。財政の見通しでは減少が続くことを前提に置きます。</w:t>
      </w:r>
    </w:p>
    <w:p>
      <w:pPr>
        <w:spacing w:after="100" w:line="300"/>
      </w:pPr>
      <w:r>
        <w:rPr>
          <w:rFonts w:ascii="游ゴシック" w:cs="游ゴシック" w:eastAsia="游ゴシック" w:hAnsi="游ゴシック"/>
          <w:b/>
          <w:bCs/>
          <w:color w:val="2E75B6"/>
          <w:sz w:val="21"/>
          <w:szCs w:val="21"/>
        </w:rPr>
        <w:t xml:space="preserve">(3) 令和9年度は介護報酬の改定年です</w:t>
      </w:r>
    </w:p>
    <w:p>
      <w:pPr>
        <w:spacing w:after="120" w:line="300"/>
      </w:pPr>
      <w:r>
        <w:rPr>
          <w:rFonts w:ascii="游明朝" w:cs="游明朝" w:eastAsia="游明朝" w:hAnsi="游明朝"/>
          <w:sz w:val="21"/>
          <w:szCs w:val="21"/>
        </w:rPr>
        <w:t xml:space="preserve">第10期の初年度は介護報酬の改定にあたります。議事録の方針に従い、現行単価で一旦試算し、単価の確定後に補正します。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保険料の算定の構造と感応度</w:t>
      </w:r>
    </w:p>
    <w:p>
      <w:pPr>
        <w:spacing w:after="120" w:line="300"/>
      </w:pPr>
      <w:r>
        <w:rPr>
          <w:rFonts w:ascii="游明朝" w:cs="游明朝" w:eastAsia="游明朝" w:hAnsi="游明朝"/>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8611"/>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式</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審査支払手数料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 ＝（① ＋ 総合事業費）× 5％</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どの前提がどれだけ効くか</w:t>
      </w:r>
    </w:p>
    <w:p>
      <w:pPr>
        <w:spacing w:after="120" w:line="300"/>
      </w:pPr>
      <w:r>
        <w:rPr>
          <w:rFonts w:ascii="游明朝" w:cs="游明朝" w:eastAsia="游明朝" w:hAnsi="游明朝"/>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03"/>
        <w:gridCol w:w="3557"/>
      </w:tblGrid>
      <w:tr>
        <w:trPr>
          <w:tblHeader/>
        </w:trPr>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6-3b　保険料の複数案（案）</w:t>
      </w:r>
    </w:p>
    <w:p>
      <w:pPr>
        <w:spacing w:after="120" w:line="300"/>
      </w:pPr>
      <w:r>
        <w:rPr>
          <w:rFonts w:ascii="游明朝" w:cs="游明朝" w:eastAsia="游明朝" w:hAnsi="游明朝"/>
          <w:sz w:val="21"/>
          <w:szCs w:val="21"/>
        </w:rPr>
        <w:t xml:space="preserve">第1号被保険者負担割合と基金の取崩し、給付費の水準を組み合わせた12のパターンで算定しました。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3370"/>
        <w:gridCol w:w="205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12のパターンで5,936円から7,341円まで1,406円の幅があります。第9期の条例基準額は6,700円です。幅の内訳は、基金の取崩し702円、第1号被保険者負担割合294円、給付費の水準279円の順で大きくなっています。</w:t>
      </w:r>
    </w:p>
    <w:p>
      <w:pPr>
        <w:spacing w:after="100" w:line="300"/>
      </w:pPr>
      <w:r>
        <w:rPr>
          <w:rFonts w:ascii="游ゴシック" w:cs="游ゴシック" w:eastAsia="游ゴシック" w:hAnsi="游ゴシック"/>
          <w:b/>
          <w:bCs/>
          <w:color w:val="2E75B6"/>
          <w:sz w:val="21"/>
          <w:szCs w:val="21"/>
        </w:rPr>
        <w:t xml:space="preserve">基金の取崩しについて3つの案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370"/>
        <w:gridCol w:w="2621"/>
        <w:gridCol w:w="2620"/>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基準月額（α23%・推計どおり）</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第10期末の基金残高</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第9期と同程度の基金取崩（24,000千円）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保険料の据置きを優先し、基金を最大限取り崩す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基金の取崩しは次期への先送りです。取り崩した分は第11期の保険料に跳ね返ります。各案について第10期末の基金残高を必ず併記し、次期への影響が見える形でご判断いただきます。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準備基金の残高が未受領です。また、第9期の取崩額について、第9期計画の記載（24,000,000円）と村からのご説明（800万円程度）に差があり、年額か期間合計かの確認をお願いしています。試算の前提が変わるため、資料の作成前に確定させる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所得段階の設定</w:t>
      </w:r>
    </w:p>
    <w:p>
      <w:pPr>
        <w:spacing w:after="120" w:line="300"/>
      </w:pPr>
      <w:r>
        <w:rPr>
          <w:rFonts w:ascii="游明朝" w:cs="游明朝" w:eastAsia="游明朝" w:hAnsi="游明朝"/>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2808"/>
        <w:gridCol w:w="26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2040年に向けた見通し</w:t>
      </w:r>
    </w:p>
    <w:p>
      <w:pPr>
        <w:spacing w:after="120" w:line="300"/>
      </w:pPr>
      <w:r>
        <w:rPr>
          <w:rFonts w:ascii="游明朝" w:cs="游明朝" w:eastAsia="游明朝" w:hAnsi="游明朝"/>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給付費が減っても保険料は下がりません</w:t>
      </w:r>
    </w:p>
    <w:p>
      <w:pPr>
        <w:spacing w:after="120" w:line="300"/>
      </w:pPr>
      <w:r>
        <w:rPr>
          <w:rFonts w:ascii="游明朝" w:cs="游明朝" w:eastAsia="游明朝" w:hAnsi="游明朝"/>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pPr>
      <w:r>
        <w:rPr>
          <w:rFonts w:ascii="游明朝" w:cs="游明朝" w:eastAsia="游明朝" w:hAnsi="游明朝"/>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7-1　指標の設定方針</w:t>
      </w:r>
    </w:p>
    <w:p>
      <w:pPr>
        <w:spacing w:after="120" w:line="300"/>
      </w:pPr>
      <w:r>
        <w:rPr>
          <w:rFonts w:ascii="游明朝" w:cs="游明朝" w:eastAsia="游明朝" w:hAnsi="游明朝"/>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明朝" w:cs="游明朝" w:eastAsia="游明朝" w:hAnsi="游明朝"/>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434"/>
        <w:gridCol w:w="636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7-2　成果目標（アウトカム）</w:t>
      </w:r>
    </w:p>
    <w:p>
      <w:pPr>
        <w:spacing w:after="120" w:line="300"/>
      </w:pPr>
      <w:r>
        <w:rPr>
          <w:rFonts w:ascii="游明朝" w:cs="游明朝" w:eastAsia="游明朝" w:hAnsi="游明朝"/>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498"/>
        <w:gridCol w:w="2059"/>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現状値のうち「調査により把握」としているものは、令和8年10月の調査結果をもって確定します。目標値は現状値の確定後、第2回委員会でのご意見を踏まえて設定します。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　活動指標（アウトプット）</w:t>
      </w:r>
    </w:p>
    <w:p>
      <w:pPr>
        <w:spacing w:after="120" w:line="300"/>
      </w:pPr>
      <w:r>
        <w:rPr>
          <w:rFonts w:ascii="游明朝" w:cs="游明朝" w:eastAsia="游明朝" w:hAnsi="游明朝"/>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498"/>
        <w:gridCol w:w="205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7-3b　全国と比べてどこを上げるか</w:t>
      </w:r>
    </w:p>
    <w:p>
      <w:pPr>
        <w:spacing w:after="120" w:line="300"/>
      </w:pPr>
      <w:r>
        <w:rPr>
          <w:rFonts w:ascii="游明朝" w:cs="游明朝" w:eastAsia="游明朝" w:hAnsi="游明朝"/>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685"/>
        <w:gridCol w:w="1498"/>
        <w:gridCol w:w="2246"/>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方向</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7-3c　計画に書くことで取得できる評価指標（61点）</w:t>
      </w:r>
    </w:p>
    <w:p>
      <w:pPr>
        <w:spacing w:after="120" w:line="300"/>
      </w:pPr>
      <w:r>
        <w:rPr>
          <w:rFonts w:ascii="游明朝" w:cs="游明朝" w:eastAsia="游明朝" w:hAnsi="游明朝"/>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749"/>
        <w:gridCol w:w="1123"/>
        <w:gridCol w:w="1030"/>
        <w:gridCol w:w="2340"/>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計画での対応</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施策4-4・1-6</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spacing w:after="100" w:line="300"/>
      </w:pPr>
      <w:r>
        <w:rPr>
          <w:rFonts w:ascii="游ゴシック" w:cs="游ゴシック" w:eastAsia="游ゴシック" w:hAnsi="游ゴシック"/>
          <w:b/>
          <w:bCs/>
          <w:color w:val="2E75B6"/>
          <w:sz w:val="21"/>
          <w:szCs w:val="21"/>
        </w:rPr>
        <w:t xml:space="preserve">なかでも次の3つは、本計画を策定すること自体が条件を満たします</w:t>
      </w:r>
    </w:p>
    <w:p>
      <w:pPr>
        <w:pStyle w:val="ListParagraph"/>
        <w:numPr>
          <w:ilvl w:val="0"/>
          <w:numId w:val="2"/>
        </w:numPr>
        <w:spacing w:after="60" w:line="300"/>
      </w:pPr>
      <w:r>
        <w:rPr>
          <w:rFonts w:ascii="游明朝" w:cs="游明朝" w:eastAsia="游明朝" w:hAnsi="游明朝"/>
          <w:sz w:val="21"/>
          <w:szCs w:val="21"/>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pPr>
      <w:r>
        <w:rPr>
          <w:rFonts w:ascii="游明朝" w:cs="游明朝" w:eastAsia="游明朝" w:hAnsi="游明朝"/>
          <w:sz w:val="21"/>
          <w:szCs w:val="21"/>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pPr>
      <w:r>
        <w:rPr>
          <w:rFonts w:ascii="游明朝" w:cs="游明朝" w:eastAsia="游明朝" w:hAnsi="游明朝"/>
          <w:sz w:val="21"/>
          <w:szCs w:val="21"/>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spacing w:after="100" w:line="300"/>
      </w:pPr>
      <w:r>
        <w:rPr>
          <w:rFonts w:ascii="游ゴシック" w:cs="游ゴシック" w:eastAsia="游ゴシック" w:hAnsi="游ゴシック"/>
          <w:b/>
          <w:bCs/>
          <w:color w:val="2E75B6"/>
          <w:sz w:val="21"/>
          <w:szCs w:val="21"/>
        </w:rPr>
        <w:t xml:space="preserve">村の取組の可否をご確認いただきたいもの</w:t>
      </w:r>
    </w:p>
    <w:p>
      <w:pPr>
        <w:pStyle w:val="ListParagraph"/>
        <w:numPr>
          <w:ilvl w:val="0"/>
          <w:numId w:val="2"/>
        </w:numPr>
        <w:spacing w:after="60" w:line="300"/>
      </w:pPr>
      <w:r>
        <w:rPr>
          <w:rFonts w:ascii="游明朝" w:cs="游明朝" w:eastAsia="游明朝" w:hAnsi="游明朝"/>
          <w:sz w:val="21"/>
          <w:szCs w:val="21"/>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pPr>
      <w:r>
        <w:rPr>
          <w:rFonts w:ascii="游明朝" w:cs="游明朝" w:eastAsia="游明朝" w:hAnsi="游明朝"/>
          <w:sz w:val="21"/>
          <w:szCs w:val="21"/>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pPr>
      <w:r>
        <w:rPr>
          <w:rFonts w:ascii="游明朝" w:cs="游明朝" w:eastAsia="游明朝" w:hAnsi="游明朝"/>
          <w:sz w:val="21"/>
          <w:szCs w:val="21"/>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pPr>
      <w:r>
        <w:rPr>
          <w:rFonts w:ascii="游明朝" w:cs="游明朝" w:eastAsia="游明朝" w:hAnsi="游明朝"/>
          <w:sz w:val="21"/>
          <w:szCs w:val="21"/>
        </w:rPr>
        <w:t xml:space="preserve">難聴高齢者への取組（10点）……普及啓発と早期発見の2段階です。受診状況の把握と受診率50%以上は全国でも14.6%・4.8%と取得が少ないため、第10期はまず前2段階に取り組みます</w:t>
      </w:r>
    </w:p>
    <w:p>
      <w:pPr>
        <w:spacing w:after="100" w:line="300"/>
      </w:pPr>
      <w:r>
        <w:rPr>
          <w:rFonts w:ascii="游ゴシック" w:cs="游ゴシック" w:eastAsia="游ゴシック" w:hAnsi="游ゴシック"/>
          <w:b/>
          <w:bCs/>
          <w:color w:val="2E75B6"/>
          <w:sz w:val="21"/>
          <w:szCs w:val="21"/>
        </w:rPr>
        <w:t xml:space="preserve">残りの61点はどうなるのか</w:t>
      </w:r>
    </w:p>
    <w:p>
      <w:pPr>
        <w:spacing w:after="120" w:line="300"/>
      </w:pPr>
      <w:r>
        <w:rPr>
          <w:rFonts w:ascii="游明朝" w:cs="游明朝" w:eastAsia="游明朝" w:hAnsi="游明朝"/>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842"/>
        <w:gridCol w:w="655"/>
        <w:gridCol w:w="580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spacing w:after="100" w:line="300"/>
      </w:pPr>
      <w:r>
        <w:rPr>
          <w:rFonts w:ascii="游ゴシック" w:cs="游ゴシック" w:eastAsia="游ゴシック" w:hAnsi="游ゴシック"/>
          <w:b/>
          <w:bCs/>
          <w:color w:val="2E75B6"/>
          <w:sz w:val="21"/>
          <w:szCs w:val="21"/>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936"/>
        <w:gridCol w:w="1310"/>
        <w:gridCol w:w="1404"/>
        <w:gridCol w:w="1404"/>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計画への記載等（56点）と認知症施策推進計画（5点）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512点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条件付きの39点（事業の実施が前提）</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7-4　進捗管理の仕組み</w:t>
      </w:r>
    </w:p>
    <w:p>
      <w:pPr>
        <w:spacing w:after="120" w:line="300"/>
      </w:pPr>
      <w:r>
        <w:rPr>
          <w:rFonts w:ascii="游明朝" w:cs="游明朝" w:eastAsia="游明朝" w:hAnsi="游明朝"/>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6552"/>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spacing w:after="100" w:line="300"/>
      </w:pPr>
      <w:r>
        <w:rPr>
          <w:rFonts w:ascii="游ゴシック" w:cs="游ゴシック" w:eastAsia="游ゴシック" w:hAnsi="游ゴシック"/>
          <w:b/>
          <w:bCs/>
          <w:color w:val="2E75B6"/>
          <w:sz w:val="21"/>
          <w:szCs w:val="21"/>
        </w:rPr>
        <w:t xml:space="preserve">交付金の得点を数値目標に置くかどうか</w:t>
      </w:r>
    </w:p>
    <w:p>
      <w:pPr>
        <w:spacing w:after="120" w:line="300"/>
      </w:pPr>
      <w:r>
        <w:rPr>
          <w:rFonts w:ascii="游明朝" w:cs="游明朝" w:eastAsia="游明朝" w:hAnsi="游明朝"/>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明朝" w:cs="游明朝" w:eastAsia="游明朝" w:hAnsi="游明朝"/>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5616"/>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8-2　本日以降のスケジュール</w:t>
      </w:r>
    </w:p>
    <w:p>
      <w:pPr>
        <w:spacing w:after="120" w:line="300"/>
      </w:pPr>
      <w:r>
        <w:rPr>
          <w:rFonts w:ascii="游明朝" w:cs="游明朝" w:eastAsia="游明朝" w:hAnsi="游明朝"/>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123"/>
        <w:gridCol w:w="2996"/>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本委員会との関係</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本日の素案をもとに実施します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8-3　本日ご確認いただきたい日程</w:t>
      </w:r>
    </w:p>
    <w:p>
      <w:pPr>
        <w:spacing w:after="120" w:line="300"/>
      </w:pPr>
      <w:r>
        <w:rPr>
          <w:rFonts w:ascii="游明朝" w:cs="游明朝" w:eastAsia="游明朝" w:hAnsi="游明朝"/>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4306"/>
        <w:gridCol w:w="2246"/>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決め方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村がお決めになり、本日ご報告いただく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本日、候補日をご調整いただく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8-4　スケジュール上の留意点</w:t>
      </w:r>
    </w:p>
    <w:p>
      <w:pPr>
        <w:spacing w:after="120" w:line="300"/>
      </w:pPr>
      <w:r>
        <w:rPr>
          <w:rFonts w:ascii="游明朝" w:cs="游明朝" w:eastAsia="游明朝" w:hAnsi="游明朝"/>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後ろにずれた場合の影響</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調査の集計が遅れた場合</w:t>
      </w:r>
    </w:p>
    <w:p>
      <w:pPr>
        <w:spacing w:after="120" w:line="300"/>
      </w:pPr>
      <w:r>
        <w:rPr>
          <w:rFonts w:ascii="游明朝" w:cs="游明朝" w:eastAsia="游明朝" w:hAnsi="游明朝"/>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2026-09-29T00:14:31.570Z</dcterms:created>
  <dcterms:modified xsi:type="dcterms:W3CDTF">2026-09-29T00:14:31.571Z</dcterms:modified>
</cp:coreProperties>
</file>

<file path=docProps/custom.xml><?xml version="1.0" encoding="utf-8"?>
<Properties xmlns="http://schemas.openxmlformats.org/officeDocument/2006/custom-properties" xmlns:vt="http://schemas.openxmlformats.org/officeDocument/2006/docPropsVTypes"/>
</file>