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keepNext/>
              <w:spacing w:before="20" w:after="20"/>
            </w:pPr>
            <w:r>
              <w:rPr>
                <w:rFonts w:ascii="游ゴシック" w:hAnsi="游ゴシック" w:eastAsia="游ゴシック"/>
                <w:b w:val="0"/>
                <w:i w:val="0"/>
                <w:sz w:val="17"/>
              </w:rPr>
              <w:t>国の通達</w:t>
            </w:r>
          </w:p>
        </w:tc>
        <w:tc>
          <w:tcPr>
            <w:tcW w:type="dxa" w:w="7143"/>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他団体の見込量算定の6手順・MECEチェック・分母の規約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pStyle w:val="Heading2"/>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pStyle w:val="Heading1"/>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医療的ケア者（成人）を新設し、医療的ケア児等＝児＋者とする。医療的ケア児支援センターを医療的ケア児等支援センターに、協議の場を医療的ケア児等支援地域協議会（法第18条の2第1項）に改める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keepNext/>
              <w:spacing w:before="20" w:after="20"/>
            </w:pPr>
            <w:r>
              <w:rPr>
                <w:rFonts w:ascii="游ゴシック" w:hAnsi="游ゴシック" w:eastAsia="游ゴシック"/>
                <w:b w:val="0"/>
                <w:i w:val="0"/>
                <w:sz w:val="17"/>
              </w:rPr>
              <w:t>通達</w:t>
            </w:r>
          </w:p>
        </w:tc>
        <w:tc>
          <w:tcPr>
            <w:tcW w:type="dxa" w:w="2381"/>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keepNext/>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keepNext/>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pStyle w:val="Heading1"/>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keepNext/>
              <w:spacing w:before="20" w:after="20"/>
            </w:pPr>
            <w:r>
              <w:rPr>
                <w:rFonts w:ascii="游ゴシック" w:hAnsi="游ゴシック" w:eastAsia="游ゴシック"/>
                <w:b w:val="0"/>
                <w:i w:val="0"/>
                <w:sz w:val="17"/>
              </w:rPr>
              <w:t>直近実績横ばい</w:t>
            </w:r>
          </w:p>
        </w:tc>
        <w:tc>
          <w:tcPr>
            <w:tcW w:type="dxa" w:w="2608"/>
            <w:vAlign w:val="center"/>
          </w:tcPr>
          <w:p>
            <w:pPr>
              <w:keepNext/>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keepNext/>
              <w:spacing w:before="20" w:after="20"/>
            </w:pPr>
            <w:r>
              <w:rPr>
                <w:rFonts w:ascii="游ゴシック" w:hAnsi="游ゴシック" w:eastAsia="游ゴシック"/>
                <w:b w:val="0"/>
                <w:i w:val="0"/>
                <w:sz w:val="17"/>
              </w:rPr>
              <w:t>カタログ外（据え置き）</w:t>
            </w:r>
          </w:p>
        </w:tc>
        <w:tc>
          <w:tcPr>
            <w:tcW w:type="dxa" w:w="4082"/>
            <w:vAlign w:val="center"/>
          </w:tcPr>
          <w:p>
            <w:pPr>
              <w:keepNext/>
              <w:spacing w:before="20" w:after="20"/>
            </w:pPr>
            <w:r>
              <w:rPr>
                <w:rFonts w:ascii="游ゴシック" w:hAnsi="游ゴシック" w:eastAsia="游ゴシック"/>
                <w:b w:val="0"/>
                <w:i w:val="0"/>
                <w:sz w:val="17"/>
              </w:rPr>
              <w:t>他団体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pStyle w:val="Heading1"/>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pStyle w:val="Heading2"/>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keepNext/>
              <w:spacing w:before="20" w:after="20"/>
            </w:pPr>
            <w:r>
              <w:rPr>
                <w:rFonts w:ascii="游ゴシック" w:hAnsi="游ゴシック" w:eastAsia="游ゴシック"/>
                <w:b w:val="0"/>
                <w:i w:val="0"/>
                <w:sz w:val="17"/>
              </w:rPr>
              <w:t>要件2</w:t>
            </w:r>
          </w:p>
        </w:tc>
        <w:tc>
          <w:tcPr>
            <w:tcW w:type="dxa" w:w="3969"/>
            <w:vAlign w:val="center"/>
          </w:tcPr>
          <w:p>
            <w:pPr>
              <w:keepNext/>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keepNext/>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他団体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pStyle w:val="Heading1"/>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令和8年8月19日の改正案は、医療的ケア者（成人）を新設し、医療的ケア児等を児と者の両方を指す語に改めるものです。成果目標の立て方と用語に効きます。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keepNext/>
              <w:spacing w:before="20" w:after="20"/>
            </w:pPr>
            <w:r>
              <w:rPr>
                <w:rFonts w:ascii="游ゴシック" w:hAnsi="游ゴシック" w:eastAsia="游ゴシック"/>
                <w:b w:val="0"/>
                <w:i w:val="0"/>
                <w:sz w:val="17"/>
              </w:rPr>
              <w:t>用語（改正②による）</w:t>
            </w:r>
          </w:p>
        </w:tc>
        <w:tc>
          <w:tcPr>
            <w:tcW w:type="dxa" w:w="2041"/>
            <w:vAlign w:val="center"/>
          </w:tcPr>
          <w:p>
            <w:pPr>
              <w:keepNext/>
              <w:spacing w:before="20" w:after="20"/>
            </w:pPr>
            <w:r>
              <w:rPr>
                <w:rFonts w:ascii="游ゴシック" w:hAnsi="游ゴシック" w:eastAsia="游ゴシック"/>
                <w:b w:val="0"/>
                <w:i w:val="0"/>
                <w:sz w:val="17"/>
              </w:rPr>
              <w:t>医療的ケア児等＝医療的ケア児＋医療的ケア者（成人）</w:t>
            </w:r>
          </w:p>
        </w:tc>
        <w:tc>
          <w:tcPr>
            <w:tcW w:type="dxa" w:w="3061"/>
            <w:vAlign w:val="center"/>
          </w:tcPr>
          <w:p>
            <w:pPr>
              <w:keepNext/>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keepNext/>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医療的ケア者（成人）が対象に加わることの計画への影響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第2版の実測では、「医療的ケア児等コーディネーター」4か所、「医療的ケア児コーディネーター」（旧表記）0か所、「医療的ケア者」1か所です。</w:t>
      </w:r>
      <w:r>
        <w:rPr>
          <w:rFonts w:ascii="游ゴシック" w:hAnsi="游ゴシック" w:eastAsia="游ゴシック"/>
          <w:b/>
          <w:i w:val="0"/>
          <w:sz w:val="21"/>
        </w:rPr>
        <w:t>旧表記が残っているため、次版で統一してください。</w:t>
      </w:r>
    </w:p>
    <w:p>
      <w:pPr>
        <w:pStyle w:val="Heading1"/>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keepNext/>
              <w:spacing w:before="20" w:after="20"/>
            </w:pPr>
            <w:r>
              <w:rPr>
                <w:rFonts w:ascii="游ゴシック" w:hAnsi="游ゴシック" w:eastAsia="游ゴシック"/>
                <w:b w:val="0"/>
                <w:i w:val="0"/>
                <w:sz w:val="17"/>
              </w:rPr>
              <w:t>骨子案の扱い</w:t>
            </w:r>
          </w:p>
        </w:tc>
        <w:tc>
          <w:tcPr>
            <w:tcW w:type="dxa" w:w="7824"/>
            <w:vAlign w:val="center"/>
          </w:tcPr>
          <w:p>
            <w:pPr>
              <w:keepNext/>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他団体では計画素案 第5章13として新設した</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他団体（同じ受託者が別に扱っている村）で固めた見込量算定の手順と突き合わせました。</w:t>
      </w:r>
      <w:r>
        <w:rPr>
          <w:rFonts w:ascii="游ゴシック" w:hAnsi="游ゴシック" w:eastAsia="游ゴシック"/>
          <w:b/>
          <w:i w:val="0"/>
          <w:sz w:val="21"/>
        </w:rPr>
        <w:t>小野町は回答数が多く、他団体でできなかったことができます。</w:t>
      </w:r>
      <w:r>
        <w:rPr>
          <w:rFonts w:ascii="游ゴシック" w:hAnsi="游ゴシック" w:eastAsia="游ゴシック"/>
          <w:b w:val="0"/>
          <w:i w:val="0"/>
          <w:sz w:val="21"/>
        </w:rPr>
        <w:t>逆に、他団体で踏んだ手順が小野町にまだ入っていない箇所もあります。</w:t>
      </w:r>
    </w:p>
    <w:p>
      <w:pPr>
        <w:pStyle w:val="Heading2"/>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R8を年度途中値と確定できれば、基準年度を令和7年度に寄せる。他団体は令和7年度を基準年度とした。R8を使い続けるなら、どの月までの累計かを明示する</w:t>
      </w:r>
    </w:p>
    <w:p>
      <w:pPr>
        <w:pStyle w:val="Heading2"/>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他団体では、請求件数と月平均利用者数を同じ表に並べたことによる誤読の余地を指摘し、表の直下に注記を置いた（他団体では、請求件数と月平均利用者数を同じ列に並べたことによる誤読の余地があっ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pStyle w:val="Heading2"/>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表8は「実績0でも候補者の有無を確認し、0見込の根拠を記録する」と方針を書いており、方向は合っている。小野町は今期調査の有効回答が284件（障がい者259件・障がい児25件）あるため、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。他団体では回答数が少なく、「内容をよく知らない」という回答の割合を0見込の留保として示した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pStyle w:val="Heading2"/>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他団体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pStyle w:val="Heading2"/>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pStyle w:val="Heading2"/>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他団体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pStyle w:val="Heading1"/>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・0としないなら、最低限の枠を置きます。他団体では、実績があるのに0としていたサービスを「実績あり・最低1人」として計上しました。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pStyle w:val="Heading1"/>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pStyle w:val="Heading2"/>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keepNext/>
              <w:spacing w:before="20" w:after="20"/>
            </w:pPr>
            <w:r>
              <w:rPr>
                <w:rFonts w:ascii="游ゴシック" w:hAnsi="游ゴシック" w:eastAsia="游ゴシック"/>
                <w:b w:val="0"/>
                <w:i w:val="0"/>
                <w:sz w:val="17"/>
              </w:rPr>
              <w:t>町</w:t>
            </w:r>
          </w:p>
        </w:tc>
        <w:tc>
          <w:tcPr>
            <w:tcW w:type="dxa" w:w="7030"/>
            <w:vAlign w:val="center"/>
          </w:tcPr>
          <w:p>
            <w:pPr>
              <w:keepNext/>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keepNext/>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国の動向の反映と手順の乖離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