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地域分析・検討シートの記入案</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令和8年9月30日</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本書について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認定率</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　全国平均等との比較</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　乖離について理由・問題点等の考察（仮説の設定）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(3)　設定した仮説の確認・検証方法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(4)　問題を解決するための対応策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2　受給率</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(1)　全国平均等との比較</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(2)　乖離について理由・問題点等の考察（仮説の設定）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　設定した仮説の確認・検証方法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(4)　問題を解決するための対応策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3　給付月額・利用日数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全国平均等との比較</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乖離について理由・問題点等の考察（仮説の設定）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設定した仮説の確認・検証方法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問題を解決するための対応策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4　記入にあたっての考え方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5　町にご確認いただきたいこと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val="0"/>
          <w:i w:val="0"/>
          <w:sz w:val="21"/>
        </w:rPr>
        <w:t>地域包括ケア「見える化」システムが出力する「地域分析・検討シート」の自由記述欄について、記入案とその根拠をまとめたものです。</w:t>
      </w:r>
    </w:p>
    <w:p>
      <w:pPr>
        <w:spacing w:before="60" w:after="60"/>
      </w:pPr>
      <w:r>
        <w:rPr>
          <w:rFonts w:ascii="游ゴシック" w:hAnsi="游ゴシック" w:eastAsia="游ゴシック"/>
          <w:b/>
          <w:i w:val="0"/>
          <w:sz w:val="21"/>
        </w:rPr>
        <w:t>この欄は保険者機能強化推進交付金の評価指標に直結します。</w:t>
      </w:r>
      <w:r>
        <w:rPr>
          <w:rFonts w:ascii="游ゴシック" w:hAnsi="游ゴシック" w:eastAsia="游ゴシック"/>
          <w:b w:val="0"/>
          <w:i w:val="0"/>
          <w:sz w:val="21"/>
        </w:rPr>
        <w:t>推進Ⅰ（ⅰ）1「地域の介護保険事業の特徴」、同（ⅱ）「保険給付の分析」が、データによる課題の把握と対応策の立案を求めています。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36"/>
        <w:gridCol w:w="4277"/>
        <w:gridCol w:w="3038"/>
      </w:tblGrid>
      <w:tr>
        <w:tc>
          <w:tcPr>
            <w:tcW w:type="dxa" w:w="2436"/>
            <w:shd w:val="clear" w:fill="1F3864"/>
            <w:vAlign w:val="center"/>
          </w:tcPr>
          <w:p>
            <w:pPr>
              <w:spacing w:before="20" w:after="20"/>
              <w:jc w:val="center"/>
            </w:pPr>
            <w:r>
              <w:rPr>
                <w:rFonts w:ascii="游ゴシック" w:hAnsi="游ゴシック" w:eastAsia="游ゴシック"/>
                <w:b/>
                <w:i w:val="0"/>
                <w:color w:val="FFFFFF"/>
                <w:sz w:val="17"/>
              </w:rPr>
              <w:t>ブロック</w:t>
            </w:r>
          </w:p>
        </w:tc>
        <w:tc>
          <w:tcPr>
            <w:tcW w:type="dxa" w:w="4277"/>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3038"/>
            <w:shd w:val="clear" w:fill="1F3864"/>
            <w:vAlign w:val="center"/>
          </w:tcPr>
          <w:p>
            <w:pPr>
              <w:spacing w:before="20" w:after="20"/>
              <w:jc w:val="center"/>
            </w:pPr>
            <w:r>
              <w:rPr>
                <w:rFonts w:ascii="游ゴシック" w:hAnsi="游ゴシック" w:eastAsia="游ゴシック"/>
                <w:b/>
                <w:i w:val="0"/>
                <w:color w:val="FFFFFF"/>
                <w:sz w:val="17"/>
              </w:rPr>
              <w:t>書く欄</w:t>
            </w:r>
          </w:p>
        </w:tc>
      </w:tr>
      <w:tr>
        <w:tc>
          <w:tcPr>
            <w:tcW w:type="dxa" w:w="2436"/>
            <w:vAlign w:val="center"/>
          </w:tcPr>
          <w:p>
            <w:pPr>
              <w:spacing w:before="20" w:after="20"/>
            </w:pPr>
            <w:r>
              <w:rPr>
                <w:rFonts w:ascii="游ゴシック" w:hAnsi="游ゴシック" w:eastAsia="游ゴシック"/>
                <w:b w:val="0"/>
                <w:i w:val="0"/>
                <w:sz w:val="17"/>
              </w:rPr>
              <w:t>1　認定率</w:t>
            </w:r>
          </w:p>
        </w:tc>
        <w:tc>
          <w:tcPr>
            <w:tcW w:type="dxa" w:w="4277"/>
            <w:vAlign w:val="center"/>
          </w:tcPr>
          <w:p>
            <w:pPr>
              <w:spacing w:before="20" w:after="20"/>
            </w:pPr>
            <w:r>
              <w:rPr>
                <w:rFonts w:ascii="游ゴシック" w:hAnsi="游ゴシック" w:eastAsia="游ゴシック"/>
                <w:b w:val="0"/>
                <w:i w:val="0"/>
                <w:sz w:val="17"/>
              </w:rPr>
              <w:t>認定率・調整済み認定率（要介護3〜5／要支援1〜要介護2）</w:t>
            </w:r>
          </w:p>
        </w:tc>
        <w:tc>
          <w:tcPr>
            <w:tcW w:type="dxa" w:w="3038"/>
            <w:vAlign w:val="center"/>
          </w:tcPr>
          <w:p>
            <w:pPr>
              <w:spacing w:before="20" w:after="20"/>
            </w:pPr>
            <w:r>
              <w:rPr>
                <w:rFonts w:ascii="游ゴシック" w:hAnsi="游ゴシック" w:eastAsia="游ゴシック"/>
                <w:b w:val="0"/>
                <w:i w:val="0"/>
                <w:sz w:val="17"/>
              </w:rPr>
              <w:t>比較／考察（仮説）／検証方法／対応策</w:t>
            </w:r>
          </w:p>
        </w:tc>
      </w:tr>
      <w:tr>
        <w:tc>
          <w:tcPr>
            <w:tcW w:type="dxa" w:w="2436"/>
            <w:vAlign w:val="center"/>
          </w:tcPr>
          <w:p>
            <w:pPr>
              <w:keepNext/>
              <w:spacing w:before="20" w:after="20"/>
            </w:pPr>
            <w:r>
              <w:rPr>
                <w:rFonts w:ascii="游ゴシック" w:hAnsi="游ゴシック" w:eastAsia="游ゴシック"/>
                <w:b w:val="0"/>
                <w:i w:val="0"/>
                <w:sz w:val="17"/>
              </w:rPr>
              <w:t>2　受給率</w:t>
            </w:r>
          </w:p>
        </w:tc>
        <w:tc>
          <w:tcPr>
            <w:tcW w:type="dxa" w:w="4277"/>
            <w:vAlign w:val="center"/>
          </w:tcPr>
          <w:p>
            <w:pPr>
              <w:keepNext/>
              <w:spacing w:before="20" w:after="20"/>
            </w:pPr>
            <w:r>
              <w:rPr>
                <w:rFonts w:ascii="游ゴシック" w:hAnsi="游ゴシック" w:eastAsia="游ゴシック"/>
                <w:b w:val="0"/>
                <w:i w:val="0"/>
                <w:sz w:val="17"/>
              </w:rPr>
              <w:t>施設・居住系・在宅の受給率</w:t>
            </w:r>
          </w:p>
        </w:tc>
        <w:tc>
          <w:tcPr>
            <w:tcW w:type="dxa" w:w="3038"/>
            <w:vAlign w:val="center"/>
          </w:tcPr>
          <w:p>
            <w:pPr>
              <w:keepNext/>
              <w:spacing w:before="20" w:after="20"/>
            </w:pPr>
            <w:r>
              <w:rPr>
                <w:rFonts w:ascii="游ゴシック" w:hAnsi="游ゴシック" w:eastAsia="游ゴシック"/>
                <w:b w:val="0"/>
                <w:i w:val="0"/>
                <w:sz w:val="17"/>
              </w:rPr>
              <w:t>同上</w:t>
            </w:r>
          </w:p>
        </w:tc>
      </w:tr>
      <w:tr>
        <w:tc>
          <w:tcPr>
            <w:tcW w:type="dxa" w:w="2436"/>
            <w:vAlign w:val="center"/>
          </w:tcPr>
          <w:p>
            <w:pPr>
              <w:spacing w:before="20" w:after="20"/>
            </w:pPr>
            <w:r>
              <w:rPr>
                <w:rFonts w:ascii="游ゴシック" w:hAnsi="游ゴシック" w:eastAsia="游ゴシック"/>
                <w:b w:val="0"/>
                <w:i w:val="0"/>
                <w:sz w:val="17"/>
              </w:rPr>
              <w:t>3　給付月額・利用日数</w:t>
            </w:r>
          </w:p>
        </w:tc>
        <w:tc>
          <w:tcPr>
            <w:tcW w:type="dxa" w:w="4277"/>
            <w:vAlign w:val="center"/>
          </w:tcPr>
          <w:p>
            <w:pPr>
              <w:spacing w:before="20" w:after="20"/>
            </w:pPr>
            <w:r>
              <w:rPr>
                <w:rFonts w:ascii="游ゴシック" w:hAnsi="游ゴシック" w:eastAsia="游ゴシック"/>
                <w:b w:val="0"/>
                <w:i w:val="0"/>
                <w:sz w:val="17"/>
              </w:rPr>
              <w:t>受給者1人あたり給付月額（22サービス）・利用日数回数（10サービス）</w:t>
            </w:r>
          </w:p>
        </w:tc>
        <w:tc>
          <w:tcPr>
            <w:tcW w:type="dxa" w:w="3038"/>
            <w:vAlign w:val="center"/>
          </w:tcPr>
          <w:p>
            <w:pPr>
              <w:spacing w:before="20" w:after="20"/>
            </w:pPr>
            <w:r>
              <w:rPr>
                <w:rFonts w:ascii="游ゴシック" w:hAnsi="游ゴシック" w:eastAsia="游ゴシック"/>
                <w:b w:val="0"/>
                <w:i w:val="0"/>
                <w:sz w:val="17"/>
              </w:rPr>
              <w:t>同上</w:t>
            </w:r>
          </w:p>
        </w:tc>
      </w:tr>
    </w:tbl>
    <w:p>
      <w:pPr>
        <w:spacing w:after="40"/>
      </w:pPr>
    </w:p>
    <w:p>
      <w:pPr>
        <w:spacing w:before="40" w:after="160"/>
        <w:ind w:left="113"/>
      </w:pPr>
      <w:r>
        <w:rPr>
          <w:rFonts w:ascii="游ゴシック" w:hAnsi="游ゴシック" w:eastAsia="游ゴシック"/>
          <w:b w:val="0"/>
          <w:i w:val="0"/>
          <w:sz w:val="17"/>
        </w:rPr>
        <w:t>※ 本書に載せている数値は、すべて受領したシートから計算したものです。</w:t>
      </w:r>
      <w:r>
        <w:rPr>
          <w:rFonts w:ascii="游ゴシック" w:hAnsi="游ゴシック" w:eastAsia="游ゴシック"/>
          <w:b/>
          <w:i w:val="0"/>
          <w:sz w:val="17"/>
        </w:rPr>
        <w:t>固定値を書き写していません。</w:t>
      </w:r>
      <w:r>
        <w:rPr>
          <w:rFonts w:ascii="游ゴシック" w:hAnsi="游ゴシック" w:eastAsia="游ゴシック"/>
          <w:b w:val="0"/>
          <w:i w:val="0"/>
          <w:sz w:val="17"/>
        </w:rPr>
        <w:t>シートが更新されれば、本書を作り直すだけで数値も追随します。</w:t>
      </w:r>
    </w:p>
    <w:p>
      <w:pPr>
        <w:pStyle w:val="Heading1"/>
        <w:keepNext/>
        <w:spacing w:before="240" w:after="100"/>
      </w:pPr>
      <w:bookmarkStart w:id="102" w:name="_Toc_002"/>
      <w:r>
        <w:rPr>
          <w:rFonts w:ascii="游ゴシック" w:hAnsi="游ゴシック" w:eastAsia="游ゴシック"/>
          <w:b/>
          <w:i w:val="0"/>
          <w:color w:val="2E74B5"/>
          <w:sz w:val="30"/>
        </w:rPr>
        <w:t>1　認定率</w:t>
      </w:r>
      <w:bookmarkEnd w:id="102"/>
    </w:p>
    <w:p>
      <w:pPr>
        <w:pStyle w:val="Heading2"/>
        <w:keepNext/>
        <w:spacing w:before="180" w:after="100"/>
      </w:pPr>
      <w:bookmarkStart w:id="103" w:name="_Toc_003"/>
      <w:r>
        <w:rPr>
          <w:rFonts w:ascii="游ゴシック" w:hAnsi="游ゴシック" w:eastAsia="游ゴシック"/>
          <w:b/>
          <w:i w:val="0"/>
          <w:color w:val="2E74B5"/>
          <w:sz w:val="25"/>
        </w:rPr>
        <w:t>(1)　全国平均等との比較</w:t>
      </w:r>
      <w:bookmarkEnd w:id="103"/>
    </w:p>
    <w:p>
      <w:pPr>
        <w:spacing w:before="60" w:after="60"/>
      </w:pPr>
      <w:r>
        <w:rPr>
          <w:rFonts w:ascii="游ゴシック" w:hAnsi="游ゴシック" w:eastAsia="游ゴシック"/>
          <w:b w:val="0"/>
          <w:i w:val="0"/>
          <w:sz w:val="21"/>
        </w:rPr>
        <w:t>認定率は2024年度26.77％、2025年度22.74％、2026年度22.70％で、全国（20.32％）を2.37ポイント、県（19.91％）を2.78ポイント上回る。ただし本町は2024年度から4.07ポイント下がっており、全国・県が上昇しているのと逆の動きである。年齢構成の違いを除いた調整済み認定率でも本町18.12％に対し全国16.67％で、1.45ポイント高い。内訳をみると、要介護3〜5が本町7.03％・全国5.41％で1.63ポイント高い一方、要支援1〜要介護2は本町11.09％・全国11.26％で0.17ポイント低く、ほぼ同じ水準である。</w:t>
      </w:r>
    </w:p>
    <w:p>
      <w:pPr>
        <w:pStyle w:val="Heading2"/>
        <w:keepNext/>
        <w:spacing w:before="180" w:after="100"/>
      </w:pPr>
      <w:bookmarkStart w:id="104" w:name="_Toc_004"/>
      <w:r>
        <w:rPr>
          <w:rFonts w:ascii="游ゴシック" w:hAnsi="游ゴシック" w:eastAsia="游ゴシック"/>
          <w:b/>
          <w:i w:val="0"/>
          <w:color w:val="2E74B5"/>
          <w:sz w:val="25"/>
        </w:rPr>
        <w:t>(2)　乖離について理由・問題点等の考察（仮説の設定）</w:t>
      </w:r>
      <w:bookmarkEnd w:id="104"/>
    </w:p>
    <w:p>
      <w:pPr>
        <w:spacing w:before="60" w:after="60"/>
      </w:pPr>
      <w:r>
        <w:rPr>
          <w:rFonts w:ascii="游ゴシック" w:hAnsi="游ゴシック" w:eastAsia="游ゴシック"/>
          <w:b w:val="0"/>
          <w:i w:val="0"/>
          <w:sz w:val="21"/>
        </w:rPr>
        <w:t>認定率の高さは、軽度ではなく重度（要介護3〜5）によるものである。年齢構成を調整してもなお高いことから、高齢化率の高さだけでは説明できない。仮説は2つある。①在宅で暮らし続けるための支援が十分でなく、状態が重くなってから認定に至っている。②要介護認定の運用（認定調査・審査判定）が全国と異なる傾向を持っている。あわせて、直近2か年で認定率が4ポイント下がっていることについて、実態の変化ではなく認定者数の計上方法が変わった可能性がある。令和7年9月審査分に1か月で▲99人の断層があり、年度末では944人から792人へ▲152人（▲16.1％）減っている。</w:t>
      </w:r>
    </w:p>
    <w:p>
      <w:pPr>
        <w:pStyle w:val="Heading2"/>
        <w:keepNext/>
        <w:spacing w:before="180" w:after="100"/>
      </w:pPr>
      <w:bookmarkStart w:id="105" w:name="_Toc_005"/>
      <w:r>
        <w:rPr>
          <w:rFonts w:ascii="游ゴシック" w:hAnsi="游ゴシック" w:eastAsia="游ゴシック"/>
          <w:b/>
          <w:i w:val="0"/>
          <w:color w:val="2E74B5"/>
          <w:sz w:val="25"/>
        </w:rPr>
        <w:t>(3)　設定した仮説の確認・検証方法</w:t>
      </w:r>
      <w:bookmarkEnd w:id="105"/>
    </w:p>
    <w:p>
      <w:pPr>
        <w:spacing w:before="60" w:after="60"/>
      </w:pPr>
      <w:r>
        <w:rPr>
          <w:rFonts w:ascii="游ゴシック" w:hAnsi="游ゴシック" w:eastAsia="游ゴシック"/>
          <w:b w:val="0"/>
          <w:i w:val="0"/>
          <w:sz w:val="21"/>
        </w:rPr>
        <w:t>①については、新規認定者の認定前の状況（介護予防事業や総合事業の利用の有無、初回認定時の要介護度）を町の認定データで確かめる。初回認定時に要介護3以上である割合が全国より高ければ仮説を支持する。②については、認定調査の委託の有無、認定調査員の研修の状況、審査会の判定の傾向（一次判定からの変更率）を確かめる。計上方法の変更については、令和7年8〜9月に認定者数の数え方を変えたかどうかを町に確認する（確認中）。</w:t>
      </w:r>
    </w:p>
    <w:p>
      <w:pPr>
        <w:pStyle w:val="Heading2"/>
        <w:keepNext/>
        <w:spacing w:before="180" w:after="100"/>
      </w:pPr>
      <w:bookmarkStart w:id="106" w:name="_Toc_006"/>
      <w:r>
        <w:rPr>
          <w:rFonts w:ascii="游ゴシック" w:hAnsi="游ゴシック" w:eastAsia="游ゴシック"/>
          <w:b/>
          <w:i w:val="0"/>
          <w:color w:val="2E74B5"/>
          <w:sz w:val="25"/>
        </w:rPr>
        <w:t>(4)　問題を解決するための対応策</w:t>
      </w:r>
      <w:bookmarkEnd w:id="106"/>
    </w:p>
    <w:p>
      <w:pPr>
        <w:spacing w:before="60" w:after="60"/>
      </w:pPr>
      <w:r>
        <w:rPr>
          <w:rFonts w:ascii="游ゴシック" w:hAnsi="游ゴシック" w:eastAsia="游ゴシック"/>
          <w:b w:val="0"/>
          <w:i w:val="0"/>
          <w:sz w:val="21"/>
        </w:rPr>
        <w:t>重度化してから認定に至る流れを変えることが対応策の中心になる。①介護予防・日常生活支援総合事業の立ち上げ。本町は週1回以上の通いの場が0か所であり、一般介護予防事業費も地域支援事業費全体の8.3％にとどまる。第10期では通いの場の立ち上げを具体の目標として置く。②地域ケア会議による自立支援型ケアマネジメントの実施。③認定調査の質の確保（調査員の研修、調査結果の点検）。④認定率そのものを下げることを目標とはしない。必要な方が認定を受けられないことは目的に反するため、重度の認定率が下がることを成果とみる。</w:t>
      </w:r>
    </w:p>
    <w:p>
      <w:pPr>
        <w:pStyle w:val="Heading1"/>
        <w:keepNext/>
        <w:spacing w:before="240" w:after="100"/>
      </w:pPr>
      <w:bookmarkStart w:id="107" w:name="_Toc_007"/>
      <w:r>
        <w:rPr>
          <w:rFonts w:ascii="游ゴシック" w:hAnsi="游ゴシック" w:eastAsia="游ゴシック"/>
          <w:b/>
          <w:i w:val="0"/>
          <w:color w:val="2E74B5"/>
          <w:sz w:val="30"/>
        </w:rPr>
        <w:t>2　受給率</w:t>
      </w:r>
      <w:bookmarkEnd w:id="107"/>
    </w:p>
    <w:p>
      <w:pPr>
        <w:pStyle w:val="Heading2"/>
        <w:keepNext/>
        <w:spacing w:before="180" w:after="100"/>
      </w:pPr>
      <w:bookmarkStart w:id="108" w:name="_Toc_008"/>
      <w:r>
        <w:rPr>
          <w:rFonts w:ascii="游ゴシック" w:hAnsi="游ゴシック" w:eastAsia="游ゴシック"/>
          <w:b/>
          <w:i w:val="0"/>
          <w:color w:val="2E74B5"/>
          <w:sz w:val="25"/>
        </w:rPr>
        <w:t>(1)　全国平均等との比較</w:t>
      </w:r>
      <w:bookmarkEnd w:id="108"/>
    </w:p>
    <w:p>
      <w:pPr>
        <w:spacing w:before="60" w:after="60"/>
      </w:pPr>
      <w:r>
        <w:rPr>
          <w:rFonts w:ascii="游ゴシック" w:hAnsi="游ゴシック" w:eastAsia="游ゴシック"/>
          <w:b w:val="0"/>
          <w:i w:val="0"/>
          <w:sz w:val="21"/>
        </w:rPr>
        <w:t>施設サービスの受給率は本町3.62％・全国2.90％で、全国の125％の水準にある。居住系は本町1.39％・全国1.43％でほぼ同じ、在宅は本町10.48％・全国11.14％で0.67ポイント下回る。3か年の動きをみると、施設は4.24％から3.62％へ下がり、在宅は10.44％から10.48％でほぼ横ばいである一方、全国の在宅は10.76％から11.14％へ上がっており、差が開いている。</w:t>
      </w:r>
    </w:p>
    <w:p>
      <w:pPr>
        <w:pStyle w:val="Heading2"/>
        <w:keepNext/>
        <w:spacing w:before="180" w:after="100"/>
      </w:pPr>
      <w:bookmarkStart w:id="109" w:name="_Toc_009"/>
      <w:r>
        <w:rPr>
          <w:rFonts w:ascii="游ゴシック" w:hAnsi="游ゴシック" w:eastAsia="游ゴシック"/>
          <w:b/>
          <w:i w:val="0"/>
          <w:color w:val="2E74B5"/>
          <w:sz w:val="25"/>
        </w:rPr>
        <w:t>(2)　乖離について理由・問題点等の考察（仮説の設定）</w:t>
      </w:r>
      <w:bookmarkEnd w:id="109"/>
    </w:p>
    <w:p>
      <w:pPr>
        <w:spacing w:before="60" w:after="60"/>
      </w:pPr>
      <w:r>
        <w:rPr>
          <w:rFonts w:ascii="游ゴシック" w:hAnsi="游ゴシック" w:eastAsia="游ゴシック"/>
          <w:b w:val="0"/>
          <w:i w:val="0"/>
          <w:sz w:val="21"/>
        </w:rPr>
        <w:t>施設に偏り、在宅が伸びていない。施設の受給率が高いのは、認定率と同じく重度が多いことの裏返しとみられる。一方、在宅が全国のように伸びていないことについては、需要がないのか、供給が足りないのかを分けて考える必要がある。令和7年度の在宅介護実態調査では、在宅の要介護認定者の42.1％が介護保険サービスを利用しておらず、その理由は「現状では、サービスを利用するほどの状態ではない」46.8％、「本人にサービス利用の希望がない」29.2％、「家族が介護をするため必要ない」16.9％と、需要側のものが上位を占める（複数回答・n=154）。供給側の理由（利用したいサービスが利用できない、身近にない）は0.6％で1人にとどまる。</w:t>
      </w:r>
      <w:r>
        <w:rPr>
          <w:rFonts w:ascii="游ゴシック" w:hAnsi="游ゴシック" w:eastAsia="游ゴシック"/>
          <w:b/>
          <w:i w:val="0"/>
          <w:sz w:val="21"/>
        </w:rPr>
        <w:t>したがって、在宅が伸びていない主因は供給の不足ではなく、利用に結びつかないことにあるとみられる。</w:t>
      </w:r>
    </w:p>
    <w:p>
      <w:pPr>
        <w:pStyle w:val="Heading2"/>
        <w:keepNext/>
        <w:spacing w:before="180" w:after="100"/>
      </w:pPr>
      <w:bookmarkStart w:id="110" w:name="_Toc_010"/>
      <w:r>
        <w:rPr>
          <w:rFonts w:ascii="游ゴシック" w:hAnsi="游ゴシック" w:eastAsia="游ゴシック"/>
          <w:b/>
          <w:i w:val="0"/>
          <w:color w:val="2E74B5"/>
          <w:sz w:val="25"/>
        </w:rPr>
        <w:t>(3)　設定した仮説の確認・検証方法</w:t>
      </w:r>
      <w:bookmarkEnd w:id="110"/>
    </w:p>
    <w:p>
      <w:pPr>
        <w:spacing w:before="60" w:after="60"/>
      </w:pPr>
      <w:r>
        <w:rPr>
          <w:rFonts w:ascii="游ゴシック" w:hAnsi="游ゴシック" w:eastAsia="游ゴシック"/>
          <w:b w:val="0"/>
          <w:i w:val="0"/>
          <w:sz w:val="21"/>
        </w:rPr>
        <w:t>①未利用者154人の状態像を、要介護度別・世帯構成別に確かめる。個票データによるクロス集計が要る（町に依頼中）。②「状態ではない」と答えた方が、その後どうなったかを追う。更新認定での要介護度の変化を町の認定データで確かめる。③供給側の確認として、町内の事業所の受入可否・待機の状況を照会する。とくに訪問リハビリテーション・地域密着型通所介護など町内に事業所がないサービスについて、町外の事業所による給付で足りているかを自給率で確かめる。</w:t>
      </w:r>
    </w:p>
    <w:p>
      <w:pPr>
        <w:pStyle w:val="Heading2"/>
        <w:keepNext/>
        <w:spacing w:before="180" w:after="100"/>
      </w:pPr>
      <w:bookmarkStart w:id="111" w:name="_Toc_011"/>
      <w:r>
        <w:rPr>
          <w:rFonts w:ascii="游ゴシック" w:hAnsi="游ゴシック" w:eastAsia="游ゴシック"/>
          <w:b/>
          <w:i w:val="0"/>
          <w:color w:val="2E74B5"/>
          <w:sz w:val="25"/>
        </w:rPr>
        <w:t>(4)　問題を解決するための対応策</w:t>
      </w:r>
      <w:bookmarkEnd w:id="111"/>
    </w:p>
    <w:p>
      <w:pPr>
        <w:spacing w:before="60" w:after="60"/>
      </w:pPr>
      <w:r>
        <w:rPr>
          <w:rFonts w:ascii="游ゴシック" w:hAnsi="游ゴシック" w:eastAsia="游ゴシック"/>
          <w:b w:val="0"/>
          <w:i w:val="0"/>
          <w:sz w:val="21"/>
        </w:rPr>
        <w:t>①認定を受けた方が使わないまま状態が重くなることを防ぐため、認定時のケアマネジメントで「今は使わない」という選択の理由を記録し、一定期間後に状況を確かめる仕組みをつくる。②介護予防・日常生活支援総合事業の多様なサービス（訪問型・通所型のB）を受け皿として整える。本町は実施している旨の回答があるが実態が確認できておらず、第10期で位置づけを定める。③施設の受給率が下がっている動きが、在宅への移行によるものか、町外施設の利用によるものかを確かめ、必要なら在宅の基盤を補う。</w:t>
      </w:r>
    </w:p>
    <w:p>
      <w:pPr>
        <w:pStyle w:val="Heading1"/>
        <w:keepNext/>
        <w:spacing w:before="240" w:after="100"/>
      </w:pPr>
      <w:bookmarkStart w:id="112" w:name="_Toc_012"/>
      <w:r>
        <w:rPr>
          <w:rFonts w:ascii="游ゴシック" w:hAnsi="游ゴシック" w:eastAsia="游ゴシック"/>
          <w:b/>
          <w:i w:val="0"/>
          <w:color w:val="2E74B5"/>
          <w:sz w:val="30"/>
        </w:rPr>
        <w:t>3　給付月額・利用日数</w:t>
      </w:r>
      <w:bookmarkEnd w:id="112"/>
    </w:p>
    <w:p>
      <w:pPr>
        <w:pStyle w:val="Heading2"/>
        <w:keepNext/>
        <w:spacing w:before="180" w:after="100"/>
      </w:pPr>
      <w:bookmarkStart w:id="113" w:name="_Toc_013"/>
      <w:r>
        <w:rPr>
          <w:rFonts w:ascii="游ゴシック" w:hAnsi="游ゴシック" w:eastAsia="游ゴシック"/>
          <w:b/>
          <w:i w:val="0"/>
          <w:color w:val="2E74B5"/>
          <w:sz w:val="25"/>
        </w:rPr>
        <w:t>(1)　全国平均等との比較</w:t>
      </w:r>
      <w:bookmarkEnd w:id="113"/>
    </w:p>
    <w:p>
      <w:pPr>
        <w:spacing w:before="60" w:after="60"/>
      </w:pPr>
      <w:r>
        <w:rPr>
          <w:rFonts w:ascii="游ゴシック" w:hAnsi="游ゴシック" w:eastAsia="游ゴシック"/>
          <w:b w:val="0"/>
          <w:i w:val="0"/>
          <w:sz w:val="21"/>
        </w:rPr>
        <w:t>在宅サービスの受給者1人あたり給付月額は本町102,215円、全国124,033円で、全国の82％の水準にある。サービス別にみると、訪問介護が全国の52％（利用回数も50％）と最も低く、居宅療養管理指導34％、通所リハビリテーション68％（利用回数53％）、小規模多機能型居宅介護78％と続く。一方、特定施設入居者生活介護は全国の104％と上回り、通所介護は95％でほぼ全国並みである。認知症対応型通所介護は2024年度に全国を上回っていたが、2026年度は67％（利用回数69％）まで下がっている。なお、受給者1人あたり給付月額（訪問リハビリテーション）・受給者1人あたり給付月額（夜間対応型訪問介護）・受給者1人あたり給付月額（地域密着型特定施設入居者生活介護）・受給者1人あたり給付月額（看護小規模多機能型居宅介護）・受給者1人あたり給付月額（地域密着型通所介護）は本町に給付の実績がない。</w:t>
      </w:r>
    </w:p>
    <w:p>
      <w:pPr>
        <w:pStyle w:val="Heading2"/>
        <w:keepNext/>
        <w:spacing w:before="180" w:after="100"/>
      </w:pPr>
      <w:bookmarkStart w:id="114" w:name="_Toc_014"/>
      <w:r>
        <w:rPr>
          <w:rFonts w:ascii="游ゴシック" w:hAnsi="游ゴシック" w:eastAsia="游ゴシック"/>
          <w:b/>
          <w:i w:val="0"/>
          <w:color w:val="2E74B5"/>
          <w:sz w:val="25"/>
        </w:rPr>
        <w:t>(2)　乖離について理由・問題点等の考察（仮説の設定）</w:t>
      </w:r>
      <w:bookmarkEnd w:id="114"/>
    </w:p>
    <w:p>
      <w:pPr>
        <w:spacing w:before="60" w:after="60"/>
      </w:pPr>
      <w:r>
        <w:rPr>
          <w:rFonts w:ascii="游ゴシック" w:hAnsi="游ゴシック" w:eastAsia="游ゴシック"/>
          <w:b w:val="0"/>
          <w:i w:val="0"/>
          <w:sz w:val="21"/>
        </w:rPr>
        <w:t>在宅サービスの単価と頻度がいずれも全国を下回る。とくに訪問介護は月額・回数とも全国の半分程度で、在宅サービス全体の水準を押し下げている。仮説は3つある。①訪問介護の供給が足りない（事業所数・従事者数の制約）。②ケアプランに訪問介護が組み込まれにくい（家族介護が前提になっている、本人・家族の希望がない）。③町内に事業所がないサービスがあり、その分が他のサービスに置き換わっていない。在宅介護実態調査では主な介護者の69.8％が60歳以上、46.5％が就労しており、家族介護を前提とし続けることには限界がある。</w:t>
      </w:r>
    </w:p>
    <w:p>
      <w:pPr>
        <w:pStyle w:val="Heading2"/>
        <w:keepNext/>
        <w:spacing w:before="180" w:after="100"/>
      </w:pPr>
      <w:bookmarkStart w:id="115" w:name="_Toc_015"/>
      <w:r>
        <w:rPr>
          <w:rFonts w:ascii="游ゴシック" w:hAnsi="游ゴシック" w:eastAsia="游ゴシック"/>
          <w:b/>
          <w:i w:val="0"/>
          <w:color w:val="2E74B5"/>
          <w:sz w:val="25"/>
        </w:rPr>
        <w:t>(3)　設定した仮説の確認・検証方法</w:t>
      </w:r>
      <w:bookmarkEnd w:id="115"/>
    </w:p>
    <w:p>
      <w:pPr>
        <w:spacing w:before="60" w:after="60"/>
      </w:pPr>
      <w:r>
        <w:rPr>
          <w:rFonts w:ascii="游ゴシック" w:hAnsi="游ゴシック" w:eastAsia="游ゴシック"/>
          <w:b w:val="0"/>
          <w:i w:val="0"/>
          <w:sz w:val="21"/>
        </w:rPr>
        <w:t>①訪問介護事業所の従事者数・受入可否・稼働率を照会する。見える化システムの事業所別指標（令和8年7月の新機能）でも確かめられる。②ケアプラン点検の中で、訪問介護の位置づけを確かめる。サービス未利用者154人のうち、訪問介護が必要と考えられる方がどれだけいるかを見る。③町内に事業所がないサービスについて、町外の事業所による給付で足りているかを自給率（見える化のδ系列）で確かめる。</w:t>
      </w:r>
    </w:p>
    <w:p>
      <w:pPr>
        <w:pStyle w:val="Heading2"/>
        <w:keepNext/>
        <w:spacing w:before="180" w:after="100"/>
      </w:pPr>
      <w:bookmarkStart w:id="116" w:name="_Toc_016"/>
      <w:r>
        <w:rPr>
          <w:rFonts w:ascii="游ゴシック" w:hAnsi="游ゴシック" w:eastAsia="游ゴシック"/>
          <w:b/>
          <w:i w:val="0"/>
          <w:color w:val="2E74B5"/>
          <w:sz w:val="25"/>
        </w:rPr>
        <w:t>(4)　問題を解決するための対応策</w:t>
      </w:r>
      <w:bookmarkEnd w:id="116"/>
    </w:p>
    <w:p>
      <w:pPr>
        <w:spacing w:before="60" w:after="60"/>
      </w:pPr>
      <w:r>
        <w:rPr>
          <w:rFonts w:ascii="游ゴシック" w:hAnsi="游ゴシック" w:eastAsia="游ゴシック"/>
          <w:b w:val="0"/>
          <w:i w:val="0"/>
          <w:sz w:val="21"/>
        </w:rPr>
        <w:t>①訪問介護の担い手の確保を第10期の重点に置く。生産年齢人口が令和2年の4,677人から令和32年の2,399人へ半減する見通しのもとでは、事業の拡大より担い手の確保が先に要る。②家族介護を前提としない支援の組み立て。介護者の高齢化と就労の増加を踏まえ、ケアマネジメントの中で家族の負担を測る仕組みを入れる。③町内に事業所がないサービスは、整備するか、町外の事業所による給付で足りているとみるかを計画の中で明示的に判断する（整備しないという判断も書く）。④認知症対応型通所介護の落ち込みについて、事業所の状況を確かめたうえで、認知症の方の日中の居場所をどう確保するかを定める。</w:t>
      </w:r>
    </w:p>
    <w:p>
      <w:pPr>
        <w:pStyle w:val="Heading1"/>
        <w:keepNext/>
        <w:spacing w:before="240" w:after="100"/>
      </w:pPr>
      <w:bookmarkStart w:id="117" w:name="_Toc_017"/>
      <w:r>
        <w:rPr>
          <w:rFonts w:ascii="游ゴシック" w:hAnsi="游ゴシック" w:eastAsia="游ゴシック"/>
          <w:b/>
          <w:i w:val="0"/>
          <w:color w:val="2E74B5"/>
          <w:sz w:val="30"/>
        </w:rPr>
        <w:t>4　記入にあたっての考え方</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55"/>
        <w:gridCol w:w="3369"/>
        <w:gridCol w:w="5027"/>
      </w:tblGrid>
      <w:tr>
        <w:tc>
          <w:tcPr>
            <w:tcW w:type="dxa" w:w="1355"/>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369"/>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5027"/>
            <w:shd w:val="clear" w:fill="1F3864"/>
            <w:vAlign w:val="center"/>
          </w:tcPr>
          <w:p>
            <w:pPr>
              <w:spacing w:before="20" w:after="20"/>
              <w:jc w:val="center"/>
            </w:pPr>
            <w:r>
              <w:rPr>
                <w:rFonts w:ascii="游ゴシック" w:hAnsi="游ゴシック" w:eastAsia="游ゴシック"/>
                <w:b/>
                <w:i w:val="0"/>
                <w:color w:val="FFFFFF"/>
                <w:sz w:val="17"/>
              </w:rPr>
              <w:t>理由</w:t>
            </w:r>
          </w:p>
        </w:tc>
      </w:tr>
      <w:tr>
        <w:tc>
          <w:tcPr>
            <w:tcW w:type="dxa" w:w="1355"/>
            <w:vAlign w:val="center"/>
          </w:tcPr>
          <w:p>
            <w:pPr>
              <w:spacing w:before="20" w:after="20"/>
            </w:pPr>
            <w:r>
              <w:rPr>
                <w:rFonts w:ascii="游ゴシック" w:hAnsi="游ゴシック" w:eastAsia="游ゴシック"/>
                <w:b w:val="0"/>
                <w:i w:val="0"/>
                <w:sz w:val="17"/>
              </w:rPr>
              <w:t>1</w:t>
            </w:r>
          </w:p>
        </w:tc>
        <w:tc>
          <w:tcPr>
            <w:tcW w:type="dxa" w:w="3369"/>
            <w:vAlign w:val="center"/>
          </w:tcPr>
          <w:p>
            <w:pPr>
              <w:spacing w:before="20" w:after="20"/>
            </w:pPr>
            <w:r>
              <w:rPr>
                <w:rFonts w:ascii="游ゴシック" w:hAnsi="游ゴシック" w:eastAsia="游ゴシック"/>
                <w:b/>
                <w:i w:val="0"/>
                <w:sz w:val="17"/>
              </w:rPr>
              <w:t>認定率そのものを下げることを目標にしない</w:t>
            </w:r>
          </w:p>
        </w:tc>
        <w:tc>
          <w:tcPr>
            <w:tcW w:type="dxa" w:w="5027"/>
            <w:vAlign w:val="center"/>
          </w:tcPr>
          <w:p>
            <w:pPr>
              <w:spacing w:before="20" w:after="20"/>
            </w:pPr>
            <w:r>
              <w:rPr>
                <w:rFonts w:ascii="游ゴシック" w:hAnsi="游ゴシック" w:eastAsia="游ゴシック"/>
                <w:b w:val="0"/>
                <w:i w:val="0"/>
                <w:sz w:val="17"/>
              </w:rPr>
              <w:t>必要な方が認定を受けられないことは目的に反する。</w:t>
            </w:r>
            <w:r>
              <w:rPr>
                <w:rFonts w:ascii="游ゴシック" w:hAnsi="游ゴシック" w:eastAsia="游ゴシック"/>
                <w:b/>
                <w:i w:val="0"/>
                <w:sz w:val="17"/>
              </w:rPr>
              <w:t>重度（要介護3〜5）の認定率が下がることを成果とみる</w:t>
            </w:r>
          </w:p>
        </w:tc>
      </w:tr>
      <w:tr>
        <w:tc>
          <w:tcPr>
            <w:tcW w:type="dxa" w:w="1355"/>
            <w:vAlign w:val="center"/>
          </w:tcPr>
          <w:p>
            <w:pPr>
              <w:spacing w:before="20" w:after="20"/>
            </w:pPr>
            <w:r>
              <w:rPr>
                <w:rFonts w:ascii="游ゴシック" w:hAnsi="游ゴシック" w:eastAsia="游ゴシック"/>
                <w:b w:val="0"/>
                <w:i w:val="0"/>
                <w:sz w:val="17"/>
              </w:rPr>
              <w:t>2</w:t>
            </w:r>
          </w:p>
        </w:tc>
        <w:tc>
          <w:tcPr>
            <w:tcW w:type="dxa" w:w="3369"/>
            <w:vAlign w:val="center"/>
          </w:tcPr>
          <w:p>
            <w:pPr>
              <w:spacing w:before="20" w:after="20"/>
            </w:pPr>
            <w:r>
              <w:rPr>
                <w:rFonts w:ascii="游ゴシック" w:hAnsi="游ゴシック" w:eastAsia="游ゴシック"/>
                <w:b/>
                <w:i w:val="0"/>
                <w:sz w:val="17"/>
              </w:rPr>
              <w:t>需要と供給を分けて書く</w:t>
            </w:r>
          </w:p>
        </w:tc>
        <w:tc>
          <w:tcPr>
            <w:tcW w:type="dxa" w:w="5027"/>
            <w:vAlign w:val="center"/>
          </w:tcPr>
          <w:p>
            <w:pPr>
              <w:spacing w:before="20" w:after="20"/>
            </w:pPr>
            <w:r>
              <w:rPr>
                <w:rFonts w:ascii="游ゴシック" w:hAnsi="游ゴシック" w:eastAsia="游ゴシック"/>
                <w:b w:val="0"/>
                <w:i w:val="0"/>
                <w:sz w:val="17"/>
              </w:rPr>
              <w:t>在宅が伸びていないことについて、調査では供給側の理由を挙げた方は1人にとどまる。「足りない」と「使われていない」は対応策が違う</w:t>
            </w:r>
          </w:p>
        </w:tc>
      </w:tr>
      <w:tr>
        <w:tc>
          <w:tcPr>
            <w:tcW w:type="dxa" w:w="1355"/>
            <w:vAlign w:val="center"/>
          </w:tcPr>
          <w:p>
            <w:pPr>
              <w:keepNext/>
              <w:spacing w:before="20" w:after="20"/>
            </w:pPr>
            <w:r>
              <w:rPr>
                <w:rFonts w:ascii="游ゴシック" w:hAnsi="游ゴシック" w:eastAsia="游ゴシック"/>
                <w:b w:val="0"/>
                <w:i w:val="0"/>
                <w:sz w:val="17"/>
              </w:rPr>
              <w:t>3</w:t>
            </w:r>
          </w:p>
        </w:tc>
        <w:tc>
          <w:tcPr>
            <w:tcW w:type="dxa" w:w="3369"/>
            <w:vAlign w:val="center"/>
          </w:tcPr>
          <w:p>
            <w:pPr>
              <w:keepNext/>
              <w:spacing w:before="20" w:after="20"/>
            </w:pPr>
            <w:r>
              <w:rPr>
                <w:rFonts w:ascii="游ゴシック" w:hAnsi="游ゴシック" w:eastAsia="游ゴシック"/>
                <w:b/>
                <w:i w:val="0"/>
                <w:sz w:val="17"/>
              </w:rPr>
              <w:t>町内に事業所がないサービスは、整備しないことも判断として書く</w:t>
            </w:r>
          </w:p>
        </w:tc>
        <w:tc>
          <w:tcPr>
            <w:tcW w:type="dxa" w:w="5027"/>
            <w:vAlign w:val="center"/>
          </w:tcPr>
          <w:p>
            <w:pPr>
              <w:keepNext/>
              <w:spacing w:before="20" w:after="20"/>
            </w:pPr>
            <w:r>
              <w:rPr>
                <w:rFonts w:ascii="游ゴシック" w:hAnsi="游ゴシック" w:eastAsia="游ゴシック"/>
                <w:b w:val="0"/>
                <w:i w:val="0"/>
                <w:sz w:val="17"/>
              </w:rPr>
              <w:t>給付がないことと事業所がないことは別である。町外の事業所による給付で足りているかを自給率で確かめる</w:t>
            </w:r>
          </w:p>
        </w:tc>
      </w:tr>
      <w:tr>
        <w:tc>
          <w:tcPr>
            <w:tcW w:type="dxa" w:w="1355"/>
            <w:vAlign w:val="center"/>
          </w:tcPr>
          <w:p>
            <w:pPr>
              <w:spacing w:before="20" w:after="20"/>
            </w:pPr>
            <w:r>
              <w:rPr>
                <w:rFonts w:ascii="游ゴシック" w:hAnsi="游ゴシック" w:eastAsia="游ゴシック"/>
                <w:b w:val="0"/>
                <w:i w:val="0"/>
                <w:sz w:val="17"/>
              </w:rPr>
              <w:t>4</w:t>
            </w:r>
          </w:p>
        </w:tc>
        <w:tc>
          <w:tcPr>
            <w:tcW w:type="dxa" w:w="3369"/>
            <w:vAlign w:val="center"/>
          </w:tcPr>
          <w:p>
            <w:pPr>
              <w:spacing w:before="20" w:after="20"/>
            </w:pPr>
            <w:r>
              <w:rPr>
                <w:rFonts w:ascii="游ゴシック" w:hAnsi="游ゴシック" w:eastAsia="游ゴシック"/>
                <w:b/>
                <w:i w:val="0"/>
                <w:sz w:val="17"/>
              </w:rPr>
              <w:t>検証方法は、いま手元にない資料を明記する</w:t>
            </w:r>
          </w:p>
        </w:tc>
        <w:tc>
          <w:tcPr>
            <w:tcW w:type="dxa" w:w="5027"/>
            <w:vAlign w:val="center"/>
          </w:tcPr>
          <w:p>
            <w:pPr>
              <w:spacing w:before="20" w:after="20"/>
            </w:pPr>
            <w:r>
              <w:rPr>
                <w:rFonts w:ascii="游ゴシック" w:hAnsi="游ゴシック" w:eastAsia="游ゴシック"/>
                <w:b w:val="0"/>
                <w:i w:val="0"/>
                <w:sz w:val="17"/>
              </w:rPr>
              <w:t>個票データ、事業所への照会、町の認定データなど。</w:t>
            </w:r>
            <w:r>
              <w:rPr>
                <w:rFonts w:ascii="游ゴシック" w:hAnsi="游ゴシック" w:eastAsia="游ゴシック"/>
                <w:b/>
                <w:i w:val="0"/>
                <w:sz w:val="17"/>
              </w:rPr>
              <w:t>何を確かめれば仮説が確かめられるかを書くこと自体が評価指標の求めるところである</w:t>
            </w:r>
          </w:p>
        </w:tc>
      </w:tr>
    </w:tbl>
    <w:p>
      <w:pPr>
        <w:spacing w:after="40"/>
      </w:pPr>
    </w:p>
    <w:p>
      <w:pPr>
        <w:pStyle w:val="Heading1"/>
        <w:keepNext/>
        <w:spacing w:before="240" w:after="100"/>
      </w:pPr>
      <w:bookmarkStart w:id="118" w:name="_Toc_018"/>
      <w:r>
        <w:rPr>
          <w:rFonts w:ascii="游ゴシック" w:hAnsi="游ゴシック" w:eastAsia="游ゴシック"/>
          <w:b/>
          <w:i w:val="0"/>
          <w:color w:val="2E74B5"/>
          <w:sz w:val="30"/>
        </w:rPr>
        <w:t>5　町にご確認いただきたいこと</w:t>
      </w:r>
      <w:bookmarkEnd w:id="11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29"/>
        <w:gridCol w:w="3975"/>
        <w:gridCol w:w="4247"/>
      </w:tblGrid>
      <w:tr>
        <w:tc>
          <w:tcPr>
            <w:tcW w:type="dxa" w:w="1529"/>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97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247"/>
            <w:shd w:val="clear" w:fill="1F3864"/>
            <w:vAlign w:val="center"/>
          </w:tcPr>
          <w:p>
            <w:pPr>
              <w:spacing w:before="20" w:after="20"/>
              <w:jc w:val="center"/>
            </w:pPr>
            <w:r>
              <w:rPr>
                <w:rFonts w:ascii="游ゴシック" w:hAnsi="游ゴシック" w:eastAsia="游ゴシック"/>
                <w:b/>
                <w:i w:val="0"/>
                <w:color w:val="FFFFFF"/>
                <w:sz w:val="17"/>
              </w:rPr>
              <w:t>どの欄に関わるか</w:t>
            </w:r>
          </w:p>
        </w:tc>
      </w:tr>
      <w:tr>
        <w:tc>
          <w:tcPr>
            <w:tcW w:type="dxa" w:w="1529"/>
            <w:vAlign w:val="center"/>
          </w:tcPr>
          <w:p>
            <w:pPr>
              <w:spacing w:before="20" w:after="20"/>
            </w:pPr>
            <w:r>
              <w:rPr>
                <w:rFonts w:ascii="游ゴシック" w:hAnsi="游ゴシック" w:eastAsia="游ゴシック"/>
                <w:b w:val="0"/>
                <w:i w:val="0"/>
                <w:sz w:val="17"/>
              </w:rPr>
              <w:t>1</w:t>
            </w:r>
          </w:p>
        </w:tc>
        <w:tc>
          <w:tcPr>
            <w:tcW w:type="dxa" w:w="3975"/>
            <w:vAlign w:val="center"/>
          </w:tcPr>
          <w:p>
            <w:pPr>
              <w:spacing w:before="20" w:after="20"/>
            </w:pPr>
            <w:r>
              <w:rPr>
                <w:rFonts w:ascii="游ゴシック" w:hAnsi="游ゴシック" w:eastAsia="游ゴシック"/>
                <w:b/>
                <w:i w:val="0"/>
                <w:sz w:val="17"/>
              </w:rPr>
              <w:t>令和7年8〜9月に認定者数の計上方法を変えたか</w:t>
            </w:r>
          </w:p>
        </w:tc>
        <w:tc>
          <w:tcPr>
            <w:tcW w:type="dxa" w:w="4247"/>
            <w:vAlign w:val="center"/>
          </w:tcPr>
          <w:p>
            <w:pPr>
              <w:spacing w:before="20" w:after="20"/>
            </w:pPr>
            <w:r>
              <w:rPr>
                <w:rFonts w:ascii="游ゴシック" w:hAnsi="游ゴシック" w:eastAsia="游ゴシック"/>
                <w:b w:val="0"/>
                <w:i w:val="0"/>
                <w:sz w:val="17"/>
              </w:rPr>
              <w:t>認定率の考察（2か年で4ポイント下がっている理由）</w:t>
            </w:r>
          </w:p>
        </w:tc>
      </w:tr>
      <w:tr>
        <w:tc>
          <w:tcPr>
            <w:tcW w:type="dxa" w:w="1529"/>
            <w:vAlign w:val="center"/>
          </w:tcPr>
          <w:p>
            <w:pPr>
              <w:spacing w:before="20" w:after="20"/>
            </w:pPr>
            <w:r>
              <w:rPr>
                <w:rFonts w:ascii="游ゴシック" w:hAnsi="游ゴシック" w:eastAsia="游ゴシック"/>
                <w:b w:val="0"/>
                <w:i w:val="0"/>
                <w:sz w:val="17"/>
              </w:rPr>
              <w:t>2</w:t>
            </w:r>
          </w:p>
        </w:tc>
        <w:tc>
          <w:tcPr>
            <w:tcW w:type="dxa" w:w="3975"/>
            <w:vAlign w:val="center"/>
          </w:tcPr>
          <w:p>
            <w:pPr>
              <w:spacing w:before="20" w:after="20"/>
            </w:pPr>
            <w:r>
              <w:rPr>
                <w:rFonts w:ascii="游ゴシック" w:hAnsi="游ゴシック" w:eastAsia="游ゴシック"/>
                <w:b w:val="0"/>
                <w:i w:val="0"/>
                <w:sz w:val="17"/>
              </w:rPr>
              <w:t>令和7年度調査の個票データ（クロス集計に要る）</w:t>
            </w:r>
          </w:p>
        </w:tc>
        <w:tc>
          <w:tcPr>
            <w:tcW w:type="dxa" w:w="4247"/>
            <w:vAlign w:val="center"/>
          </w:tcPr>
          <w:p>
            <w:pPr>
              <w:spacing w:before="20" w:after="20"/>
            </w:pPr>
            <w:r>
              <w:rPr>
                <w:rFonts w:ascii="游ゴシック" w:hAnsi="游ゴシック" w:eastAsia="游ゴシック"/>
                <w:b w:val="0"/>
                <w:i w:val="0"/>
                <w:sz w:val="17"/>
              </w:rPr>
              <w:t>受給率の検証方法（未利用者154人の状態像）</w:t>
            </w:r>
          </w:p>
        </w:tc>
      </w:tr>
      <w:tr>
        <w:tc>
          <w:tcPr>
            <w:tcW w:type="dxa" w:w="1529"/>
            <w:vAlign w:val="center"/>
          </w:tcPr>
          <w:p>
            <w:pPr>
              <w:keepNext/>
              <w:spacing w:before="20" w:after="20"/>
            </w:pPr>
            <w:r>
              <w:rPr>
                <w:rFonts w:ascii="游ゴシック" w:hAnsi="游ゴシック" w:eastAsia="游ゴシック"/>
                <w:b w:val="0"/>
                <w:i w:val="0"/>
                <w:sz w:val="17"/>
              </w:rPr>
              <w:t>3</w:t>
            </w:r>
          </w:p>
        </w:tc>
        <w:tc>
          <w:tcPr>
            <w:tcW w:type="dxa" w:w="3975"/>
            <w:vAlign w:val="center"/>
          </w:tcPr>
          <w:p>
            <w:pPr>
              <w:keepNext/>
              <w:spacing w:before="20" w:after="20"/>
            </w:pPr>
            <w:r>
              <w:rPr>
                <w:rFonts w:ascii="游ゴシック" w:hAnsi="游ゴシック" w:eastAsia="游ゴシック"/>
                <w:b w:val="0"/>
                <w:i w:val="0"/>
                <w:sz w:val="17"/>
              </w:rPr>
              <w:t>訪問介護事業所の従事者数・受入可否・稼働率</w:t>
            </w:r>
          </w:p>
        </w:tc>
        <w:tc>
          <w:tcPr>
            <w:tcW w:type="dxa" w:w="4247"/>
            <w:vAlign w:val="center"/>
          </w:tcPr>
          <w:p>
            <w:pPr>
              <w:keepNext/>
              <w:spacing w:before="20" w:after="20"/>
            </w:pPr>
            <w:r>
              <w:rPr>
                <w:rFonts w:ascii="游ゴシック" w:hAnsi="游ゴシック" w:eastAsia="游ゴシック"/>
                <w:b w:val="0"/>
                <w:i w:val="0"/>
                <w:sz w:val="17"/>
              </w:rPr>
              <w:t>給付月額の検証方法（訪問介護が全国の半分である理由）</w:t>
            </w:r>
          </w:p>
        </w:tc>
      </w:tr>
      <w:tr>
        <w:tc>
          <w:tcPr>
            <w:tcW w:type="dxa" w:w="1529"/>
            <w:vAlign w:val="center"/>
          </w:tcPr>
          <w:p>
            <w:pPr>
              <w:spacing w:before="20" w:after="20"/>
            </w:pPr>
            <w:r>
              <w:rPr>
                <w:rFonts w:ascii="游ゴシック" w:hAnsi="游ゴシック" w:eastAsia="游ゴシック"/>
                <w:b w:val="0"/>
                <w:i w:val="0"/>
                <w:sz w:val="17"/>
              </w:rPr>
              <w:t>4</w:t>
            </w:r>
          </w:p>
        </w:tc>
        <w:tc>
          <w:tcPr>
            <w:tcW w:type="dxa" w:w="3975"/>
            <w:vAlign w:val="center"/>
          </w:tcPr>
          <w:p>
            <w:pPr>
              <w:spacing w:before="20" w:after="20"/>
            </w:pPr>
            <w:r>
              <w:rPr>
                <w:rFonts w:ascii="游ゴシック" w:hAnsi="游ゴシック" w:eastAsia="游ゴシック"/>
                <w:b w:val="0"/>
                <w:i w:val="0"/>
                <w:sz w:val="17"/>
              </w:rPr>
              <w:t>訪問型サービスB・通所型サービスBの実態</w:t>
            </w:r>
          </w:p>
        </w:tc>
        <w:tc>
          <w:tcPr>
            <w:tcW w:type="dxa" w:w="4247"/>
            <w:vAlign w:val="center"/>
          </w:tcPr>
          <w:p>
            <w:pPr>
              <w:spacing w:before="20" w:after="20"/>
            </w:pPr>
            <w:r>
              <w:rPr>
                <w:rFonts w:ascii="游ゴシック" w:hAnsi="游ゴシック" w:eastAsia="游ゴシック"/>
                <w:b w:val="0"/>
                <w:i w:val="0"/>
                <w:sz w:val="17"/>
              </w:rPr>
              <w:t>受給率の対応策（受け皿の整備）</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地域分析・検討シートの記入案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地域分析・検討シートの記入案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地域分析・検討シートの記入案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