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案（公表用）</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計画の位置づけ</w:t>
      </w:r>
    </w:p>
    <w:p>
      <w:pPr>
        <w:keepNext/>
        <w:keepLines/>
        <w:spacing w:after="100" w:line="300" w:lineRule="exact"/>
      </w:pPr>
      <w:r>
        <w:rPr>
          <w:rFonts w:ascii="游ゴシック" w:cs="游ゴシック" w:eastAsia="游ゴシック" w:hAnsi="游ゴシック"/>
          <w:b/>
          <w:bCs/>
          <w:color w:val="2E75B6"/>
          <w:sz w:val="22"/>
          <w:szCs w:val="22"/>
        </w:rPr>
        <w:t xml:space="preserve">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游ゴシック" w:cs="游ゴシック" w:eastAsia="游ゴシック" w:hAnsi="游ゴシック"/>
          <w:sz w:val="21"/>
          <w:szCs w:val="21"/>
        </w:rPr>
        <w:t xml:space="preserve">■ 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計画の対象</w:t>
      </w:r>
    </w:p>
    <w:p>
      <w:pPr>
        <w:spacing w:after="120" w:line="300" w:lineRule="exact"/>
      </w:pPr>
      <w:r>
        <w:rPr>
          <w:rFonts w:ascii="游ゴシック" w:cs="游ゴシック" w:eastAsia="游ゴシック" w:hAnsi="游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日常生活圏域</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計画の策定体制</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および施策4-3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高齢者を取り巻く現状</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游ゴシック" w:cs="游ゴシック" w:eastAsia="游ゴシック" w:hAnsi="游ゴシック"/>
          <w:sz w:val="21"/>
          <w:szCs w:val="21"/>
        </w:rPr>
        <w:t xml:space="preserve">■ 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游ゴシック" w:cs="游ゴシック" w:eastAsia="游ゴシック" w:hAnsi="游ゴシック"/>
          <w:sz w:val="21"/>
          <w:szCs w:val="21"/>
        </w:rPr>
        <w:t xml:space="preserve">■ 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20" w:line="300" w:lineRule="exact"/>
      </w:pPr>
      <w:r>
        <w:rPr>
          <w:rFonts w:ascii="游ゴシック" w:cs="游ゴシック" w:eastAsia="游ゴシック" w:hAnsi="游ゴシック"/>
          <w:sz w:val="21"/>
          <w:szCs w:val="21"/>
        </w:rPr>
        <w:t xml:space="preserve">■ 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游ゴシック" w:cs="游ゴシック" w:eastAsia="游ゴシック" w:hAnsi="游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游ゴシック" w:cs="游ゴシック" w:eastAsia="游ゴシック" w:hAnsi="游ゴシック"/>
          <w:sz w:val="21"/>
          <w:szCs w:val="21"/>
        </w:rPr>
        <w:t xml:space="preserve">■ 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介護サービスの利用状況</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游ゴシック" w:cs="游ゴシック" w:eastAsia="游ゴシック" w:hAnsi="游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游ゴシック" w:cs="游ゴシック" w:eastAsia="游ゴシック" w:hAnsi="游ゴシック"/>
          <w:sz w:val="21"/>
          <w:szCs w:val="21"/>
        </w:rPr>
        <w:t xml:space="preserve">■ 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高齢者福祉の取組み状況</w:t>
      </w:r>
    </w:p>
    <w:p>
      <w:pPr>
        <w:spacing w:after="120" w:line="300" w:lineRule="exact"/>
      </w:pPr>
      <w:r>
        <w:rPr>
          <w:rFonts w:ascii="游ゴシック" w:cs="游ゴシック" w:eastAsia="游ゴシック" w:hAnsi="游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100" w:line="300" w:lineRule="exact"/>
      </w:pPr>
      <w:r>
        <w:rPr>
          <w:rFonts w:ascii="游ゴシック" w:cs="游ゴシック" w:eastAsia="游ゴシック" w:hAnsi="游ゴシック"/>
          <w:b/>
          <w:bCs/>
          <w:color w:val="2E75B6"/>
          <w:sz w:val="22"/>
          <w:szCs w:val="22"/>
        </w:rPr>
        <w:t xml:space="preserve">サービス供給体制の状況</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游ゴシック" w:cs="游ゴシック" w:eastAsia="游ゴシック" w:hAnsi="游ゴシック"/>
          <w:sz w:val="21"/>
          <w:szCs w:val="21"/>
        </w:rPr>
        <w:t xml:space="preserve">■ 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游ゴシック" w:cs="游ゴシック" w:eastAsia="游ゴシック" w:hAnsi="游ゴシック"/>
          <w:sz w:val="21"/>
          <w:szCs w:val="21"/>
        </w:rPr>
        <w:t xml:space="preserve">■ 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游ゴシック" w:cs="游ゴシック" w:eastAsia="游ゴシック" w:hAnsi="游ゴシック"/>
          <w:sz w:val="21"/>
          <w:szCs w:val="21"/>
        </w:rPr>
        <w:t xml:space="preserve">■ 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游ゴシック" w:cs="游ゴシック" w:eastAsia="游ゴシック" w:hAnsi="游ゴシック"/>
          <w:sz w:val="21"/>
          <w:szCs w:val="21"/>
        </w:rPr>
        <w:t xml:space="preserve">■ 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游ゴシック" w:cs="游ゴシック" w:eastAsia="游ゴシック" w:hAnsi="游ゴシック"/>
          <w:sz w:val="21"/>
          <w:szCs w:val="21"/>
        </w:rPr>
        <w:t xml:space="preserve">■ 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游ゴシック" w:cs="游ゴシック" w:eastAsia="游ゴシック" w:hAnsi="游ゴシック"/>
          <w:sz w:val="21"/>
          <w:szCs w:val="21"/>
        </w:rPr>
        <w:t xml:space="preserve">■ 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游ゴシック" w:cs="游ゴシック" w:eastAsia="游ゴシック" w:hAnsi="游ゴシック"/>
          <w:sz w:val="21"/>
          <w:szCs w:val="21"/>
        </w:rPr>
        <w:t xml:space="preserve">■ 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介護保険財政の状況</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游ゴシック" w:cs="游ゴシック" w:eastAsia="游ゴシック" w:hAnsi="游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計画の基本目標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計画の体系及びＳＤＧｓ</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keepNext/>
        <w:keepLines/>
        <w:spacing w:after="100" w:line="300" w:lineRule="exact"/>
      </w:pPr>
      <w:r>
        <w:rPr>
          <w:rFonts w:ascii="游ゴシック" w:cs="游ゴシック" w:eastAsia="游ゴシック" w:hAnsi="游ゴシック"/>
          <w:b/>
          <w:bCs/>
          <w:color w:val="2E75B6"/>
          <w:sz w:val="22"/>
          <w:szCs w:val="22"/>
        </w:rPr>
        <w:t xml:space="preserve">施策の体系</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游ゴシック" w:cs="游ゴシック" w:eastAsia="游ゴシック" w:hAnsi="游ゴシック"/>
          <w:b/>
          <w:bCs/>
          <w:color w:val="2E75B6"/>
          <w:sz w:val="22"/>
          <w:szCs w:val="22"/>
        </w:rPr>
        <w:t xml:space="preserve">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基本目標1　健康づくりと介護予防施策の充実・推進</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高齢者の健康づくりの推進と介護予防</w:t>
      </w:r>
    </w:p>
    <w:p>
      <w:pPr>
        <w:keepNext/>
        <w:keepLines/>
        <w:spacing w:after="100" w:line="300" w:lineRule="exact"/>
      </w:pPr>
      <w:r>
        <w:rPr>
          <w:rFonts w:ascii="游ゴシック" w:cs="游ゴシック" w:eastAsia="游ゴシック" w:hAnsi="游ゴシック"/>
          <w:b/>
          <w:bCs/>
          <w:color w:val="2E75B6"/>
          <w:sz w:val="22"/>
          <w:szCs w:val="22"/>
        </w:rPr>
        <w:t xml:space="preserve">通いの場の開催頻度の向上と地区差の是正</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一般介護予防事業の拡充</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施策4-3(2)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地域リハビリテーション活動支援事業の推進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高齢者の保健・医療・福祉サービスの充実</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介護予防・日常生活支援総合事業の充実</w:t>
      </w:r>
    </w:p>
    <w:p>
      <w:pPr>
        <w:keepNext/>
        <w:keepLines/>
        <w:spacing w:after="100" w:line="300" w:lineRule="exact"/>
      </w:pPr>
      <w:r>
        <w:rPr>
          <w:rFonts w:ascii="游ゴシック" w:cs="游ゴシック" w:eastAsia="游ゴシック" w:hAnsi="游ゴシック"/>
          <w:b/>
          <w:bCs/>
          <w:color w:val="2E75B6"/>
          <w:sz w:val="22"/>
          <w:szCs w:val="22"/>
        </w:rPr>
        <w:t xml:space="preserve">総合事業における多様なサービスの実施</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介護予防におけるデータ活用</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高齢者の生きがいのある暮らしの推進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住まいの安定的な確保</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日常生活の安全確保</w:t>
      </w:r>
    </w:p>
    <w:p>
      <w:pPr>
        <w:keepNext/>
        <w:keepLines/>
        <w:spacing w:after="100" w:line="300" w:lineRule="exact"/>
      </w:pPr>
      <w:r>
        <w:rPr>
          <w:rFonts w:ascii="游ゴシック" w:cs="游ゴシック" w:eastAsia="游ゴシック" w:hAnsi="游ゴシック"/>
          <w:b/>
          <w:bCs/>
          <w:color w:val="2E75B6"/>
          <w:sz w:val="22"/>
          <w:szCs w:val="22"/>
        </w:rPr>
        <w:t xml:space="preserve">日常生活の安全確保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高齢者の移動に関する支援</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冬期の生活支援（除雪）</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地域支え合い等の住民参加活動の促進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居宅サービスの提供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居宅サービスの確保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游ゴシック" w:cs="游ゴシック" w:eastAsia="游ゴシック" w:hAnsi="游ゴシック"/>
          <w:b/>
          <w:bCs/>
          <w:color w:val="2E75B6"/>
          <w:sz w:val="22"/>
          <w:szCs w:val="22"/>
        </w:rPr>
        <w:t xml:space="preserve">短期入所サービスの確保</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地域密着型サービスの提供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施設サービスの提供</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地域包括ケアシステムの深化・推進</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地域包括支援センターの機能強化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地域ケア会議の充実</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在宅医療・介護連携の推進</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游ゴシック" w:cs="游ゴシック" w:eastAsia="游ゴシック" w:hAnsi="游ゴシック"/>
          <w:b/>
          <w:bCs/>
          <w:color w:val="2E75B6"/>
          <w:sz w:val="22"/>
          <w:szCs w:val="22"/>
        </w:rPr>
        <w:t xml:space="preserve">生活支援体制の整備</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認知症施策の推進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任意事業の充実</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令和8年を100としたときの増減率です。認定者数は5-2の見込み（214人→214人→217人→220人）、第1号被保険者数は5-2の見込み（1,012人→1,004人→995人→987人）によります。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成年後見制度の利用促進</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介護人材の確保と生産性向上</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5-2(1)・施策4-3(1)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5-2(1)(2)・施策4-3(1)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基本理念（3-2）および基本目標4に反映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介護保険料の設定</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第1号被保険者の保険料</w:t>
      </w:r>
    </w:p>
    <w:p>
      <w:pPr>
        <w:spacing w:after="120" w:line="300" w:lineRule="exact"/>
      </w:pPr>
      <w:r>
        <w:rPr>
          <w:rFonts w:ascii="游ゴシック" w:cs="游ゴシック" w:eastAsia="游ゴシック" w:hAnsi="游ゴシック"/>
          <w:sz w:val="21"/>
          <w:szCs w:val="21"/>
        </w:rPr>
        <w:t xml:space="preserve">■ 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游ゴシック" w:cs="游ゴシック" w:eastAsia="游ゴシック" w:hAnsi="游ゴシック"/>
          <w:sz w:val="21"/>
          <w:szCs w:val="21"/>
        </w:rPr>
        <w:t xml:space="preserve">■ 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游ゴシック" w:cs="游ゴシック" w:eastAsia="游ゴシック" w:hAnsi="游ゴシック"/>
          <w:sz w:val="21"/>
          <w:szCs w:val="21"/>
        </w:rPr>
        <w:t xml:space="preserve">■ 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游ゴシック" w:cs="游ゴシック" w:eastAsia="游ゴシック" w:hAnsi="游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游ゴシック" w:cs="游ゴシック" w:eastAsia="游ゴシック" w:hAnsi="游ゴシック"/>
          <w:sz w:val="21"/>
          <w:szCs w:val="21"/>
        </w:rPr>
        <w:t xml:space="preserve">■ 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游ゴシック" w:cs="游ゴシック" w:eastAsia="游ゴシック" w:hAnsi="游ゴシック"/>
          <w:sz w:val="21"/>
          <w:szCs w:val="21"/>
        </w:rPr>
        <w:t xml:space="preserve">■ 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游ゴシック" w:cs="游ゴシック" w:eastAsia="游ゴシック" w:hAnsi="游ゴシック"/>
          <w:sz w:val="21"/>
          <w:szCs w:val="21"/>
        </w:rPr>
        <w:t xml:space="preserve">■ 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游ゴシック" w:cs="游ゴシック" w:eastAsia="游ゴシック" w:hAnsi="游ゴシック"/>
          <w:sz w:val="21"/>
          <w:szCs w:val="21"/>
        </w:rPr>
        <w:t xml:space="preserve">■ 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游ゴシック" w:cs="游ゴシック" w:eastAsia="游ゴシック" w:hAnsi="游ゴシック"/>
          <w:sz w:val="21"/>
          <w:szCs w:val="21"/>
        </w:rPr>
        <w:t xml:space="preserve">■ 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游ゴシック" w:cs="游ゴシック" w:eastAsia="游ゴシック" w:hAnsi="游ゴシック"/>
          <w:sz w:val="21"/>
          <w:szCs w:val="21"/>
        </w:rPr>
        <w:t xml:space="preserve">■ 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地域支援事業費を施策4-3(2)の積み上げに置き換える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游ゴシック" w:cs="游ゴシック" w:eastAsia="游ゴシック" w:hAnsi="游ゴシック"/>
          <w:sz w:val="21"/>
          <w:szCs w:val="21"/>
        </w:rPr>
        <w:t xml:space="preserve">■ 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游ゴシック" w:cs="游ゴシック" w:eastAsia="游ゴシック" w:hAnsi="游ゴシック"/>
          <w:sz w:val="21"/>
          <w:szCs w:val="21"/>
        </w:rPr>
        <w:t xml:space="preserve">■ 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lineRule="exact"/>
      </w:pPr>
      <w:r>
        <w:rPr>
          <w:rFonts w:ascii="游ゴシック" w:cs="游ゴシック" w:eastAsia="游ゴシック" w:hAnsi="游ゴシック"/>
          <w:sz w:val="21"/>
          <w:szCs w:val="21"/>
        </w:rPr>
        <w:t xml:space="preserve">■ 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spacing w:after="120" w:line="300" w:lineRule="exact"/>
      </w:pPr>
      <w:r>
        <w:rPr>
          <w:rFonts w:ascii="游ゴシック" w:cs="游ゴシック" w:eastAsia="游ゴシック" w:hAnsi="游ゴシック"/>
          <w:sz w:val="21"/>
          <w:szCs w:val="21"/>
        </w:rPr>
        <w:t xml:space="preserve">■ 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游ゴシック" w:cs="游ゴシック" w:eastAsia="游ゴシック" w:hAnsi="游ゴシック"/>
          <w:b/>
          <w:bCs/>
          <w:color w:val="2E75B6"/>
          <w:sz w:val="22"/>
          <w:szCs w:val="22"/>
        </w:rPr>
        <w:t xml:space="preserve">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游ゴシック" w:cs="游ゴシック" w:eastAsia="游ゴシック" w:hAnsi="游ゴシック"/>
          <w:sz w:val="21"/>
          <w:szCs w:val="21"/>
        </w:rPr>
        <w:t xml:space="preserve">■ 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游ゴシック" w:cs="游ゴシック" w:eastAsia="游ゴシック" w:hAnsi="游ゴシック"/>
          <w:sz w:val="21"/>
          <w:szCs w:val="21"/>
        </w:rPr>
        <w:t xml:space="preserve">■ 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游ゴシック" w:cs="游ゴシック" w:eastAsia="游ゴシック" w:hAnsi="游ゴシック"/>
          <w:sz w:val="21"/>
          <w:szCs w:val="21"/>
        </w:rPr>
        <w:t xml:space="preserve">■ 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游ゴシック" w:cs="游ゴシック" w:eastAsia="游ゴシック" w:hAnsi="游ゴシック"/>
          <w:sz w:val="21"/>
          <w:szCs w:val="21"/>
        </w:rPr>
        <w:t xml:space="preserve">■ 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給付費等の今後の見込み</w:t>
      </w:r>
    </w:p>
    <w:p>
      <w:pPr>
        <w:keepNext/>
        <w:keepLines/>
        <w:spacing w:after="100" w:line="300" w:lineRule="exact"/>
      </w:pPr>
      <w:r>
        <w:rPr>
          <w:rFonts w:ascii="游ゴシック" w:cs="游ゴシック" w:eastAsia="游ゴシック" w:hAnsi="游ゴシック"/>
          <w:b/>
          <w:bCs/>
          <w:color w:val="2E75B6"/>
          <w:sz w:val="22"/>
          <w:szCs w:val="22"/>
        </w:rPr>
        <w:t xml:space="preserve">標準給付費の見込み</w:t>
      </w:r>
    </w:p>
    <w:p>
      <w:pPr>
        <w:spacing w:after="120" w:line="300" w:lineRule="exact"/>
      </w:pPr>
      <w:r>
        <w:rPr>
          <w:rFonts w:ascii="游ゴシック" w:cs="游ゴシック" w:eastAsia="游ゴシック" w:hAnsi="游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游ゴシック" w:cs="游ゴシック" w:eastAsia="游ゴシック" w:hAnsi="游ゴシック"/>
          <w:sz w:val="21"/>
          <w:szCs w:val="21"/>
        </w:rPr>
        <w:t xml:space="preserve">■ 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施策4-3(2)の積み上げ（3か年122,737千円）を用いる場合は、保険料基準額が月額約22円上がります（5-1）。</w:t>
      </w:r>
    </w:p>
    <w:p>
      <w:pPr>
        <w:spacing w:after="120" w:line="300" w:lineRule="exact"/>
      </w:pPr>
      <w:r>
        <w:rPr>
          <w:rFonts w:ascii="游ゴシック" w:cs="游ゴシック" w:eastAsia="游ゴシック" w:hAnsi="游ゴシック"/>
          <w:sz w:val="21"/>
          <w:szCs w:val="21"/>
        </w:rPr>
        <w:t xml:space="preserve">■ 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游ゴシック" w:cs="游ゴシック" w:eastAsia="游ゴシック" w:hAnsi="游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游ゴシック" w:cs="游ゴシック" w:eastAsia="游ゴシック" w:hAnsi="游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游ゴシック" w:cs="游ゴシック" w:eastAsia="游ゴシック" w:hAnsi="游ゴシック"/>
          <w:sz w:val="21"/>
          <w:szCs w:val="21"/>
        </w:rPr>
        <w:t xml:space="preserve">■ 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游ゴシック" w:cs="游ゴシック" w:eastAsia="游ゴシック" w:hAnsi="游ゴシック"/>
          <w:sz w:val="21"/>
          <w:szCs w:val="21"/>
        </w:rPr>
        <w:t xml:space="preserve">■ 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游ゴシック" w:cs="游ゴシック" w:eastAsia="游ゴシック" w:hAnsi="游ゴシック"/>
          <w:sz w:val="21"/>
          <w:szCs w:val="21"/>
        </w:rPr>
        <w:t xml:space="preserve">■ 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游ゴシック" w:cs="游ゴシック" w:eastAsia="游ゴシック" w:hAnsi="游ゴシック"/>
          <w:sz w:val="21"/>
          <w:szCs w:val="21"/>
        </w:rPr>
        <w:t xml:space="preserve">■ 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 (1)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游ゴシック" w:cs="游ゴシック" w:eastAsia="游ゴシック" w:hAnsi="游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游ゴシック" w:cs="游ゴシック" w:eastAsia="游ゴシック" w:hAnsi="游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游ゴシック" w:cs="游ゴシック" w:eastAsia="游ゴシック" w:hAnsi="游ゴシック"/>
          <w:sz w:val="21"/>
          <w:szCs w:val="21"/>
        </w:rPr>
        <w:t xml:space="preserve">■ (4)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游ゴシック" w:cs="游ゴシック" w:eastAsia="游ゴシック" w:hAnsi="游ゴシック"/>
          <w:sz w:val="21"/>
          <w:szCs w:val="21"/>
        </w:rPr>
        <w:t xml:space="preserve">■ (5)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游ゴシック" w:cs="游ゴシック" w:eastAsia="游ゴシック" w:hAnsi="游ゴシック"/>
          <w:sz w:val="21"/>
          <w:szCs w:val="21"/>
        </w:rPr>
        <w:t xml:space="preserve">■ (6)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游ゴシック" w:cs="游ゴシック" w:eastAsia="游ゴシック" w:hAnsi="游ゴシック"/>
          <w:sz w:val="21"/>
          <w:szCs w:val="21"/>
        </w:rPr>
        <w:t xml:space="preserve">■ (7)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游ゴシック" w:cs="游ゴシック" w:eastAsia="游ゴシック" w:hAnsi="游ゴシック"/>
          <w:sz w:val="21"/>
          <w:szCs w:val="21"/>
        </w:rPr>
        <w:t xml:space="preserve">■ (8)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游ゴシック" w:cs="游ゴシック" w:eastAsia="游ゴシック" w:hAnsi="游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游ゴシック" w:cs="游ゴシック" w:eastAsia="游ゴシック" w:hAnsi="游ゴシック"/>
          <w:sz w:val="21"/>
          <w:szCs w:val="21"/>
        </w:rPr>
        <w:t xml:space="preserve">■ (10)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游ゴシック" w:cs="游ゴシック" w:eastAsia="游ゴシック" w:hAnsi="游ゴシック"/>
          <w:sz w:val="21"/>
          <w:szCs w:val="21"/>
        </w:rPr>
        <w:t xml:space="preserve">■ 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游ゴシック" w:cs="游ゴシック" w:eastAsia="游ゴシック" w:hAnsi="游ゴシック"/>
          <w:sz w:val="21"/>
          <w:szCs w:val="21"/>
        </w:rPr>
        <w:t xml:space="preserve">■ 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游ゴシック" w:cs="游ゴシック" w:eastAsia="游ゴシック" w:hAnsi="游ゴシック"/>
          <w:sz w:val="21"/>
          <w:szCs w:val="21"/>
        </w:rPr>
        <w:t xml:space="preserve">■ 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游ゴシック" w:cs="游ゴシック" w:eastAsia="游ゴシック" w:hAnsi="游ゴシック"/>
          <w:sz w:val="21"/>
          <w:szCs w:val="21"/>
        </w:rPr>
        <w:t xml:space="preserve">■ 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游ゴシック" w:cs="游ゴシック" w:eastAsia="游ゴシック" w:hAnsi="游ゴシック"/>
          <w:sz w:val="21"/>
          <w:szCs w:val="21"/>
        </w:rPr>
        <w:t xml:space="preserve">■ (11)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織り込んでいない。受給率は令和5〜7年度の3か年平均を固定。総合事業の訪問型A〜D・通所型A〜Cは令和5年度の決算で事業費の計上がないため0（施策4-3）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游ゴシック" w:cs="游ゴシック" w:eastAsia="游ゴシック" w:hAnsi="游ゴシック"/>
          <w:sz w:val="21"/>
          <w:szCs w:val="21"/>
        </w:rPr>
        <w:t xml:space="preserve">■ (12)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20" w:line="300" w:lineRule="exact"/>
      </w:pPr>
      <w:r>
        <w:rPr>
          <w:rFonts w:ascii="游ゴシック" w:cs="游ゴシック" w:eastAsia="游ゴシック" w:hAnsi="游ゴシック"/>
          <w:sz w:val="21"/>
          <w:szCs w:val="21"/>
        </w:rPr>
        <w:t xml:space="preserve">■ (13)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游ゴシック" w:cs="游ゴシック" w:eastAsia="游ゴシック" w:hAnsi="游ゴシック"/>
          <w:sz w:val="21"/>
          <w:szCs w:val="21"/>
        </w:rPr>
        <w:t xml:space="preserve">■ (14)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介護給付適正化計画</w:t>
      </w:r>
    </w:p>
    <w:p>
      <w:pPr>
        <w:keepNext/>
        <w:keepLines/>
        <w:spacing w:after="100" w:line="300" w:lineRule="exact"/>
      </w:pPr>
      <w:r>
        <w:rPr>
          <w:rFonts w:ascii="游ゴシック" w:cs="游ゴシック" w:eastAsia="游ゴシック" w:hAnsi="游ゴシック"/>
          <w:b/>
          <w:bCs/>
          <w:color w:val="2E75B6"/>
          <w:sz w:val="22"/>
          <w:szCs w:val="22"/>
        </w:rPr>
        <w:t xml:space="preserve">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游ゴシック" w:cs="游ゴシック" w:eastAsia="游ゴシック" w:hAnsi="游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游ゴシック" w:cs="游ゴシック" w:eastAsia="游ゴシック" w:hAnsi="游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游ゴシック" w:cs="游ゴシック" w:eastAsia="游ゴシック" w:hAnsi="游ゴシック"/>
          <w:sz w:val="21"/>
          <w:szCs w:val="21"/>
        </w:rPr>
        <w:t xml:space="preserve">■ (3)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当方の算定では上記の据え置きを前提に月額6,756円（5-1）。国の推計ワークシートによる基準額は月額5,513.72円（5-1）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照会の結果により5-1の感応度を用いて幅を示す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游ゴシック" w:cs="游ゴシック" w:eastAsia="游ゴシック" w:hAnsi="游ゴシック"/>
          <w:sz w:val="21"/>
          <w:szCs w:val="21"/>
        </w:rPr>
        <w:t xml:space="preserve">■ (4)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游ゴシック" w:cs="游ゴシック" w:eastAsia="游ゴシック" w:hAnsi="游ゴシック"/>
          <w:sz w:val="21"/>
          <w:szCs w:val="21"/>
        </w:rPr>
        <w:t xml:space="preserve">■ (5)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游ゴシック" w:cs="游ゴシック" w:eastAsia="游ゴシック" w:hAnsi="游ゴシック"/>
          <w:b/>
          <w:bCs/>
          <w:color w:val="2E75B6"/>
          <w:sz w:val="22"/>
          <w:szCs w:val="22"/>
        </w:rPr>
        <w:t xml:space="preserve">介護給付の適正化</w:t>
      </w:r>
    </w:p>
    <w:p>
      <w:pPr>
        <w:spacing w:after="120" w:line="300" w:lineRule="exact"/>
      </w:pPr>
      <w:r>
        <w:rPr>
          <w:rFonts w:ascii="游ゴシック" w:cs="游ゴシック" w:eastAsia="游ゴシック" w:hAnsi="游ゴシック"/>
          <w:sz w:val="21"/>
          <w:szCs w:val="21"/>
        </w:rPr>
        <w:t xml:space="preserve">■ 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游ゴシック" w:cs="游ゴシック" w:eastAsia="游ゴシック" w:hAnsi="游ゴシック"/>
          <w:sz w:val="21"/>
          <w:szCs w:val="21"/>
        </w:rPr>
        <w:t xml:space="preserve">■ 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　中長期的な推計と取り組むべき施策</w:t>
      </w:r>
    </w:p>
    <w:p>
      <w:pPr>
        <w:keepNext/>
        <w:keepLines/>
        <w:spacing w:after="100" w:line="300" w:lineRule="exact"/>
      </w:pPr>
      <w:r>
        <w:rPr>
          <w:rFonts w:ascii="游ゴシック" w:cs="游ゴシック" w:eastAsia="游ゴシック" w:hAnsi="游ゴシック"/>
          <w:b/>
          <w:bCs/>
          <w:color w:val="2E75B6"/>
          <w:sz w:val="22"/>
          <w:szCs w:val="22"/>
        </w:rPr>
        <w:t xml:space="preserve">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游ゴシック" w:cs="游ゴシック" w:eastAsia="游ゴシック" w:hAnsi="游ゴシック"/>
          <w:sz w:val="21"/>
          <w:szCs w:val="21"/>
        </w:rPr>
        <w:t xml:space="preserve">■ 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游ゴシック" w:cs="游ゴシック" w:eastAsia="游ゴシック" w:hAnsi="游ゴシック"/>
          <w:sz w:val="21"/>
          <w:szCs w:val="21"/>
        </w:rPr>
        <w:t xml:space="preserve">■ 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-7）。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算定は、5-2の認定者数の推計（令和17年・令和22年まで算定済み）に、5-2の受給率と1人あたり給付月額を固定して乗じる方法によります。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游ゴシック" w:cs="游ゴシック" w:eastAsia="游ゴシック" w:hAnsi="游ゴシック"/>
          <w:sz w:val="21"/>
          <w:szCs w:val="21"/>
        </w:rPr>
        <w:t xml:space="preserve">■ 保険料基準額の見通し（αの2案）</w:t>
      </w:r>
    </w:p>
    <w:p>
      <w:pPr>
        <w:spacing w:after="120" w:line="300" w:lineRule="exact"/>
      </w:pPr>
      <w:r>
        <w:rPr>
          <w:rFonts w:ascii="游ゴシック" w:cs="游ゴシック" w:eastAsia="游ゴシック" w:hAnsi="游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-1に示した第10期の保険料基準額6,756円（3か年の平均・α23%・基金取崩なし）と29円異なります。5-1が3か年をまとめて算定しているのに対し、ここでは最終年度である令和11年度の単年で算定しているためです。5-6は年度ごとの推移を見るための表であり、第10期の保険料は5-1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游ゴシック" w:cs="游ゴシック" w:eastAsia="游ゴシック" w:hAnsi="游ゴシック"/>
          <w:sz w:val="21"/>
          <w:szCs w:val="21"/>
        </w:rPr>
        <w:t xml:space="preserve">■ 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基本目標1・5-3・5-3</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游ゴシック" w:cs="游ゴシック" w:eastAsia="游ゴシック" w:hAnsi="游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游ゴシック" w:cs="游ゴシック" w:eastAsia="游ゴシック" w:hAnsi="游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ＰＤＣＡサイクルの推進</w:t>
      </w:r>
    </w:p>
    <w:p>
      <w:pPr>
        <w:keepNext/>
        <w:keepLines/>
        <w:spacing w:after="100" w:line="300" w:lineRule="exact"/>
      </w:pPr>
      <w:r>
        <w:rPr>
          <w:rFonts w:ascii="游ゴシック" w:cs="游ゴシック" w:eastAsia="游ゴシック" w:hAnsi="游ゴシック"/>
          <w:b/>
          <w:bCs/>
          <w:color w:val="2E75B6"/>
          <w:sz w:val="22"/>
          <w:szCs w:val="22"/>
        </w:rPr>
        <w:t xml:space="preserve">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游ゴシック" w:cs="游ゴシック" w:eastAsia="游ゴシック" w:hAnsi="游ゴシック"/>
          <w:sz w:val="21"/>
          <w:szCs w:val="21"/>
        </w:rPr>
        <w:t xml:space="preserve">■ 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游ゴシック" w:cs="游ゴシック" w:eastAsia="游ゴシック" w:hAnsi="游ゴシック"/>
          <w:sz w:val="21"/>
          <w:szCs w:val="21"/>
        </w:rPr>
        <w:t xml:space="preserve">■ 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游ゴシック" w:cs="游ゴシック" w:eastAsia="游ゴシック" w:hAnsi="游ゴシック"/>
          <w:b/>
          <w:bCs/>
          <w:color w:val="2E75B6"/>
          <w:sz w:val="22"/>
          <w:szCs w:val="22"/>
        </w:rPr>
        <w:t xml:space="preserve">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游ゴシック" w:cs="游ゴシック" w:eastAsia="游ゴシック" w:hAnsi="游ゴシック"/>
          <w:sz w:val="21"/>
          <w:szCs w:val="21"/>
        </w:rPr>
        <w:t xml:space="preserve">■ 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游ゴシック" w:cs="游ゴシック" w:eastAsia="游ゴシック" w:hAnsi="游ゴシック"/>
          <w:sz w:val="21"/>
          <w:szCs w:val="21"/>
        </w:rPr>
        <w:t xml:space="preserve">■ 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計画の見直し</w:t>
      </w:r>
    </w:p>
    <w:p>
      <w:pPr>
        <w:spacing w:after="120" w:line="300" w:lineRule="exact"/>
      </w:pPr>
      <w:r>
        <w:rPr>
          <w:rFonts w:ascii="游ゴシック" w:cs="游ゴシック" w:eastAsia="游ゴシック" w:hAnsi="游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5-2〜5-1を差し替え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計画の推進体制</w:t>
      </w:r>
    </w:p>
    <w:p>
      <w:pPr>
        <w:keepNext/>
        <w:keepLines/>
        <w:spacing w:after="100" w:line="300" w:lineRule="exact"/>
      </w:pPr>
      <w:r>
        <w:rPr>
          <w:rFonts w:ascii="游ゴシック" w:cs="游ゴシック" w:eastAsia="游ゴシック" w:hAnsi="游ゴシック"/>
          <w:b/>
          <w:bCs/>
          <w:color w:val="2E75B6"/>
          <w:sz w:val="22"/>
          <w:szCs w:val="22"/>
        </w:rPr>
        <w:t xml:space="preserve">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　第９期介護保険事業計画の基本指針のポイント</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　介護に関する用語集</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案（公表用）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008e8fcbefbd3705afac82fe743f2ca91f139deb.png"/><Relationship Id="rId12" Type="http://schemas.openxmlformats.org/officeDocument/2006/relationships/image" Target="media/90b9c337d42e77d8e401fa1d702404fa2f381652.png"/><Relationship Id="rId13" Type="http://schemas.openxmlformats.org/officeDocument/2006/relationships/image" Target="media/9a94b01e6f554a1d66432be79f3a64a9e9bc1f9c.png"/><Relationship Id="rId14" Type="http://schemas.openxmlformats.org/officeDocument/2006/relationships/image" Target="media/c13b382556b6f74f9ef7930895dbca37263895b0.png"/><Relationship Id="rId15" Type="http://schemas.openxmlformats.org/officeDocument/2006/relationships/image" Target="media/262f56d567c7f6e23bdb661e2745c9b3a913147d.png"/><Relationship Id="rId16" Type="http://schemas.openxmlformats.org/officeDocument/2006/relationships/image" Target="media/f76351dfb29c7e5a634222187633582978c20017.png"/><Relationship Id="rId17" Type="http://schemas.openxmlformats.org/officeDocument/2006/relationships/image" Target="media/92f1b47124cf4e73ec60af37d4ed8f9fb1092eb0.png"/><Relationship Id="rId18" Type="http://schemas.openxmlformats.org/officeDocument/2006/relationships/image" Target="media/89c4b901ca057b5ec2c4ad9e0f433cd0471499d9.png"/><Relationship Id="rId19" Type="http://schemas.openxmlformats.org/officeDocument/2006/relationships/image" Target="media/4f2466eeb158b9ba7988356f43e2f29de519e841.png"/><Relationship Id="rId20" Type="http://schemas.openxmlformats.org/officeDocument/2006/relationships/image" Target="media/87448cd60bbda0fc9502757054b25801574e34fd.png"/><Relationship Id="rId21" Type="http://schemas.openxmlformats.org/officeDocument/2006/relationships/image" Target="media/cbb78c187eca48185f18fe45fce903e149e0b421.png"/><Relationship Id="rId22" Type="http://schemas.openxmlformats.org/officeDocument/2006/relationships/image" Target="media/cb6957291fc7637d3ffb43033e56c16964753fff.png"/><Relationship Id="rId23" Type="http://schemas.openxmlformats.org/officeDocument/2006/relationships/image" Target="media/c4aae76f3520550a8d58af86865bd4098163f5c2.png"/><Relationship Id="rId24" Type="http://schemas.openxmlformats.org/officeDocument/2006/relationships/image" Target="media/723447c6cbd7689a1ec64e806ebfe12b499dc876.png"/><Relationship Id="rId25" Type="http://schemas.openxmlformats.org/officeDocument/2006/relationships/image" Target="media/df7397870364abfc987013d01820c8cb4529a44a.png"/><Relationship Id="rId26" Type="http://schemas.openxmlformats.org/officeDocument/2006/relationships/image" Target="media/2785cacca571e03bc5aeb55c44e0c3464310859c.png"/><Relationship Id="rId27" Type="http://schemas.openxmlformats.org/officeDocument/2006/relationships/image" Target="media/006169ede3d99dcbe08323d0b0f64868ea020617.png"/><Relationship Id="rId28" Type="http://schemas.openxmlformats.org/officeDocument/2006/relationships/image" Target="media/68f940da84dc8dc4c4d11f4bc2812526e5b77ab6.png"/><Relationship Id="rId29" Type="http://schemas.openxmlformats.org/officeDocument/2006/relationships/image" Target="media/a31bf2657abca3ddedcefc51e6537cce74d87169.png"/><Relationship Id="rId30" Type="http://schemas.openxmlformats.org/officeDocument/2006/relationships/image" Target="media/aaca7e4d3e6729a9885fc43163d7c2240dfb80be.png"/><Relationship Id="rId31" Type="http://schemas.openxmlformats.org/officeDocument/2006/relationships/image" Target="media/3d06d96bb60823e61760997b4189c5da52e8b50c.png"/><Relationship Id="rId32" Type="http://schemas.openxmlformats.org/officeDocument/2006/relationships/image" Target="media/34c4c81f2acaa827e1309a571af62921ca7b7988.png"/><Relationship Id="rId33" Type="http://schemas.openxmlformats.org/officeDocument/2006/relationships/image" Target="media/7462f148abc3379be3886a4d187e883489283f96.png"/><Relationship Id="rId34" Type="http://schemas.openxmlformats.org/officeDocument/2006/relationships/image" Target="media/cbdb7c1cc66d1fa9d322a098c06a3f50febebd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2026-10-21T08:49:00.722Z</dcterms:created>
  <dcterms:modified xsi:type="dcterms:W3CDTF">2026-10-21T08:49:00.722Z</dcterms:modified>
</cp:coreProperties>
</file>

<file path=docProps/custom.xml><?xml version="1.0" encoding="utf-8"?>
<Properties xmlns="http://schemas.openxmlformats.org/officeDocument/2006/custom-properties" xmlns:vt="http://schemas.openxmlformats.org/officeDocument/2006/docPropsVTypes"/>
</file>