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令和8年10月19日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次に着手するもの（10月20日（火））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町・国・県の回答を待たずに進められる作業は43件・120.0時間分あり、うち42件（114.0時間）が令和8年10月19日までに済んでいます。</w:t>
      </w:r>
      <w:r>
        <w:rPr>
          <w:rFonts w:ascii="游ゴシック" w:hAnsi="游ゴシック" w:eastAsia="游ゴシック"/>
          <w:b w:val="0"/>
          <w:i w:val="0"/>
          <w:sz w:val="21"/>
        </w:rPr>
        <w:t>令和8年10月20日は残り1件のうち1件（6.0時間）に着手します。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進捗の乖離を測ったところ、高齢者計画は予定より+9.0ポイント、障がい計画は-0.4ポイントでした。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62.2％</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+9.0pt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60.0％</w:t>
            </w:r>
          </w:p>
        </w:tc>
        <w:tc>
          <w:tcPr>
            <w:tcW w:type="dxa" w:w="1247"/>
            <w:vAlign w:val="center"/>
          </w:tcPr>
          <w:p>
            <w:pPr>
              <w:spacing w:before="20" w:after="20"/>
              <w:jc w:val="right"/>
            </w:pPr>
            <w:r>
              <w:rPr>
                <w:rFonts w:ascii="游ゴシック" w:hAnsi="游ゴシック" w:eastAsia="游ゴシック"/>
                <w:b w:val="0"/>
                <w:i w:val="0"/>
                <w:sz w:val="17"/>
              </w:rPr>
              <w:t>59.6％</w:t>
            </w:r>
          </w:p>
        </w:tc>
        <w:tc>
          <w:tcPr>
            <w:tcW w:type="dxa" w:w="1020"/>
            <w:vAlign w:val="center"/>
          </w:tcPr>
          <w:p>
            <w:pPr>
              <w:spacing w:before="20" w:after="20"/>
              <w:jc w:val="right"/>
            </w:pPr>
            <w:r>
              <w:rPr>
                <w:rFonts w:ascii="游ゴシック" w:hAnsi="游ゴシック" w:eastAsia="游ゴシック"/>
                <w:b w:val="0"/>
                <w:i w:val="0"/>
                <w:sz w:val="17"/>
              </w:rPr>
              <w:t>-0.4pt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2件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予定進捗率は、予定開始の月初から予定完了の月末までを直線で見たときの令和8年10月19日時点の値。判定は差が±10ポイント以内なら「おおむね予定どおり」とした。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高齢者計画は予定を+9.0ポイント上回っています。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一方で障がい計画は-0.4ポイント下回っており、こちらが本業務全体の弱いところです。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町の給付実績との突合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keepNext/>
              <w:spacing w:before="20" w:after="20"/>
            </w:pPr>
            <w:r>
              <w:rPr>
                <w:rFonts w:ascii="游ゴシック" w:hAnsi="游ゴシック" w:eastAsia="游ゴシック"/>
                <w:b w:val="0"/>
                <w:i w:val="0"/>
                <w:sz w:val="17"/>
              </w:rPr>
              <w:t>7-9</w:t>
            </w:r>
          </w:p>
        </w:tc>
        <w:tc>
          <w:tcPr>
            <w:tcW w:type="dxa" w:w="1928"/>
            <w:vAlign w:val="center"/>
          </w:tcPr>
          <w:p>
            <w:pPr>
              <w:keepNext/>
              <w:spacing w:before="20" w:after="20"/>
            </w:pPr>
            <w:r>
              <w:rPr>
                <w:rFonts w:ascii="游ゴシック" w:hAnsi="游ゴシック" w:eastAsia="游ゴシック"/>
                <w:b w:val="0"/>
                <w:i w:val="0"/>
                <w:sz w:val="17"/>
              </w:rPr>
              <w:t>総合事業費の上限額の確認</w:t>
            </w:r>
          </w:p>
        </w:tc>
        <w:tc>
          <w:tcPr>
            <w:tcW w:type="dxa" w:w="850"/>
            <w:vAlign w:val="center"/>
          </w:tcPr>
          <w:p>
            <w:pPr>
              <w:keepNext/>
              <w:spacing w:before="20" w:after="20"/>
            </w:pPr>
            <w:r>
              <w:rPr>
                <w:rFonts w:ascii="游ゴシック" w:hAnsi="游ゴシック" w:eastAsia="游ゴシック"/>
                <w:b w:val="0"/>
                <w:i w:val="0"/>
                <w:sz w:val="17"/>
              </w:rPr>
              <w:t>受託者・町</w:t>
            </w:r>
          </w:p>
        </w:tc>
        <w:tc>
          <w:tcPr>
            <w:tcW w:type="dxa" w:w="850"/>
            <w:vAlign w:val="center"/>
          </w:tcPr>
          <w:p>
            <w:pPr>
              <w:keepNext/>
              <w:spacing w:before="20" w:after="20"/>
            </w:pPr>
            <w:r>
              <w:rPr>
                <w:rFonts w:ascii="游ゴシック" w:hAnsi="游ゴシック" w:eastAsia="游ゴシック"/>
                <w:b w:val="0"/>
                <w:i w:val="0"/>
                <w:sz w:val="17"/>
              </w:rPr>
              <w:t>2026-11</w:t>
            </w:r>
          </w:p>
        </w:tc>
        <w:tc>
          <w:tcPr>
            <w:tcW w:type="dxa" w:w="624"/>
            <w:vAlign w:val="center"/>
          </w:tcPr>
          <w:p>
            <w:pPr>
              <w:keepNext/>
              <w:spacing w:before="20" w:after="20"/>
              <w:jc w:val="right"/>
            </w:pPr>
            <w:r>
              <w:rPr>
                <w:rFonts w:ascii="游ゴシック" w:hAnsi="游ゴシック" w:eastAsia="游ゴシック"/>
                <w:b w:val="0"/>
                <w:i w:val="0"/>
                <w:sz w:val="17"/>
              </w:rPr>
              <w:t>25％</w:t>
            </w:r>
          </w:p>
        </w:tc>
        <w:tc>
          <w:tcPr>
            <w:tcW w:type="dxa" w:w="624"/>
            <w:vAlign w:val="center"/>
          </w:tcPr>
          <w:p>
            <w:pPr>
              <w:keepNext/>
              <w:spacing w:before="20" w:after="20"/>
              <w:jc w:val="right"/>
            </w:pPr>
            <w:r>
              <w:rPr>
                <w:rFonts w:ascii="游ゴシック" w:hAnsi="游ゴシック" w:eastAsia="游ゴシック"/>
                <w:b w:val="0"/>
                <w:i w:val="0"/>
                <w:sz w:val="17"/>
              </w:rPr>
              <w:t>53％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keepNext/>
              <w:spacing w:before="20" w:after="20"/>
            </w:pPr>
            <w:r>
              <w:rPr>
                <w:rFonts w:ascii="游ゴシック" w:hAnsi="游ゴシック" w:eastAsia="游ゴシック"/>
                <w:b w:val="0"/>
                <w:i w:val="0"/>
                <w:sz w:val="17"/>
              </w:rPr>
              <w:t>2-5</w:t>
            </w:r>
          </w:p>
        </w:tc>
        <w:tc>
          <w:tcPr>
            <w:tcW w:type="dxa" w:w="1928"/>
            <w:vAlign w:val="center"/>
          </w:tcPr>
          <w:p>
            <w:pPr>
              <w:keepNext/>
              <w:spacing w:before="20" w:after="20"/>
            </w:pPr>
            <w:r>
              <w:rPr>
                <w:rFonts w:ascii="游ゴシック" w:hAnsi="游ゴシック" w:eastAsia="游ゴシック"/>
                <w:b w:val="0"/>
                <w:i w:val="0"/>
                <w:sz w:val="17"/>
              </w:rPr>
              <w:t>対象者の抽出</w:t>
            </w:r>
          </w:p>
        </w:tc>
        <w:tc>
          <w:tcPr>
            <w:tcW w:type="dxa" w:w="850"/>
            <w:vAlign w:val="center"/>
          </w:tcPr>
          <w:p>
            <w:pPr>
              <w:keepNext/>
              <w:spacing w:before="20" w:after="20"/>
            </w:pPr>
            <w:r>
              <w:rPr>
                <w:rFonts w:ascii="游ゴシック" w:hAnsi="游ゴシック" w:eastAsia="游ゴシック"/>
                <w:b w:val="0"/>
                <w:i w:val="0"/>
                <w:sz w:val="17"/>
              </w:rPr>
              <w:t>町</w:t>
            </w:r>
          </w:p>
        </w:tc>
        <w:tc>
          <w:tcPr>
            <w:tcW w:type="dxa" w:w="850"/>
            <w:vAlign w:val="center"/>
          </w:tcPr>
          <w:p>
            <w:pPr>
              <w:keepNext/>
              <w:spacing w:before="20" w:after="20"/>
            </w:pPr>
            <w:r>
              <w:rPr>
                <w:rFonts w:ascii="游ゴシック" w:hAnsi="游ゴシック" w:eastAsia="游ゴシック"/>
                <w:b w:val="0"/>
                <w:i w:val="0"/>
                <w:sz w:val="17"/>
              </w:rPr>
              <w:t>2026-09</w:t>
            </w:r>
          </w:p>
        </w:tc>
        <w:tc>
          <w:tcPr>
            <w:tcW w:type="dxa" w:w="624"/>
            <w:vAlign w:val="center"/>
          </w:tcPr>
          <w:p>
            <w:pPr>
              <w:keepNext/>
              <w:spacing w:before="20" w:after="20"/>
              <w:jc w:val="right"/>
            </w:pPr>
            <w:r>
              <w:rPr>
                <w:rFonts w:ascii="游ゴシック" w:hAnsi="游ゴシック" w:eastAsia="游ゴシック"/>
                <w:b w:val="0"/>
                <w:i w:val="0"/>
                <w:sz w:val="17"/>
              </w:rPr>
              <w:t>80％</w:t>
            </w:r>
          </w:p>
        </w:tc>
        <w:tc>
          <w:tcPr>
            <w:tcW w:type="dxa" w:w="624"/>
            <w:vAlign w:val="center"/>
          </w:tcPr>
          <w:p>
            <w:pPr>
              <w:keepNext/>
              <w:spacing w:before="20" w:after="20"/>
              <w:jc w:val="right"/>
            </w:pPr>
            <w:r>
              <w:rPr>
                <w:rFonts w:ascii="游ゴシック" w:hAnsi="游ゴシック" w:eastAsia="游ゴシック"/>
                <w:b w:val="0"/>
                <w:i w:val="0"/>
                <w:sz w:val="17"/>
              </w:rPr>
              <w:t>100％</w:t>
            </w:r>
          </w:p>
        </w:tc>
        <w:tc>
          <w:tcPr>
            <w:tcW w:type="dxa" w:w="1134"/>
            <w:vAlign w:val="center"/>
          </w:tcPr>
          <w:p>
            <w:pPr>
              <w:keepNext/>
              <w:spacing w:before="20" w:after="20"/>
            </w:pPr>
            <w:r>
              <w:rPr>
                <w:rFonts w:ascii="游ゴシック" w:hAnsi="游ゴシック" w:eastAsia="游ゴシック"/>
                <w:b w:val="0"/>
                <w:i w:val="0"/>
                <w:sz w:val="17"/>
              </w:rPr>
              <w:t>期限超過（1か月）</w:t>
            </w:r>
          </w:p>
        </w:tc>
        <w:tc>
          <w:tcPr>
            <w:tcW w:type="dxa" w:w="3231"/>
            <w:vAlign w:val="center"/>
          </w:tcPr>
          <w:p>
            <w:pPr>
              <w:keepNext/>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障がい計画の遅れ8件は、すべて町からの3点に連なっています。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町・国・県の回答を待たずに進められる作業は43件、合計120.0時間（1日8.0時間として約15.0日）です。</w:t>
      </w:r>
      <w:r>
        <w:rPr>
          <w:rFonts w:ascii="游ゴシック" w:hAnsi="游ゴシック" w:eastAsia="游ゴシック"/>
          <w:b/>
          <w:i w:val="0"/>
          <w:sz w:val="21"/>
        </w:rPr>
        <w:t>うち42件・114.0時間は令和8年10月19日までに済みました。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w:t>
            </w:r>
            <w:r>
              <w:rPr>
                <w:rFonts w:ascii="游ゴシック" w:hAnsi="游ゴシック" w:eastAsia="游ゴシック"/>
                <w:b/>
                <w:i w:val="0"/>
                <w:sz w:val="17"/>
              </w:rPr>
              <w:t>図を1点置いた（T36）</w:t>
            </w:r>
            <w:r>
              <w:rPr>
                <w:rFonts w:ascii="游ゴシック" w:hAnsi="游ゴシック" w:eastAsia="游ゴシック"/>
                <w:b w:val="0"/>
                <w:i w:val="0"/>
                <w:sz w:val="17"/>
              </w:rPr>
              <w:t>。</w:t>
            </w:r>
            <w:r>
              <w:rPr>
                <w:rFonts w:ascii="游ゴシック" w:hAnsi="游ゴシック" w:eastAsia="游ゴシック"/>
                <w:b/>
                <w:i w:val="0"/>
                <w:sz w:val="17"/>
              </w:rPr>
              <w:t>サービス実績の図は、実績を受領してから作る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T36</w:t>
            </w:r>
          </w:p>
        </w:tc>
        <w:tc>
          <w:tcPr>
            <w:tcW w:type="dxa" w:w="2154"/>
            <w:vAlign w:val="center"/>
          </w:tcPr>
          <w:p>
            <w:pPr>
              <w:spacing w:before="20" w:after="20"/>
            </w:pPr>
            <w:r>
              <w:rPr>
                <w:rFonts w:ascii="游ゴシック" w:hAnsi="游ゴシック" w:eastAsia="游ゴシック"/>
                <w:b w:val="0"/>
                <w:i w:val="0"/>
                <w:sz w:val="17"/>
              </w:rPr>
              <w:t>前回計画から手帳所持者数の推移を取り出し、素案と図に反映</w:t>
            </w:r>
          </w:p>
        </w:tc>
        <w:tc>
          <w:tcPr>
            <w:tcW w:type="dxa" w:w="3969"/>
            <w:vAlign w:val="center"/>
          </w:tcPr>
          <w:p>
            <w:pPr>
              <w:spacing w:before="20" w:after="20"/>
            </w:pPr>
            <w:r>
              <w:rPr>
                <w:rFonts w:ascii="游ゴシック" w:hAnsi="游ゴシック" w:eastAsia="游ゴシック"/>
                <w:b/>
                <w:i w:val="0"/>
                <w:sz w:val="17"/>
              </w:rPr>
              <w:t>前回計画（令和6年3月）が令和元年〜令和5年の5か年を図に載せている。</w:t>
            </w:r>
            <w:r>
              <w:rPr>
                <w:rFonts w:ascii="游ゴシック" w:hAnsi="游ゴシック" w:eastAsia="游ゴシック"/>
                <w:b w:val="0"/>
                <w:i w:val="0"/>
                <w:sz w:val="17"/>
              </w:rPr>
              <w:t>手元の原本から取り出せるため、町の回答を待たずに進む。</w:t>
            </w:r>
            <w:r>
              <w:rPr>
                <w:rFonts w:ascii="游ゴシック" w:hAnsi="游ゴシック" w:eastAsia="游ゴシック"/>
                <w:b/>
                <w:i w:val="0"/>
                <w:sz w:val="17"/>
              </w:rPr>
              <w:t>内訳の和が前回計画の「計」と一致することを自己点検で確かめる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T37</w:t>
            </w:r>
          </w:p>
        </w:tc>
        <w:tc>
          <w:tcPr>
            <w:tcW w:type="dxa" w:w="2154"/>
            <w:vAlign w:val="center"/>
          </w:tcPr>
          <w:p>
            <w:pPr>
              <w:spacing w:before="20" w:after="20"/>
            </w:pPr>
            <w:r>
              <w:rPr>
                <w:rFonts w:ascii="游ゴシック" w:hAnsi="游ゴシック" w:eastAsia="游ゴシック"/>
                <w:b w:val="0"/>
                <w:i w:val="0"/>
                <w:sz w:val="17"/>
              </w:rPr>
              <w:t>前回計画から第6期の実績・第7期の見込量を読み取り、素案に反映</w:t>
            </w:r>
          </w:p>
        </w:tc>
        <w:tc>
          <w:tcPr>
            <w:tcW w:type="dxa" w:w="3969"/>
            <w:vAlign w:val="center"/>
          </w:tcPr>
          <w:p>
            <w:pPr>
              <w:spacing w:before="20" w:after="20"/>
            </w:pPr>
            <w:r>
              <w:rPr>
                <w:rFonts w:ascii="游ゴシック" w:hAnsi="游ゴシック" w:eastAsia="游ゴシック"/>
                <w:b/>
                <w:i w:val="0"/>
                <w:sz w:val="17"/>
              </w:rPr>
              <w:t>前回計画（128頁）は手元にあり、サービスごとの見込量と実績を載せている。町にお尋ねするまでもない。</w:t>
            </w:r>
            <w:r>
              <w:rPr>
                <w:rFonts w:ascii="游ゴシック" w:hAnsi="游ゴシック" w:eastAsia="游ゴシック"/>
                <w:b/>
                <w:i w:val="0"/>
                <w:sz w:val="17"/>
              </w:rPr>
              <w:t>書き写さず、原本のPDFを毎回読む形にすれば、原本から離れない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T38</w:t>
            </w:r>
          </w:p>
        </w:tc>
        <w:tc>
          <w:tcPr>
            <w:tcW w:type="dxa" w:w="2154"/>
            <w:vAlign w:val="center"/>
          </w:tcPr>
          <w:p>
            <w:pPr>
              <w:spacing w:before="20" w:after="20"/>
            </w:pPr>
            <w:r>
              <w:rPr>
                <w:rFonts w:ascii="游ゴシック" w:hAnsi="游ゴシック" w:eastAsia="游ゴシック"/>
                <w:b w:val="0"/>
                <w:i w:val="0"/>
                <w:sz w:val="17"/>
              </w:rPr>
              <w:t>障がい計画　見込量の置き方を「人数×1人あたり日数」に具体化</w:t>
            </w:r>
          </w:p>
        </w:tc>
        <w:tc>
          <w:tcPr>
            <w:tcW w:type="dxa" w:w="3969"/>
            <w:vAlign w:val="center"/>
          </w:tcPr>
          <w:p>
            <w:pPr>
              <w:spacing w:before="20" w:after="20"/>
            </w:pPr>
            <w:r>
              <w:rPr>
                <w:rFonts w:ascii="游ゴシック" w:hAnsi="游ゴシック" w:eastAsia="游ゴシック"/>
                <w:b/>
                <w:i w:val="0"/>
                <w:sz w:val="17"/>
              </w:rPr>
              <w:t>T37で読み取った第6期の実績から、1人あたり日数が算出できる。</w:t>
            </w:r>
            <w:r>
              <w:rPr>
                <w:rFonts w:ascii="游ゴシック" w:hAnsi="游ゴシック" w:eastAsia="游ゴシック"/>
                <w:b/>
                <w:i w:val="0"/>
                <w:sz w:val="17"/>
              </w:rPr>
              <w:t>量が見込みを下回った原因が人数ではなく日数にあることが分かるため、置き方をここで決められる。</w:t>
            </w:r>
            <w:r>
              <w:rPr>
                <w:rFonts w:ascii="游ゴシック" w:hAnsi="游ゴシック" w:eastAsia="游ゴシック"/>
                <w:b w:val="0"/>
                <w:i w:val="0"/>
                <w:sz w:val="17"/>
              </w:rPr>
              <w:t>値そのものは実績の受領を待つ</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T39</w:t>
            </w:r>
          </w:p>
        </w:tc>
        <w:tc>
          <w:tcPr>
            <w:tcW w:type="dxa" w:w="2154"/>
            <w:vAlign w:val="center"/>
          </w:tcPr>
          <w:p>
            <w:pPr>
              <w:spacing w:before="20" w:after="20"/>
            </w:pPr>
            <w:r>
              <w:rPr>
                <w:rFonts w:ascii="游ゴシック" w:hAnsi="游ゴシック" w:eastAsia="游ゴシック"/>
                <w:b w:val="0"/>
                <w:i w:val="0"/>
                <w:sz w:val="17"/>
              </w:rPr>
              <w:t>前回計画の成果目標の検証（成り立たない目標の洗い出し）</w:t>
            </w:r>
          </w:p>
        </w:tc>
        <w:tc>
          <w:tcPr>
            <w:tcW w:type="dxa" w:w="3969"/>
            <w:vAlign w:val="center"/>
          </w:tcPr>
          <w:p>
            <w:pPr>
              <w:spacing w:before="20" w:after="20"/>
            </w:pPr>
            <w:r>
              <w:rPr>
                <w:rFonts w:ascii="游ゴシック" w:hAnsi="游ゴシック" w:eastAsia="游ゴシック"/>
                <w:b/>
                <w:i w:val="0"/>
                <w:sz w:val="17"/>
              </w:rPr>
              <w:t>前回計画は手元にあり、目標値と基準人数が同じ頁に載っている。</w:t>
            </w:r>
            <w:r>
              <w:rPr>
                <w:rFonts w:ascii="游ゴシック" w:hAnsi="游ゴシック" w:eastAsia="游ゴシック"/>
                <w:b/>
                <w:i w:val="0"/>
                <w:sz w:val="17"/>
              </w:rPr>
              <w:t>割り算をするだけで成り立つかどうかが分かる。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T40</w:t>
            </w:r>
          </w:p>
        </w:tc>
        <w:tc>
          <w:tcPr>
            <w:tcW w:type="dxa" w:w="2154"/>
            <w:vAlign w:val="center"/>
          </w:tcPr>
          <w:p>
            <w:pPr>
              <w:spacing w:before="20" w:after="20"/>
            </w:pPr>
            <w:r>
              <w:rPr>
                <w:rFonts w:ascii="游ゴシック" w:hAnsi="游ゴシック" w:eastAsia="游ゴシック"/>
                <w:b w:val="0"/>
                <w:i w:val="0"/>
                <w:sz w:val="17"/>
              </w:rPr>
              <w:t>地域生活支援事業の実績が0であることの洗い出し</w:t>
            </w:r>
          </w:p>
        </w:tc>
        <w:tc>
          <w:tcPr>
            <w:tcW w:type="dxa" w:w="3969"/>
            <w:vAlign w:val="center"/>
          </w:tcPr>
          <w:p>
            <w:pPr>
              <w:spacing w:before="20" w:after="20"/>
            </w:pPr>
            <w:r>
              <w:rPr>
                <w:rFonts w:ascii="游ゴシック" w:hAnsi="游ゴシック" w:eastAsia="游ゴシック"/>
                <w:b/>
                <w:i w:val="0"/>
                <w:sz w:val="17"/>
              </w:rPr>
              <w:t>前回計画の第3部第8章に11事業が載っている。</w:t>
            </w:r>
            <w:r>
              <w:rPr>
                <w:rFonts w:ascii="游ゴシック" w:hAnsi="游ゴシック" w:eastAsia="游ゴシック"/>
                <w:b/>
                <w:i w:val="0"/>
                <w:sz w:val="17"/>
              </w:rPr>
              <w:t>読めば、どの事業が0のままなのかがすぐ分かる。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T41</w:t>
            </w:r>
          </w:p>
        </w:tc>
        <w:tc>
          <w:tcPr>
            <w:tcW w:type="dxa" w:w="2154"/>
            <w:vAlign w:val="center"/>
          </w:tcPr>
          <w:p>
            <w:pPr>
              <w:spacing w:before="20" w:after="20"/>
            </w:pPr>
            <w:r>
              <w:rPr>
                <w:rFonts w:ascii="游ゴシック" w:hAnsi="游ゴシック" w:eastAsia="游ゴシック"/>
                <w:b w:val="0"/>
                <w:i w:val="0"/>
                <w:sz w:val="17"/>
              </w:rPr>
              <w:t>前回計画 第2部（9分野）の施策を読み取り、引き継ぎ方を定める</w:t>
            </w:r>
          </w:p>
        </w:tc>
        <w:tc>
          <w:tcPr>
            <w:tcW w:type="dxa" w:w="3969"/>
            <w:vAlign w:val="center"/>
          </w:tcPr>
          <w:p>
            <w:pPr>
              <w:spacing w:before="20" w:after="20"/>
            </w:pPr>
            <w:r>
              <w:rPr>
                <w:rFonts w:ascii="游ゴシック" w:hAnsi="游ゴシック" w:eastAsia="游ゴシック"/>
                <w:b/>
                <w:i w:val="0"/>
                <w:sz w:val="17"/>
              </w:rPr>
              <w:t>前回計画の第2部は手元にあり、施策の方向が①②③…で並んでいる。</w:t>
            </w:r>
            <w:r>
              <w:rPr>
                <w:rFonts w:ascii="游ゴシック" w:hAnsi="游ゴシック" w:eastAsia="游ゴシック"/>
                <w:b/>
                <w:i w:val="0"/>
                <w:sz w:val="17"/>
              </w:rPr>
              <w:t>9分野すべてに引き継ぎ先があるかは、読めば分かる。</w:t>
            </w:r>
            <w:r>
              <w:rPr>
                <w:rFonts w:ascii="游ゴシック" w:hAnsi="游ゴシック" w:eastAsia="游ゴシック"/>
                <w:b w:val="0"/>
                <w:i w:val="0"/>
                <w:sz w:val="17"/>
              </w:rPr>
              <w:t>町の回答を待つのは取組の実績だけ</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i w:val="0"/>
                <w:sz w:val="17"/>
              </w:rPr>
              <w:t>完了（10月16日（金））</w:t>
            </w:r>
          </w:p>
        </w:tc>
      </w:tr>
      <w:tr>
        <w:tc>
          <w:tcPr>
            <w:tcW w:type="dxa" w:w="567"/>
            <w:vAlign w:val="center"/>
          </w:tcPr>
          <w:p>
            <w:pPr>
              <w:spacing w:before="20" w:after="20"/>
            </w:pPr>
            <w:r>
              <w:rPr>
                <w:rFonts w:ascii="游ゴシック" w:hAnsi="游ゴシック" w:eastAsia="游ゴシック"/>
                <w:b w:val="0"/>
                <w:i w:val="0"/>
                <w:sz w:val="17"/>
              </w:rPr>
              <w:t>T43</w:t>
            </w:r>
          </w:p>
        </w:tc>
        <w:tc>
          <w:tcPr>
            <w:tcW w:type="dxa" w:w="2154"/>
            <w:vAlign w:val="center"/>
          </w:tcPr>
          <w:p>
            <w:pPr>
              <w:spacing w:before="20" w:after="20"/>
            </w:pPr>
            <w:r>
              <w:rPr>
                <w:rFonts w:ascii="游ゴシック" w:hAnsi="游ゴシック" w:eastAsia="游ゴシック"/>
                <w:b w:val="0"/>
                <w:i w:val="0"/>
                <w:sz w:val="17"/>
              </w:rPr>
              <w:t>法令APIで条文を確定し、条文番号の原典確認の検査を新設</w:t>
            </w:r>
          </w:p>
        </w:tc>
        <w:tc>
          <w:tcPr>
            <w:tcW w:type="dxa" w:w="3969"/>
            <w:vAlign w:val="center"/>
          </w:tcPr>
          <w:p>
            <w:pPr>
              <w:spacing w:before="20" w:after="20"/>
            </w:pPr>
            <w:r>
              <w:rPr>
                <w:rFonts w:ascii="游ゴシック" w:hAnsi="游ゴシック" w:eastAsia="游ゴシック"/>
                <w:b/>
                <w:i w:val="0"/>
                <w:sz w:val="17"/>
              </w:rPr>
              <w:t>10月19日に環境が更新され、e-Gov 法令API への接続が許可された。</w:t>
            </w:r>
            <w:r>
              <w:rPr>
                <w:rFonts w:ascii="游ゴシック" w:hAnsi="游ゴシック" w:eastAsia="游ゴシック"/>
                <w:b/>
                <w:i w:val="0"/>
                <w:sz w:val="17"/>
              </w:rPr>
              <w:t>引いている条・項・号をその場で確かめられる。</w:t>
            </w:r>
            <w:r>
              <w:rPr>
                <w:rFonts w:ascii="游ゴシック" w:hAnsi="游ゴシック" w:eastAsia="游ゴシック"/>
                <w:b w:val="0"/>
                <w:i w:val="0"/>
                <w:sz w:val="17"/>
              </w:rPr>
              <w:t>かねて「条文番号は突合の対象外」としていた穴がふさがる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i w:val="0"/>
                <w:sz w:val="17"/>
              </w:rPr>
              <w:t>完了（10月19日（月））</w:t>
            </w:r>
          </w:p>
        </w:tc>
      </w:tr>
      <w:tr>
        <w:tc>
          <w:tcPr>
            <w:tcW w:type="dxa" w:w="567"/>
            <w:vAlign w:val="center"/>
          </w:tcPr>
          <w:p>
            <w:pPr>
              <w:spacing w:before="20" w:after="20"/>
            </w:pPr>
            <w:r>
              <w:rPr>
                <w:rFonts w:ascii="游ゴシック" w:hAnsi="游ゴシック" w:eastAsia="游ゴシック"/>
                <w:b w:val="0"/>
                <w:i w:val="0"/>
                <w:sz w:val="17"/>
              </w:rPr>
              <w:t>T42</w:t>
            </w:r>
          </w:p>
        </w:tc>
        <w:tc>
          <w:tcPr>
            <w:tcW w:type="dxa" w:w="2154"/>
            <w:vAlign w:val="center"/>
          </w:tcPr>
          <w:p>
            <w:pPr>
              <w:spacing w:before="20" w:after="20"/>
            </w:pPr>
            <w:r>
              <w:rPr>
                <w:rFonts w:ascii="游ゴシック" w:hAnsi="游ゴシック" w:eastAsia="游ゴシック"/>
                <w:b w:val="0"/>
                <w:i w:val="0"/>
                <w:sz w:val="17"/>
              </w:rPr>
              <w:t>町データ待ちの切り分け（公表資料・見える化で拾えるものを分ける）</w:t>
            </w:r>
          </w:p>
        </w:tc>
        <w:tc>
          <w:tcPr>
            <w:tcW w:type="dxa" w:w="3969"/>
            <w:vAlign w:val="center"/>
          </w:tcPr>
          <w:p>
            <w:pPr>
              <w:spacing w:before="20" w:after="20"/>
            </w:pPr>
            <w:r>
              <w:rPr>
                <w:rFonts w:ascii="游ゴシック" w:hAnsi="游ゴシック" w:eastAsia="游ゴシック"/>
                <w:b/>
                <w:i w:val="0"/>
                <w:sz w:val="17"/>
              </w:rPr>
              <w:t>手元の資料と見える化の出力を当たるだけで分かる。</w:t>
            </w:r>
            <w:r>
              <w:rPr>
                <w:rFonts w:ascii="游ゴシック" w:hAnsi="游ゴシック" w:eastAsia="游ゴシック"/>
                <w:b/>
                <w:i w:val="0"/>
                <w:sz w:val="17"/>
              </w:rPr>
              <w:t>町にお尋ねする数が多いほど回答が遅れ、計画が止まる。</w:t>
            </w:r>
            <w:r>
              <w:rPr>
                <w:rFonts w:ascii="游ゴシック" w:hAnsi="游ゴシック" w:eastAsia="游ゴシック"/>
                <w:b w:val="0"/>
                <w:i w:val="0"/>
                <w:sz w:val="17"/>
              </w:rPr>
              <w:t>当方で取れるものを取り切ってから残りをお尋ねする</w:t>
            </w:r>
          </w:p>
        </w:tc>
        <w:tc>
          <w:tcPr>
            <w:tcW w:type="dxa" w:w="624"/>
            <w:vAlign w:val="center"/>
          </w:tcPr>
          <w:p>
            <w:pPr>
              <w:spacing w:before="20" w:after="20"/>
              <w:jc w:val="right"/>
            </w:pPr>
            <w:r>
              <w:rPr>
                <w:rFonts w:ascii="游ゴシック" w:hAnsi="游ゴシック" w:eastAsia="游ゴシック"/>
                <w:b w:val="0"/>
                <w:i w:val="0"/>
                <w:sz w:val="17"/>
              </w:rPr>
              <w:t>3.5</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i w:val="0"/>
                <w:sz w:val="17"/>
              </w:rPr>
              <w:t>完了（10月19日（月））</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10月20日（火）</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次に着手するもの（10月20日（火））</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資料：業務進捗管理表（17_業務進捗管理）令和8年10月19日版。高齢者計画のWBS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