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関係者団体等ヒアリングの代替案</w:t>
      </w:r>
    </w:p>
    <w:p>
      <w:pPr>
        <w:spacing w:after="120"/>
        <w:jc w:val="center"/>
      </w:pPr>
      <w:r>
        <w:rPr>
          <w:rFonts w:ascii="游ゴシック" w:hAnsi="游ゴシック" w:eastAsia="游ゴシック"/>
          <w:b w:val="0"/>
          <w:i w:val="0"/>
          <w:sz w:val="26"/>
        </w:rPr>
        <w:t>事業所への訪問ヒアリングを行わない場合</w:t>
      </w:r>
    </w:p>
    <w:p>
      <w:pPr>
        <w:spacing w:after="120"/>
        <w:jc w:val="center"/>
      </w:pPr>
      <w:r>
        <w:rPr>
          <w:rFonts w:ascii="游ゴシック" w:hAnsi="游ゴシック" w:eastAsia="游ゴシック"/>
          <w:b w:val="0"/>
          <w:i w:val="0"/>
          <w:sz w:val="26"/>
        </w:rPr>
        <w:t>令和8年10月22日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仕様書と国のマニュアル</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県の資料で分かること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情報公表データで分かること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5　訪問ヒアリングで確かめる予定だったことの置き換え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6　他団体の案件の進め方（参考）</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7　第2回自立支援協議会でのお尋ね（案）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8　町にお願いすること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結論</w:t>
      </w:r>
      <w:bookmarkEnd w:id="101"/>
    </w:p>
    <w:p>
      <w:pPr>
        <w:spacing w:before="60" w:after="60"/>
      </w:pPr>
      <w:r>
        <w:rPr>
          <w:rFonts w:ascii="游ゴシック" w:hAnsi="游ゴシック" w:eastAsia="游ゴシック"/>
          <w:b/>
          <w:i w:val="0"/>
          <w:sz w:val="21"/>
        </w:rPr>
        <w:t>事業所への訪問ヒアリング（実施計画書の20〜27件）は行わず、次の3つで置き換えることを提案します。</w:t>
      </w:r>
    </w:p>
    <w:p>
      <w:pPr>
        <w:keepNext/>
        <w:spacing w:before="200" w:after="40"/>
      </w:pPr>
      <w:r>
        <w:rPr>
          <w:rFonts w:ascii="游ゴシック" w:hAnsi="游ゴシック" w:eastAsia="游ゴシック"/>
          <w:b/>
          <w:i w:val="0"/>
          <w:color w:val="1F4D78"/>
          <w:sz w:val="22"/>
        </w:rPr>
        <w:t>【表1】訪問ヒアリングに代わる3つの方法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2494"/>
        <w:gridCol w:w="4989"/>
        <w:gridCol w:w="181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置き換え</w:t>
            </w:r>
          </w:p>
        </w:tc>
        <w:tc>
          <w:tcPr>
            <w:tcW w:type="dxa" w:w="49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時期</w:t>
            </w:r>
          </w:p>
        </w:tc>
      </w:tr>
      <w:tr>
        <w:tc>
          <w:tcPr>
            <w:tcW w:type="dxa" w:w="454"/>
            <w:vAlign w:val="center"/>
          </w:tcPr>
          <w:p>
            <w:pPr>
              <w:spacing w:before="20" w:after="20"/>
            </w:pPr>
            <w:r>
              <w:rPr>
                <w:rFonts w:ascii="游ゴシック" w:hAnsi="游ゴシック" w:eastAsia="游ゴシック"/>
                <w:b w:val="0"/>
                <w:i w:val="0"/>
                <w:sz w:val="17"/>
              </w:rPr>
              <w:t>1</w:t>
            </w:r>
          </w:p>
        </w:tc>
        <w:tc>
          <w:tcPr>
            <w:tcW w:type="dxa" w:w="2494"/>
            <w:vAlign w:val="center"/>
          </w:tcPr>
          <w:p>
            <w:pPr>
              <w:spacing w:before="20" w:after="20"/>
            </w:pPr>
            <w:r>
              <w:rPr>
                <w:rFonts w:ascii="游ゴシック" w:hAnsi="游ゴシック" w:eastAsia="游ゴシック"/>
                <w:b w:val="0"/>
                <w:i w:val="0"/>
                <w:sz w:val="17"/>
              </w:rPr>
              <w:t>公表資料で供給の状況を確かめる</w:t>
            </w:r>
          </w:p>
        </w:tc>
        <w:tc>
          <w:tcPr>
            <w:tcW w:type="dxa" w:w="4989"/>
            <w:vAlign w:val="center"/>
          </w:tcPr>
          <w:p>
            <w:pPr>
              <w:spacing w:before="20" w:after="20"/>
            </w:pPr>
            <w:r>
              <w:rPr>
                <w:rFonts w:ascii="游ゴシック" w:hAnsi="游ゴシック" w:eastAsia="游ゴシック"/>
                <w:b w:val="0"/>
                <w:i w:val="0"/>
                <w:sz w:val="17"/>
              </w:rPr>
              <w:t>障害福祉サービス等情報公表システムのオープンデータ（事業所の所在・定員）と、県の障がい福祉計画の県中圏域計画（事業所の所在、圏域の現状と課題）</w:t>
            </w:r>
          </w:p>
        </w:tc>
        <w:tc>
          <w:tcPr>
            <w:tcW w:type="dxa" w:w="1814"/>
            <w:vAlign w:val="center"/>
          </w:tcPr>
          <w:p>
            <w:pPr>
              <w:spacing w:before="20" w:after="20"/>
            </w:pPr>
            <w:r>
              <w:rPr>
                <w:rFonts w:ascii="游ゴシック" w:hAnsi="游ゴシック" w:eastAsia="游ゴシック"/>
                <w:b w:val="0"/>
                <w:i w:val="0"/>
                <w:sz w:val="17"/>
              </w:rPr>
              <w:t>済み（本書3・4）</w:t>
            </w:r>
          </w:p>
        </w:tc>
      </w:tr>
      <w:tr>
        <w:tc>
          <w:tcPr>
            <w:tcW w:type="dxa" w:w="454"/>
            <w:vAlign w:val="center"/>
          </w:tcPr>
          <w:p>
            <w:pPr>
              <w:keepNext/>
              <w:spacing w:before="20" w:after="20"/>
            </w:pPr>
            <w:r>
              <w:rPr>
                <w:rFonts w:ascii="游ゴシック" w:hAnsi="游ゴシック" w:eastAsia="游ゴシック"/>
                <w:b w:val="0"/>
                <w:i w:val="0"/>
                <w:sz w:val="17"/>
              </w:rPr>
              <w:t>2</w:t>
            </w:r>
          </w:p>
        </w:tc>
        <w:tc>
          <w:tcPr>
            <w:tcW w:type="dxa" w:w="2494"/>
            <w:vAlign w:val="center"/>
          </w:tcPr>
          <w:p>
            <w:pPr>
              <w:keepNext/>
              <w:spacing w:before="20" w:after="20"/>
            </w:pPr>
            <w:r>
              <w:rPr>
                <w:rFonts w:ascii="游ゴシック" w:hAnsi="游ゴシック" w:eastAsia="游ゴシック"/>
                <w:b w:val="0"/>
                <w:i w:val="0"/>
                <w:sz w:val="17"/>
              </w:rPr>
              <w:t>第2回自立支援協議会で関係者の意見を聴く</w:t>
            </w:r>
          </w:p>
        </w:tc>
        <w:tc>
          <w:tcPr>
            <w:tcW w:type="dxa" w:w="4989"/>
            <w:vAlign w:val="center"/>
          </w:tcPr>
          <w:p>
            <w:pPr>
              <w:keepNext/>
              <w:spacing w:before="20" w:after="20"/>
            </w:pPr>
            <w:r>
              <w:rPr>
                <w:rFonts w:ascii="游ゴシック" w:hAnsi="游ゴシック" w:eastAsia="游ゴシック"/>
                <w:b w:val="0"/>
                <w:i w:val="0"/>
                <w:sz w:val="17"/>
              </w:rPr>
              <w:t>協議会の議題に「関係者の皆様へのお尋ね」を設け、委員（事業所・相談支援・当事者団体等）からまとめて意見を聴く。国のマニュアルのいう集団での聴取に当たる</w:t>
            </w:r>
          </w:p>
        </w:tc>
        <w:tc>
          <w:tcPr>
            <w:tcW w:type="dxa" w:w="1814"/>
            <w:vAlign w:val="center"/>
          </w:tcPr>
          <w:p>
            <w:pPr>
              <w:keepNext/>
              <w:spacing w:before="20" w:after="20"/>
            </w:pPr>
            <w:r>
              <w:rPr>
                <w:rFonts w:ascii="游ゴシック" w:hAnsi="游ゴシック" w:eastAsia="游ゴシック"/>
                <w:b w:val="0"/>
                <w:i w:val="0"/>
                <w:sz w:val="17"/>
              </w:rPr>
              <w:t>令和8年11月末</w:t>
            </w:r>
          </w:p>
        </w:tc>
      </w:tr>
      <w:tr>
        <w:tc>
          <w:tcPr>
            <w:tcW w:type="dxa" w:w="454"/>
            <w:vAlign w:val="center"/>
          </w:tcPr>
          <w:p>
            <w:pPr>
              <w:spacing w:before="20" w:after="20"/>
            </w:pPr>
            <w:r>
              <w:rPr>
                <w:rFonts w:ascii="游ゴシック" w:hAnsi="游ゴシック" w:eastAsia="游ゴシック"/>
                <w:b w:val="0"/>
                <w:i w:val="0"/>
                <w:sz w:val="17"/>
              </w:rPr>
              <w:t>3</w:t>
            </w:r>
          </w:p>
        </w:tc>
        <w:tc>
          <w:tcPr>
            <w:tcW w:type="dxa" w:w="2494"/>
            <w:vAlign w:val="center"/>
          </w:tcPr>
          <w:p>
            <w:pPr>
              <w:spacing w:before="20" w:after="20"/>
            </w:pPr>
            <w:r>
              <w:rPr>
                <w:rFonts w:ascii="游ゴシック" w:hAnsi="游ゴシック" w:eastAsia="游ゴシック"/>
                <w:b w:val="0"/>
                <w:i w:val="0"/>
                <w:sz w:val="17"/>
              </w:rPr>
              <w:t>町が日頃把握していることを確かめる</w:t>
            </w:r>
          </w:p>
        </w:tc>
        <w:tc>
          <w:tcPr>
            <w:tcW w:type="dxa" w:w="4989"/>
            <w:vAlign w:val="center"/>
          </w:tcPr>
          <w:p>
            <w:pPr>
              <w:spacing w:before="20" w:after="20"/>
            </w:pPr>
            <w:r>
              <w:rPr>
                <w:rFonts w:ascii="游ゴシック" w:hAnsi="游ゴシック" w:eastAsia="游ゴシック"/>
                <w:b w:val="0"/>
                <w:i w:val="0"/>
                <w:sz w:val="17"/>
              </w:rPr>
              <w:t>基幹相談支援センター・町内の相談支援事業所を通じて町が把握している受入の余力、セルフプラン、短期入所の利用先などを、町データとしていただく</w:t>
            </w:r>
          </w:p>
        </w:tc>
        <w:tc>
          <w:tcPr>
            <w:tcW w:type="dxa" w:w="1814"/>
            <w:vAlign w:val="center"/>
          </w:tcPr>
          <w:p>
            <w:pPr>
              <w:spacing w:before="20" w:after="20"/>
            </w:pPr>
            <w:r>
              <w:rPr>
                <w:rFonts w:ascii="游ゴシック" w:hAnsi="游ゴシック" w:eastAsia="游ゴシック"/>
                <w:b w:val="0"/>
                <w:i w:val="0"/>
                <w:sz w:val="17"/>
              </w:rPr>
              <w:t>11月中旬まで</w:t>
            </w:r>
          </w:p>
        </w:tc>
      </w:tr>
    </w:tbl>
    <w:p>
      <w:pPr>
        <w:spacing w:after="40"/>
      </w:pPr>
    </w:p>
    <w:p>
      <w:pPr>
        <w:spacing w:before="60" w:after="60"/>
      </w:pPr>
      <w:r>
        <w:rPr>
          <w:rFonts w:ascii="游ゴシック" w:hAnsi="游ゴシック" w:eastAsia="游ゴシック"/>
          <w:b/>
          <w:i w:val="0"/>
          <w:sz w:val="21"/>
        </w:rPr>
        <w:t>成果品①の「ヒアリング調査結果」は、この3つの結果を「関係者団体等の意見の聴取結果」としてまとめます。</w:t>
      </w:r>
      <w:r>
        <w:rPr>
          <w:rFonts w:ascii="游ゴシック" w:hAnsi="游ゴシック" w:eastAsia="游ゴシック"/>
          <w:b w:val="0"/>
          <w:i w:val="0"/>
          <w:sz w:val="21"/>
        </w:rPr>
        <w:t xml:space="preserve"> 仕様書はヒアリングの方法を定めていないため、方法の変更として町の了解を得て、打合せ記録に残します（仕様書8①）。</w:t>
      </w:r>
    </w:p>
    <w:p>
      <w:pPr>
        <w:pStyle w:val="Heading1"/>
        <w:keepNext/>
        <w:spacing w:before="240" w:after="100"/>
      </w:pPr>
      <w:bookmarkStart w:id="102" w:name="_Toc_002"/>
      <w:r>
        <w:rPr>
          <w:rFonts w:ascii="游ゴシック" w:hAnsi="游ゴシック" w:eastAsia="游ゴシック"/>
          <w:b/>
          <w:i w:val="0"/>
          <w:color w:val="2E74B5"/>
          <w:sz w:val="30"/>
        </w:rPr>
        <w:t>2　仕様書と国のマニュアル</w:t>
      </w:r>
      <w:bookmarkEnd w:id="102"/>
    </w:p>
    <w:p>
      <w:pPr>
        <w:spacing w:before="60" w:after="60"/>
      </w:pPr>
      <w:r>
        <w:rPr>
          <w:rFonts w:ascii="游ゴシック" w:hAnsi="游ゴシック" w:eastAsia="游ゴシック"/>
          <w:b/>
          <w:i w:val="0"/>
          <w:sz w:val="21"/>
        </w:rPr>
        <w:t>仕様書は、関係者団体等ヒアリングを求めていますが、方法（訪問・面接など）と件数は定めていません。</w:t>
      </w:r>
      <w:r>
        <w:rPr>
          <w:rFonts w:ascii="游ゴシック" w:hAnsi="游ゴシック" w:eastAsia="游ゴシック"/>
          <w:b w:val="0"/>
          <w:i w:val="0"/>
          <w:sz w:val="21"/>
        </w:rPr>
        <w:t xml:space="preserve"> 作業分担表もアンケート調査の分しかありません。</w:t>
      </w:r>
    </w:p>
    <w:p>
      <w:pPr>
        <w:keepNext/>
        <w:spacing w:before="200" w:after="40"/>
      </w:pPr>
      <w:r>
        <w:rPr>
          <w:rFonts w:ascii="游ゴシック" w:hAnsi="游ゴシック" w:eastAsia="游ゴシック"/>
          <w:b/>
          <w:i w:val="0"/>
          <w:color w:val="1F4D78"/>
          <w:sz w:val="22"/>
        </w:rPr>
        <w:t>【表2】仕様書の定め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条項</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定め</w:t>
            </w:r>
          </w:p>
        </w:tc>
      </w:tr>
      <w:tr>
        <w:tc>
          <w:tcPr>
            <w:tcW w:type="dxa" w:w="1701"/>
            <w:vAlign w:val="center"/>
          </w:tcPr>
          <w:p>
            <w:pPr>
              <w:keepNext/>
              <w:spacing w:before="20" w:after="20"/>
            </w:pPr>
            <w:r>
              <w:rPr>
                <w:rFonts w:ascii="游ゴシック" w:hAnsi="游ゴシック" w:eastAsia="游ゴシック"/>
                <w:b w:val="0"/>
                <w:i w:val="0"/>
                <w:sz w:val="17"/>
              </w:rPr>
              <w:t>仕様書5(3)</w:t>
            </w:r>
          </w:p>
        </w:tc>
        <w:tc>
          <w:tcPr>
            <w:tcW w:type="dxa" w:w="8050"/>
            <w:vAlign w:val="center"/>
          </w:tcPr>
          <w:p>
            <w:pPr>
              <w:keepNext/>
              <w:spacing w:before="20" w:after="20"/>
            </w:pPr>
            <w:r>
              <w:rPr>
                <w:rFonts w:ascii="游ゴシック" w:hAnsi="游ゴシック" w:eastAsia="游ゴシック"/>
                <w:b w:val="0"/>
                <w:i w:val="0"/>
                <w:sz w:val="17"/>
              </w:rPr>
              <w:t>障がい者ニーズ調査結果や関係者団体等ヒアリング調査結果、当町が実施する関連調査等の結果……をもとに、障がい者を取り巻く環境の分析や課題の抽出を行う</w:t>
            </w:r>
          </w:p>
        </w:tc>
      </w:tr>
      <w:tr>
        <w:tc>
          <w:tcPr>
            <w:tcW w:type="dxa" w:w="1701"/>
            <w:vAlign w:val="center"/>
          </w:tcPr>
          <w:p>
            <w:pPr>
              <w:spacing w:before="20" w:after="20"/>
            </w:pPr>
            <w:r>
              <w:rPr>
                <w:rFonts w:ascii="游ゴシック" w:hAnsi="游ゴシック" w:eastAsia="游ゴシック"/>
                <w:b w:val="0"/>
                <w:i w:val="0"/>
                <w:sz w:val="17"/>
              </w:rPr>
              <w:t>仕様書6①</w:t>
            </w:r>
          </w:p>
        </w:tc>
        <w:tc>
          <w:tcPr>
            <w:tcW w:type="dxa" w:w="8050"/>
            <w:vAlign w:val="center"/>
          </w:tcPr>
          <w:p>
            <w:pPr>
              <w:spacing w:before="20" w:after="20"/>
            </w:pPr>
            <w:r>
              <w:rPr>
                <w:rFonts w:ascii="游ゴシック" w:hAnsi="游ゴシック" w:eastAsia="游ゴシック"/>
                <w:b w:val="0"/>
                <w:i w:val="0"/>
                <w:sz w:val="17"/>
              </w:rPr>
              <w:t>アンケート調査結果及びヒアリング調査結果報告書（電子データ）</w:t>
            </w:r>
          </w:p>
        </w:tc>
      </w:tr>
    </w:tbl>
    <w:p>
      <w:pPr>
        <w:spacing w:after="40"/>
      </w:pPr>
    </w:p>
    <w:p>
      <w:pPr>
        <w:spacing w:before="60" w:after="60"/>
      </w:pPr>
      <w:r>
        <w:rPr>
          <w:rFonts w:ascii="游ゴシック" w:hAnsi="游ゴシック" w:eastAsia="游ゴシック"/>
          <w:b/>
          <w:i w:val="0"/>
          <w:sz w:val="21"/>
        </w:rPr>
        <w:t>国のマニュアル（令和8年8月）は、ヒアリングを当事者・団体の声を聞く方法として説明しています。</w:t>
      </w:r>
      <w:r>
        <w:rPr>
          <w:rFonts w:ascii="游ゴシック" w:hAnsi="游ゴシック" w:eastAsia="游ゴシック"/>
          <w:b w:val="0"/>
          <w:i w:val="0"/>
          <w:sz w:val="21"/>
        </w:rPr>
        <w:t xml:space="preserve"> 事業所調査は「参考」として扱われ、日頃のやり取りで把握した事業者の状況を見込量に用いる例も挙げています。</w:t>
      </w:r>
    </w:p>
    <w:p>
      <w:pPr>
        <w:keepNext/>
        <w:spacing w:before="200" w:after="40"/>
      </w:pPr>
      <w:r>
        <w:rPr>
          <w:rFonts w:ascii="游ゴシック" w:hAnsi="游ゴシック" w:eastAsia="游ゴシック"/>
          <w:b/>
          <w:i w:val="0"/>
          <w:color w:val="1F4D78"/>
          <w:sz w:val="22"/>
        </w:rPr>
        <w:t>【表3】国のマニュアルと代替案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4876"/>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マニュアルの記述</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代替案での受け止め</w:t>
            </w:r>
          </w:p>
        </w:tc>
      </w:tr>
      <w:tr>
        <w:tc>
          <w:tcPr>
            <w:tcW w:type="dxa" w:w="4876"/>
            <w:vAlign w:val="center"/>
          </w:tcPr>
          <w:p>
            <w:pPr>
              <w:spacing w:before="20" w:after="20"/>
            </w:pPr>
            <w:r>
              <w:rPr>
                <w:rFonts w:ascii="游ゴシック" w:hAnsi="游ゴシック" w:eastAsia="游ゴシック"/>
                <w:b w:val="0"/>
                <w:i w:val="0"/>
                <w:sz w:val="17"/>
              </w:rPr>
              <w:t>ヒアリングは「主にアンケート調査を補完するもの」として実施</w:t>
            </w:r>
          </w:p>
        </w:tc>
        <w:tc>
          <w:tcPr>
            <w:tcW w:type="dxa" w:w="4876"/>
            <w:vAlign w:val="center"/>
          </w:tcPr>
          <w:p>
            <w:pPr>
              <w:spacing w:before="20" w:after="20"/>
            </w:pPr>
            <w:r>
              <w:rPr>
                <w:rFonts w:ascii="游ゴシック" w:hAnsi="游ゴシック" w:eastAsia="游ゴシック"/>
                <w:b w:val="0"/>
                <w:i w:val="0"/>
                <w:sz w:val="17"/>
              </w:rPr>
              <w:t>アンケートで取れない声を、協議会での意見聴取で補う</w:t>
            </w:r>
          </w:p>
        </w:tc>
      </w:tr>
      <w:tr>
        <w:tc>
          <w:tcPr>
            <w:tcW w:type="dxa" w:w="4876"/>
            <w:vAlign w:val="center"/>
          </w:tcPr>
          <w:p>
            <w:pPr>
              <w:spacing w:before="20" w:after="20"/>
            </w:pPr>
            <w:r>
              <w:rPr>
                <w:rFonts w:ascii="游ゴシック" w:hAnsi="游ゴシック" w:eastAsia="游ゴシック"/>
                <w:b w:val="0"/>
                <w:i w:val="0"/>
                <w:sz w:val="17"/>
              </w:rPr>
              <w:t>方法として個別ヒアリングのほか「グループインタビュー（集団ヒアリング）」</w:t>
            </w:r>
          </w:p>
        </w:tc>
        <w:tc>
          <w:tcPr>
            <w:tcW w:type="dxa" w:w="4876"/>
            <w:vAlign w:val="center"/>
          </w:tcPr>
          <w:p>
            <w:pPr>
              <w:spacing w:before="20" w:after="20"/>
            </w:pPr>
            <w:r>
              <w:rPr>
                <w:rFonts w:ascii="游ゴシック" w:hAnsi="游ゴシック" w:eastAsia="游ゴシック"/>
                <w:b w:val="0"/>
                <w:i w:val="0"/>
                <w:sz w:val="17"/>
              </w:rPr>
              <w:t>第2回協議会で委員からまとめて意見を聴く</w:t>
            </w:r>
          </w:p>
        </w:tc>
      </w:tr>
      <w:tr>
        <w:tc>
          <w:tcPr>
            <w:tcW w:type="dxa" w:w="4876"/>
            <w:vAlign w:val="center"/>
          </w:tcPr>
          <w:p>
            <w:pPr>
              <w:keepNext/>
              <w:spacing w:before="20" w:after="20"/>
            </w:pPr>
            <w:r>
              <w:rPr>
                <w:rFonts w:ascii="游ゴシック" w:hAnsi="游ゴシック" w:eastAsia="游ゴシック"/>
                <w:b w:val="0"/>
                <w:i w:val="0"/>
                <w:sz w:val="17"/>
              </w:rPr>
              <w:t>事業所調査は「（参考）事業所調査」として掲載</w:t>
            </w:r>
          </w:p>
        </w:tc>
        <w:tc>
          <w:tcPr>
            <w:tcW w:type="dxa" w:w="4876"/>
            <w:vAlign w:val="center"/>
          </w:tcPr>
          <w:p>
            <w:pPr>
              <w:keepNext/>
              <w:spacing w:before="20" w:after="20"/>
            </w:pPr>
            <w:r>
              <w:rPr>
                <w:rFonts w:ascii="游ゴシック" w:hAnsi="游ゴシック" w:eastAsia="游ゴシック"/>
                <w:b w:val="0"/>
                <w:i w:val="0"/>
                <w:sz w:val="17"/>
              </w:rPr>
              <w:t>供給の状況は公表データで確かめる</w:t>
            </w:r>
          </w:p>
        </w:tc>
      </w:tr>
      <w:tr>
        <w:tc>
          <w:tcPr>
            <w:tcW w:type="dxa" w:w="4876"/>
            <w:vAlign w:val="center"/>
          </w:tcPr>
          <w:p>
            <w:pPr>
              <w:spacing w:before="20" w:after="20"/>
            </w:pPr>
            <w:r>
              <w:rPr>
                <w:rFonts w:ascii="游ゴシック" w:hAnsi="游ゴシック" w:eastAsia="游ゴシック"/>
                <w:b w:val="0"/>
                <w:i w:val="0"/>
                <w:sz w:val="17"/>
              </w:rPr>
              <w:t>「日頃のサービス利用者や事業者とのコミュニケーションの中で」把握した状況を見込量に用いる例</w:t>
            </w:r>
          </w:p>
        </w:tc>
        <w:tc>
          <w:tcPr>
            <w:tcW w:type="dxa" w:w="4876"/>
            <w:vAlign w:val="center"/>
          </w:tcPr>
          <w:p>
            <w:pPr>
              <w:spacing w:before="20" w:after="20"/>
            </w:pPr>
            <w:r>
              <w:rPr>
                <w:rFonts w:ascii="游ゴシック" w:hAnsi="游ゴシック" w:eastAsia="游ゴシック"/>
                <w:b w:val="0"/>
                <w:i w:val="0"/>
                <w:sz w:val="17"/>
              </w:rPr>
              <w:t>町が日頃把握していることを町データとしていただく</w:t>
            </w:r>
          </w:p>
        </w:tc>
      </w:tr>
    </w:tbl>
    <w:p>
      <w:pPr>
        <w:spacing w:after="40"/>
      </w:pPr>
    </w:p>
    <w:p>
      <w:pPr>
        <w:spacing w:before="40" w:after="160"/>
        <w:ind w:left="113"/>
      </w:pPr>
      <w:r>
        <w:rPr>
          <w:rFonts w:ascii="游ゴシック" w:hAnsi="游ゴシック" w:eastAsia="游ゴシック"/>
          <w:b w:val="0"/>
          <w:i w:val="0"/>
          <w:sz w:val="17"/>
        </w:rPr>
        <w:t>障害福祉計画策定に係る実態調査及びPDCAサイクルに関するマニュアル（令和8年8月）14〜16頁・27頁</w:t>
      </w:r>
    </w:p>
    <w:p>
      <w:pPr>
        <w:pStyle w:val="Heading1"/>
        <w:keepNext/>
        <w:spacing w:before="240" w:after="100"/>
      </w:pPr>
      <w:bookmarkStart w:id="103" w:name="_Toc_003"/>
      <w:r>
        <w:rPr>
          <w:rFonts w:ascii="游ゴシック" w:hAnsi="游ゴシック" w:eastAsia="游ゴシック"/>
          <w:b/>
          <w:i w:val="0"/>
          <w:color w:val="2E74B5"/>
          <w:sz w:val="30"/>
        </w:rPr>
        <w:t>3　県の資料で分かること</w:t>
      </w:r>
      <w:bookmarkEnd w:id="103"/>
    </w:p>
    <w:p>
      <w:pPr>
        <w:spacing w:before="60" w:after="60"/>
      </w:pPr>
      <w:r>
        <w:rPr>
          <w:rFonts w:ascii="游ゴシック" w:hAnsi="游ゴシック" w:eastAsia="游ゴシック"/>
          <w:b/>
          <w:i w:val="0"/>
          <w:sz w:val="21"/>
        </w:rPr>
        <w:t>県の障がい福祉計画（令和6年3月）の県中障がい保健福祉圏域計画に、圏域の事業所の所在と、圏域の現状と課題がまとまっています。</w:t>
      </w:r>
      <w:r>
        <w:rPr>
          <w:rFonts w:ascii="游ゴシック" w:hAnsi="游ゴシック" w:eastAsia="游ゴシック"/>
          <w:b w:val="0"/>
          <w:i w:val="0"/>
          <w:sz w:val="21"/>
        </w:rPr>
        <w:t xml:space="preserve"> 訪問ヒアリングで確かめる予定だった「供給の制約」の多くは、ここから読み取れます。</w:t>
      </w:r>
    </w:p>
    <w:p>
      <w:pPr>
        <w:keepNext/>
        <w:spacing w:before="200" w:after="40"/>
      </w:pPr>
      <w:r>
        <w:rPr>
          <w:rFonts w:ascii="游ゴシック" w:hAnsi="游ゴシック" w:eastAsia="游ゴシック"/>
          <w:b/>
          <w:i w:val="0"/>
          <w:color w:val="1F4D78"/>
          <w:sz w:val="22"/>
        </w:rPr>
        <w:t>【表4】県中圏域計画から読み取れること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4876"/>
        <w:gridCol w:w="3175"/>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県中圏域計画の記述（要旨）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小野町の計画での使い方</w:t>
            </w:r>
          </w:p>
        </w:tc>
      </w:tr>
      <w:tr>
        <w:tc>
          <w:tcPr>
            <w:tcW w:type="dxa" w:w="1701"/>
            <w:vAlign w:val="center"/>
          </w:tcPr>
          <w:p>
            <w:pPr>
              <w:spacing w:before="20" w:after="20"/>
            </w:pPr>
            <w:r>
              <w:rPr>
                <w:rFonts w:ascii="游ゴシック" w:hAnsi="游ゴシック" w:eastAsia="游ゴシック"/>
                <w:b w:val="0"/>
                <w:i w:val="0"/>
                <w:sz w:val="17"/>
              </w:rPr>
              <w:t>地域生活への移行</w:t>
            </w:r>
          </w:p>
        </w:tc>
        <w:tc>
          <w:tcPr>
            <w:tcW w:type="dxa" w:w="4876"/>
            <w:vAlign w:val="center"/>
          </w:tcPr>
          <w:p>
            <w:pPr>
              <w:spacing w:before="20" w:after="20"/>
            </w:pPr>
            <w:r>
              <w:rPr>
                <w:rFonts w:ascii="游ゴシック" w:hAnsi="游ゴシック" w:eastAsia="游ゴシック"/>
                <w:b w:val="0"/>
                <w:i w:val="0"/>
                <w:sz w:val="17"/>
              </w:rPr>
              <w:t>一般相談支援事業所（地域移行・地域定着）は設置場所に偏りがあり、絶対数も不足。グループホーム等は地域間に格差</w:t>
            </w:r>
          </w:p>
        </w:tc>
        <w:tc>
          <w:tcPr>
            <w:tcW w:type="dxa" w:w="3175"/>
            <w:vAlign w:val="center"/>
          </w:tcPr>
          <w:p>
            <w:pPr>
              <w:spacing w:before="20" w:after="20"/>
            </w:pPr>
            <w:r>
              <w:rPr>
                <w:rFonts w:ascii="游ゴシック" w:hAnsi="游ゴシック" w:eastAsia="游ゴシック"/>
                <w:b w:val="0"/>
                <w:i w:val="0"/>
                <w:sz w:val="17"/>
              </w:rPr>
              <w:t>成果目標①と居住系の見込量の確保の方策</w:t>
            </w:r>
          </w:p>
        </w:tc>
      </w:tr>
      <w:tr>
        <w:tc>
          <w:tcPr>
            <w:tcW w:type="dxa" w:w="1701"/>
            <w:vAlign w:val="center"/>
          </w:tcPr>
          <w:p>
            <w:pPr>
              <w:spacing w:before="20" w:after="20"/>
            </w:pPr>
            <w:r>
              <w:rPr>
                <w:rFonts w:ascii="游ゴシック" w:hAnsi="游ゴシック" w:eastAsia="游ゴシック"/>
                <w:b w:val="0"/>
                <w:i w:val="0"/>
                <w:sz w:val="17"/>
              </w:rPr>
              <w:t>地域生活支援拠点</w:t>
            </w:r>
          </w:p>
        </w:tc>
        <w:tc>
          <w:tcPr>
            <w:tcW w:type="dxa" w:w="4876"/>
            <w:vAlign w:val="center"/>
          </w:tcPr>
          <w:p>
            <w:pPr>
              <w:spacing w:before="20" w:after="20"/>
            </w:pPr>
            <w:r>
              <w:rPr>
                <w:rFonts w:ascii="游ゴシック" w:hAnsi="游ゴシック" w:eastAsia="游ゴシック"/>
                <w:b w:val="0"/>
                <w:i w:val="0"/>
                <w:sz w:val="17"/>
              </w:rPr>
              <w:t>田村地方（小野町を含む3市町）は令和3年度に整備。コーディネーターの確保と機能の強化が課題</w:t>
            </w:r>
          </w:p>
        </w:tc>
        <w:tc>
          <w:tcPr>
            <w:tcW w:type="dxa" w:w="3175"/>
            <w:vAlign w:val="center"/>
          </w:tcPr>
          <w:p>
            <w:pPr>
              <w:spacing w:before="20" w:after="20"/>
            </w:pPr>
            <w:r>
              <w:rPr>
                <w:rFonts w:ascii="游ゴシック" w:hAnsi="游ゴシック" w:eastAsia="游ゴシック"/>
                <w:b w:val="0"/>
                <w:i w:val="0"/>
                <w:sz w:val="17"/>
              </w:rPr>
              <w:t>成果目標③。拠点は田村地方で共同して運用している前提で書く</w:t>
            </w:r>
          </w:p>
        </w:tc>
      </w:tr>
      <w:tr>
        <w:tc>
          <w:tcPr>
            <w:tcW w:type="dxa" w:w="1701"/>
            <w:vAlign w:val="center"/>
          </w:tcPr>
          <w:p>
            <w:pPr>
              <w:spacing w:before="20" w:after="20"/>
            </w:pPr>
            <w:r>
              <w:rPr>
                <w:rFonts w:ascii="游ゴシック" w:hAnsi="游ゴシック" w:eastAsia="游ゴシック"/>
                <w:b w:val="0"/>
                <w:i w:val="0"/>
                <w:sz w:val="17"/>
              </w:rPr>
              <w:t>就労</w:t>
            </w:r>
          </w:p>
        </w:tc>
        <w:tc>
          <w:tcPr>
            <w:tcW w:type="dxa" w:w="4876"/>
            <w:vAlign w:val="center"/>
          </w:tcPr>
          <w:p>
            <w:pPr>
              <w:spacing w:before="20" w:after="20"/>
            </w:pPr>
            <w:r>
              <w:rPr>
                <w:rFonts w:ascii="游ゴシック" w:hAnsi="游ゴシック" w:eastAsia="游ゴシック"/>
                <w:b w:val="0"/>
                <w:i w:val="0"/>
                <w:sz w:val="17"/>
              </w:rPr>
              <w:t>就労移行支援・就労定着支援は市部に集中し不足。就労継続支援は地域格差。企業の理解が課題</w:t>
            </w:r>
          </w:p>
        </w:tc>
        <w:tc>
          <w:tcPr>
            <w:tcW w:type="dxa" w:w="3175"/>
            <w:vAlign w:val="center"/>
          </w:tcPr>
          <w:p>
            <w:pPr>
              <w:spacing w:before="20" w:after="20"/>
            </w:pPr>
            <w:r>
              <w:rPr>
                <w:rFonts w:ascii="游ゴシック" w:hAnsi="游ゴシック" w:eastAsia="游ゴシック"/>
                <w:b w:val="0"/>
                <w:i w:val="0"/>
                <w:sz w:val="17"/>
              </w:rPr>
              <w:t>成果目標④、第2部第9章</w:t>
            </w:r>
          </w:p>
        </w:tc>
      </w:tr>
      <w:tr>
        <w:tc>
          <w:tcPr>
            <w:tcW w:type="dxa" w:w="1701"/>
            <w:vAlign w:val="center"/>
          </w:tcPr>
          <w:p>
            <w:pPr>
              <w:keepNext/>
              <w:spacing w:before="20" w:after="20"/>
            </w:pPr>
            <w:r>
              <w:rPr>
                <w:rFonts w:ascii="游ゴシック" w:hAnsi="游ゴシック" w:eastAsia="游ゴシック"/>
                <w:b w:val="0"/>
                <w:i w:val="0"/>
                <w:sz w:val="17"/>
              </w:rPr>
              <w:t>相談支援</w:t>
            </w:r>
          </w:p>
        </w:tc>
        <w:tc>
          <w:tcPr>
            <w:tcW w:type="dxa" w:w="4876"/>
            <w:vAlign w:val="center"/>
          </w:tcPr>
          <w:p>
            <w:pPr>
              <w:keepNext/>
              <w:spacing w:before="20" w:after="20"/>
            </w:pPr>
            <w:r>
              <w:rPr>
                <w:rFonts w:ascii="游ゴシック" w:hAnsi="游ゴシック" w:eastAsia="游ゴシック"/>
                <w:b w:val="0"/>
                <w:i w:val="0"/>
                <w:sz w:val="17"/>
              </w:rPr>
              <w:t>特に計画相談を担う相談支援専門員の不足が課題</w:t>
            </w:r>
          </w:p>
        </w:tc>
        <w:tc>
          <w:tcPr>
            <w:tcW w:type="dxa" w:w="3175"/>
            <w:vAlign w:val="center"/>
          </w:tcPr>
          <w:p>
            <w:pPr>
              <w:keepNext/>
              <w:spacing w:before="20" w:after="20"/>
            </w:pPr>
            <w:r>
              <w:rPr>
                <w:rFonts w:ascii="游ゴシック" w:hAnsi="游ゴシック" w:eastAsia="游ゴシック"/>
                <w:b w:val="0"/>
                <w:i w:val="0"/>
                <w:sz w:val="17"/>
              </w:rPr>
              <w:t>成果目標⑤（望まないセルフプランの解消）</w:t>
            </w:r>
          </w:p>
        </w:tc>
      </w:tr>
      <w:tr>
        <w:tc>
          <w:tcPr>
            <w:tcW w:type="dxa" w:w="1701"/>
            <w:vAlign w:val="center"/>
          </w:tcPr>
          <w:p>
            <w:pPr>
              <w:spacing w:before="20" w:after="20"/>
            </w:pPr>
            <w:r>
              <w:rPr>
                <w:rFonts w:ascii="游ゴシック" w:hAnsi="游ゴシック" w:eastAsia="游ゴシック"/>
                <w:b w:val="0"/>
                <w:i w:val="0"/>
                <w:sz w:val="17"/>
              </w:rPr>
              <w:t>短期入所</w:t>
            </w:r>
          </w:p>
        </w:tc>
        <w:tc>
          <w:tcPr>
            <w:tcW w:type="dxa" w:w="4876"/>
            <w:vAlign w:val="center"/>
          </w:tcPr>
          <w:p>
            <w:pPr>
              <w:spacing w:before="20" w:after="20"/>
            </w:pPr>
            <w:r>
              <w:rPr>
                <w:rFonts w:ascii="游ゴシック" w:hAnsi="游ゴシック" w:eastAsia="游ゴシック"/>
                <w:b w:val="0"/>
                <w:i w:val="0"/>
                <w:sz w:val="17"/>
              </w:rPr>
              <w:t>福祉型の事業所は圏域に22か所（令和5年4月）で、小野町にはない</w:t>
            </w:r>
          </w:p>
        </w:tc>
        <w:tc>
          <w:tcPr>
            <w:tcW w:type="dxa" w:w="3175"/>
            <w:vAlign w:val="center"/>
          </w:tcPr>
          <w:p>
            <w:pPr>
              <w:spacing w:before="20" w:after="20"/>
            </w:pPr>
            <w:r>
              <w:rPr>
                <w:rFonts w:ascii="游ゴシック" w:hAnsi="游ゴシック" w:eastAsia="游ゴシック"/>
                <w:b w:val="0"/>
                <w:i w:val="0"/>
                <w:sz w:val="17"/>
              </w:rPr>
              <w:t>短期入所の確保の方策（町外の事業所との連携）</w:t>
            </w:r>
          </w:p>
        </w:tc>
      </w:tr>
    </w:tbl>
    <w:p>
      <w:pPr>
        <w:spacing w:after="40"/>
      </w:pPr>
    </w:p>
    <w:p>
      <w:pPr>
        <w:spacing w:before="40" w:after="160"/>
        <w:ind w:left="113"/>
      </w:pPr>
      <w:r>
        <w:rPr>
          <w:rFonts w:ascii="游ゴシック" w:hAnsi="游ゴシック" w:eastAsia="游ゴシック"/>
          <w:b w:val="0"/>
          <w:i w:val="0"/>
          <w:sz w:val="17"/>
        </w:rPr>
        <w:t>福島県 第7期障がい福祉計画・第3期障がい児福祉計画（令和6年3月）第9 県中障がい保健福祉圏域計画（68〜78頁）</w:t>
      </w:r>
    </w:p>
    <w:p>
      <w:pPr>
        <w:pStyle w:val="Heading1"/>
        <w:keepNext/>
        <w:spacing w:before="240" w:after="100"/>
      </w:pPr>
      <w:bookmarkStart w:id="104" w:name="_Toc_004"/>
      <w:r>
        <w:rPr>
          <w:rFonts w:ascii="游ゴシック" w:hAnsi="游ゴシック" w:eastAsia="游ゴシック"/>
          <w:b/>
          <w:i w:val="0"/>
          <w:color w:val="2E74B5"/>
          <w:sz w:val="30"/>
        </w:rPr>
        <w:t>4　情報公表データで分かること</w:t>
      </w:r>
      <w:bookmarkEnd w:id="104"/>
    </w:p>
    <w:p>
      <w:pPr>
        <w:spacing w:before="60" w:after="60"/>
      </w:pPr>
      <w:r>
        <w:rPr>
          <w:rFonts w:ascii="游ゴシック" w:hAnsi="游ゴシック" w:eastAsia="游ゴシック"/>
          <w:b/>
          <w:i w:val="0"/>
          <w:sz w:val="21"/>
        </w:rPr>
        <w:t>町内にある障がい福祉の事業所は、生活介護2、就労継続支援Ｂ型3、計画相談支援1、障害児相談支援1の計7か所です</w:t>
      </w:r>
      <w:r>
        <w:rPr>
          <w:rFonts w:ascii="游ゴシック" w:hAnsi="游ゴシック" w:eastAsia="游ゴシック"/>
          <w:b w:val="0"/>
          <w:i w:val="0"/>
          <w:sz w:val="21"/>
        </w:rPr>
        <w:t>（令和8年3月）。県計画（令和5年4月）が載せる小野町の生活介護2・就労継続支援Ｂ型3・計画相談支援1と同じです。</w:t>
      </w:r>
    </w:p>
    <w:p>
      <w:pPr>
        <w:keepNext/>
        <w:spacing w:before="200" w:after="40"/>
      </w:pPr>
      <w:r>
        <w:rPr>
          <w:rFonts w:ascii="游ゴシック" w:hAnsi="游ゴシック" w:eastAsia="游ゴシック"/>
          <w:b/>
          <w:i w:val="0"/>
          <w:color w:val="1F4D78"/>
          <w:sz w:val="22"/>
        </w:rPr>
        <w:t>【表5】事業所数（令和8年3月）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15"/>
        <w:gridCol w:w="1928"/>
        <w:gridCol w:w="2268"/>
        <w:gridCol w:w="2041"/>
      </w:tblGrid>
      <w:tr>
        <w:tc>
          <w:tcPr>
            <w:tcW w:type="dxa" w:w="351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田村地方（3市町）</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県中圏域</w:t>
            </w:r>
          </w:p>
        </w:tc>
      </w:tr>
      <w:tr>
        <w:tc>
          <w:tcPr>
            <w:tcW w:type="dxa" w:w="3515"/>
            <w:vAlign w:val="center"/>
          </w:tcPr>
          <w:p>
            <w:pPr>
              <w:spacing w:before="20" w:after="20"/>
            </w:pPr>
            <w:r>
              <w:rPr>
                <w:rFonts w:ascii="游ゴシック" w:hAnsi="游ゴシック" w:eastAsia="游ゴシック"/>
                <w:b w:val="0"/>
                <w:i w:val="0"/>
                <w:sz w:val="17"/>
              </w:rPr>
              <w:t>居宅介護</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5</w:t>
            </w:r>
          </w:p>
        </w:tc>
        <w:tc>
          <w:tcPr>
            <w:tcW w:type="dxa" w:w="2041"/>
            <w:vAlign w:val="center"/>
          </w:tcPr>
          <w:p>
            <w:pPr>
              <w:spacing w:before="20" w:after="20"/>
              <w:jc w:val="right"/>
            </w:pPr>
            <w:r>
              <w:rPr>
                <w:rFonts w:ascii="游ゴシック" w:hAnsi="游ゴシック" w:eastAsia="游ゴシック"/>
                <w:b w:val="0"/>
                <w:i w:val="0"/>
                <w:sz w:val="17"/>
              </w:rPr>
              <w:t>62</w:t>
            </w:r>
          </w:p>
        </w:tc>
      </w:tr>
      <w:tr>
        <w:tc>
          <w:tcPr>
            <w:tcW w:type="dxa" w:w="3515"/>
            <w:vAlign w:val="center"/>
          </w:tcPr>
          <w:p>
            <w:pPr>
              <w:spacing w:before="20" w:after="20"/>
            </w:pPr>
            <w:r>
              <w:rPr>
                <w:rFonts w:ascii="游ゴシック" w:hAnsi="游ゴシック" w:eastAsia="游ゴシック"/>
                <w:b w:val="0"/>
                <w:i w:val="0"/>
                <w:sz w:val="17"/>
              </w:rPr>
              <w:t>重度訪問介護</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3</w:t>
            </w:r>
          </w:p>
        </w:tc>
        <w:tc>
          <w:tcPr>
            <w:tcW w:type="dxa" w:w="2041"/>
            <w:vAlign w:val="center"/>
          </w:tcPr>
          <w:p>
            <w:pPr>
              <w:spacing w:before="20" w:after="20"/>
              <w:jc w:val="right"/>
            </w:pPr>
            <w:r>
              <w:rPr>
                <w:rFonts w:ascii="游ゴシック" w:hAnsi="游ゴシック" w:eastAsia="游ゴシック"/>
                <w:b w:val="0"/>
                <w:i w:val="0"/>
                <w:sz w:val="17"/>
              </w:rPr>
              <w:t>47</w:t>
            </w:r>
          </w:p>
        </w:tc>
      </w:tr>
      <w:tr>
        <w:tc>
          <w:tcPr>
            <w:tcW w:type="dxa" w:w="3515"/>
            <w:vAlign w:val="center"/>
          </w:tcPr>
          <w:p>
            <w:pPr>
              <w:spacing w:before="20" w:after="20"/>
            </w:pPr>
            <w:r>
              <w:rPr>
                <w:rFonts w:ascii="游ゴシック" w:hAnsi="游ゴシック" w:eastAsia="游ゴシック"/>
                <w:b w:val="0"/>
                <w:i w:val="0"/>
                <w:sz w:val="17"/>
              </w:rPr>
              <w:t>同行援護</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2</w:t>
            </w:r>
          </w:p>
        </w:tc>
        <w:tc>
          <w:tcPr>
            <w:tcW w:type="dxa" w:w="2041"/>
            <w:vAlign w:val="center"/>
          </w:tcPr>
          <w:p>
            <w:pPr>
              <w:spacing w:before="20" w:after="20"/>
              <w:jc w:val="right"/>
            </w:pPr>
            <w:r>
              <w:rPr>
                <w:rFonts w:ascii="游ゴシック" w:hAnsi="游ゴシック" w:eastAsia="游ゴシック"/>
                <w:b w:val="0"/>
                <w:i w:val="0"/>
                <w:sz w:val="17"/>
              </w:rPr>
              <w:t>12</w:t>
            </w:r>
          </w:p>
        </w:tc>
      </w:tr>
      <w:tr>
        <w:tc>
          <w:tcPr>
            <w:tcW w:type="dxa" w:w="3515"/>
            <w:vAlign w:val="center"/>
          </w:tcPr>
          <w:p>
            <w:pPr>
              <w:spacing w:before="20" w:after="20"/>
            </w:pPr>
            <w:r>
              <w:rPr>
                <w:rFonts w:ascii="游ゴシック" w:hAnsi="游ゴシック" w:eastAsia="游ゴシック"/>
                <w:b w:val="0"/>
                <w:i w:val="0"/>
                <w:sz w:val="17"/>
              </w:rPr>
              <w:t>生活介護</w:t>
            </w:r>
          </w:p>
        </w:tc>
        <w:tc>
          <w:tcPr>
            <w:tcW w:type="dxa" w:w="1928"/>
            <w:vAlign w:val="center"/>
          </w:tcPr>
          <w:p>
            <w:pPr>
              <w:spacing w:before="20" w:after="20"/>
              <w:jc w:val="right"/>
            </w:pPr>
            <w:r>
              <w:rPr>
                <w:rFonts w:ascii="游ゴシック" w:hAnsi="游ゴシック" w:eastAsia="游ゴシック"/>
                <w:b w:val="0"/>
                <w:i w:val="0"/>
                <w:sz w:val="17"/>
              </w:rPr>
              <w:t>2</w:t>
            </w:r>
          </w:p>
        </w:tc>
        <w:tc>
          <w:tcPr>
            <w:tcW w:type="dxa" w:w="2268"/>
            <w:vAlign w:val="center"/>
          </w:tcPr>
          <w:p>
            <w:pPr>
              <w:spacing w:before="20" w:after="20"/>
              <w:jc w:val="right"/>
            </w:pPr>
            <w:r>
              <w:rPr>
                <w:rFonts w:ascii="游ゴシック" w:hAnsi="游ゴシック" w:eastAsia="游ゴシック"/>
                <w:b w:val="0"/>
                <w:i w:val="0"/>
                <w:sz w:val="17"/>
              </w:rPr>
              <w:t>9</w:t>
            </w:r>
          </w:p>
        </w:tc>
        <w:tc>
          <w:tcPr>
            <w:tcW w:type="dxa" w:w="2041"/>
            <w:vAlign w:val="center"/>
          </w:tcPr>
          <w:p>
            <w:pPr>
              <w:spacing w:before="20" w:after="20"/>
              <w:jc w:val="right"/>
            </w:pPr>
            <w:r>
              <w:rPr>
                <w:rFonts w:ascii="游ゴシック" w:hAnsi="游ゴシック" w:eastAsia="游ゴシック"/>
                <w:b w:val="0"/>
                <w:i w:val="0"/>
                <w:sz w:val="17"/>
              </w:rPr>
              <w:t>56</w:t>
            </w:r>
          </w:p>
        </w:tc>
      </w:tr>
      <w:tr>
        <w:tc>
          <w:tcPr>
            <w:tcW w:type="dxa" w:w="3515"/>
            <w:vAlign w:val="center"/>
          </w:tcPr>
          <w:p>
            <w:pPr>
              <w:spacing w:before="20" w:after="20"/>
            </w:pPr>
            <w:r>
              <w:rPr>
                <w:rFonts w:ascii="游ゴシック" w:hAnsi="游ゴシック" w:eastAsia="游ゴシック"/>
                <w:b w:val="0"/>
                <w:i w:val="0"/>
                <w:sz w:val="17"/>
              </w:rPr>
              <w:t>短期入所</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2</w:t>
            </w:r>
          </w:p>
        </w:tc>
        <w:tc>
          <w:tcPr>
            <w:tcW w:type="dxa" w:w="2041"/>
            <w:vAlign w:val="center"/>
          </w:tcPr>
          <w:p>
            <w:pPr>
              <w:spacing w:before="20" w:after="20"/>
              <w:jc w:val="right"/>
            </w:pPr>
            <w:r>
              <w:rPr>
                <w:rFonts w:ascii="游ゴシック" w:hAnsi="游ゴシック" w:eastAsia="游ゴシック"/>
                <w:b w:val="0"/>
                <w:i w:val="0"/>
                <w:sz w:val="17"/>
              </w:rPr>
              <w:t>23</w:t>
            </w:r>
          </w:p>
        </w:tc>
      </w:tr>
      <w:tr>
        <w:tc>
          <w:tcPr>
            <w:tcW w:type="dxa" w:w="3515"/>
            <w:vAlign w:val="center"/>
          </w:tcPr>
          <w:p>
            <w:pPr>
              <w:spacing w:before="20" w:after="20"/>
            </w:pPr>
            <w:r>
              <w:rPr>
                <w:rFonts w:ascii="游ゴシック" w:hAnsi="游ゴシック" w:eastAsia="游ゴシック"/>
                <w:b w:val="0"/>
                <w:i w:val="0"/>
                <w:sz w:val="17"/>
              </w:rPr>
              <w:t>就労移行支援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0</w:t>
            </w:r>
          </w:p>
        </w:tc>
        <w:tc>
          <w:tcPr>
            <w:tcW w:type="dxa" w:w="2041"/>
            <w:vAlign w:val="center"/>
          </w:tcPr>
          <w:p>
            <w:pPr>
              <w:spacing w:before="20" w:after="20"/>
              <w:jc w:val="right"/>
            </w:pPr>
            <w:r>
              <w:rPr>
                <w:rFonts w:ascii="游ゴシック" w:hAnsi="游ゴシック" w:eastAsia="游ゴシック"/>
                <w:b w:val="0"/>
                <w:i w:val="0"/>
                <w:sz w:val="17"/>
              </w:rPr>
              <w:t>15</w:t>
            </w:r>
          </w:p>
        </w:tc>
      </w:tr>
      <w:tr>
        <w:tc>
          <w:tcPr>
            <w:tcW w:type="dxa" w:w="3515"/>
            <w:vAlign w:val="center"/>
          </w:tcPr>
          <w:p>
            <w:pPr>
              <w:spacing w:before="20" w:after="20"/>
            </w:pPr>
            <w:r>
              <w:rPr>
                <w:rFonts w:ascii="游ゴシック" w:hAnsi="游ゴシック" w:eastAsia="游ゴシック"/>
                <w:b w:val="0"/>
                <w:i w:val="0"/>
                <w:sz w:val="17"/>
              </w:rPr>
              <w:t>就労継続支援Ａ型</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1</w:t>
            </w:r>
          </w:p>
        </w:tc>
        <w:tc>
          <w:tcPr>
            <w:tcW w:type="dxa" w:w="2041"/>
            <w:vAlign w:val="center"/>
          </w:tcPr>
          <w:p>
            <w:pPr>
              <w:spacing w:before="20" w:after="20"/>
              <w:jc w:val="right"/>
            </w:pPr>
            <w:r>
              <w:rPr>
                <w:rFonts w:ascii="游ゴシック" w:hAnsi="游ゴシック" w:eastAsia="游ゴシック"/>
                <w:b w:val="0"/>
                <w:i w:val="0"/>
                <w:sz w:val="17"/>
              </w:rPr>
              <w:t>13</w:t>
            </w:r>
          </w:p>
        </w:tc>
      </w:tr>
      <w:tr>
        <w:tc>
          <w:tcPr>
            <w:tcW w:type="dxa" w:w="3515"/>
            <w:vAlign w:val="center"/>
          </w:tcPr>
          <w:p>
            <w:pPr>
              <w:spacing w:before="20" w:after="20"/>
            </w:pPr>
            <w:r>
              <w:rPr>
                <w:rFonts w:ascii="游ゴシック" w:hAnsi="游ゴシック" w:eastAsia="游ゴシック"/>
                <w:b w:val="0"/>
                <w:i w:val="0"/>
                <w:sz w:val="17"/>
              </w:rPr>
              <w:t>就労継続支援Ｂ型</w:t>
            </w:r>
          </w:p>
        </w:tc>
        <w:tc>
          <w:tcPr>
            <w:tcW w:type="dxa" w:w="1928"/>
            <w:vAlign w:val="center"/>
          </w:tcPr>
          <w:p>
            <w:pPr>
              <w:spacing w:before="20" w:after="20"/>
              <w:jc w:val="right"/>
            </w:pPr>
            <w:r>
              <w:rPr>
                <w:rFonts w:ascii="游ゴシック" w:hAnsi="游ゴシック" w:eastAsia="游ゴシック"/>
                <w:b w:val="0"/>
                <w:i w:val="0"/>
                <w:sz w:val="17"/>
              </w:rPr>
              <w:t>3</w:t>
            </w:r>
          </w:p>
        </w:tc>
        <w:tc>
          <w:tcPr>
            <w:tcW w:type="dxa" w:w="2268"/>
            <w:vAlign w:val="center"/>
          </w:tcPr>
          <w:p>
            <w:pPr>
              <w:spacing w:before="20" w:after="20"/>
              <w:jc w:val="right"/>
            </w:pPr>
            <w:r>
              <w:rPr>
                <w:rFonts w:ascii="游ゴシック" w:hAnsi="游ゴシック" w:eastAsia="游ゴシック"/>
                <w:b w:val="0"/>
                <w:i w:val="0"/>
                <w:sz w:val="17"/>
              </w:rPr>
              <w:t>18</w:t>
            </w:r>
          </w:p>
        </w:tc>
        <w:tc>
          <w:tcPr>
            <w:tcW w:type="dxa" w:w="2041"/>
            <w:vAlign w:val="center"/>
          </w:tcPr>
          <w:p>
            <w:pPr>
              <w:spacing w:before="20" w:after="20"/>
              <w:jc w:val="right"/>
            </w:pPr>
            <w:r>
              <w:rPr>
                <w:rFonts w:ascii="游ゴシック" w:hAnsi="游ゴシック" w:eastAsia="游ゴシック"/>
                <w:b w:val="0"/>
                <w:i w:val="0"/>
                <w:sz w:val="17"/>
              </w:rPr>
              <w:t>83</w:t>
            </w:r>
          </w:p>
        </w:tc>
      </w:tr>
      <w:tr>
        <w:tc>
          <w:tcPr>
            <w:tcW w:type="dxa" w:w="3515"/>
            <w:vAlign w:val="center"/>
          </w:tcPr>
          <w:p>
            <w:pPr>
              <w:spacing w:before="20" w:after="20"/>
            </w:pPr>
            <w:r>
              <w:rPr>
                <w:rFonts w:ascii="游ゴシック" w:hAnsi="游ゴシック" w:eastAsia="游ゴシック"/>
                <w:b w:val="0"/>
                <w:i w:val="0"/>
                <w:sz w:val="17"/>
              </w:rPr>
              <w:t>就労定着支援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0</w:t>
            </w:r>
          </w:p>
        </w:tc>
        <w:tc>
          <w:tcPr>
            <w:tcW w:type="dxa" w:w="2041"/>
            <w:vAlign w:val="center"/>
          </w:tcPr>
          <w:p>
            <w:pPr>
              <w:spacing w:before="20" w:after="20"/>
              <w:jc w:val="right"/>
            </w:pPr>
            <w:r>
              <w:rPr>
                <w:rFonts w:ascii="游ゴシック" w:hAnsi="游ゴシック" w:eastAsia="游ゴシック"/>
                <w:b w:val="0"/>
                <w:i w:val="0"/>
                <w:sz w:val="17"/>
              </w:rPr>
              <w:t>7</w:t>
            </w:r>
          </w:p>
        </w:tc>
      </w:tr>
      <w:tr>
        <w:tc>
          <w:tcPr>
            <w:tcW w:type="dxa" w:w="3515"/>
            <w:vAlign w:val="center"/>
          </w:tcPr>
          <w:p>
            <w:pPr>
              <w:spacing w:before="20" w:after="20"/>
            </w:pPr>
            <w:r>
              <w:rPr>
                <w:rFonts w:ascii="游ゴシック" w:hAnsi="游ゴシック" w:eastAsia="游ゴシック"/>
                <w:b w:val="0"/>
                <w:i w:val="0"/>
                <w:sz w:val="17"/>
              </w:rPr>
              <w:t>共同生活援助</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5</w:t>
            </w:r>
          </w:p>
        </w:tc>
        <w:tc>
          <w:tcPr>
            <w:tcW w:type="dxa" w:w="2041"/>
            <w:vAlign w:val="center"/>
          </w:tcPr>
          <w:p>
            <w:pPr>
              <w:spacing w:before="20" w:after="20"/>
              <w:jc w:val="right"/>
            </w:pPr>
            <w:r>
              <w:rPr>
                <w:rFonts w:ascii="游ゴシック" w:hAnsi="游ゴシック" w:eastAsia="游ゴシック"/>
                <w:b w:val="0"/>
                <w:i w:val="0"/>
                <w:sz w:val="17"/>
              </w:rPr>
              <w:t>40</w:t>
            </w:r>
          </w:p>
        </w:tc>
      </w:tr>
      <w:tr>
        <w:tc>
          <w:tcPr>
            <w:tcW w:type="dxa" w:w="3515"/>
            <w:vAlign w:val="center"/>
          </w:tcPr>
          <w:p>
            <w:pPr>
              <w:spacing w:before="20" w:after="20"/>
            </w:pPr>
            <w:r>
              <w:rPr>
                <w:rFonts w:ascii="游ゴシック" w:hAnsi="游ゴシック" w:eastAsia="游ゴシック"/>
                <w:b w:val="0"/>
                <w:i w:val="0"/>
                <w:sz w:val="17"/>
              </w:rPr>
              <w:t>施設入所支援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2</w:t>
            </w:r>
          </w:p>
        </w:tc>
        <w:tc>
          <w:tcPr>
            <w:tcW w:type="dxa" w:w="2041"/>
            <w:vAlign w:val="center"/>
          </w:tcPr>
          <w:p>
            <w:pPr>
              <w:spacing w:before="20" w:after="20"/>
              <w:jc w:val="right"/>
            </w:pPr>
            <w:r>
              <w:rPr>
                <w:rFonts w:ascii="游ゴシック" w:hAnsi="游ゴシック" w:eastAsia="游ゴシック"/>
                <w:b w:val="0"/>
                <w:i w:val="0"/>
                <w:sz w:val="17"/>
              </w:rPr>
              <w:t>9</w:t>
            </w:r>
          </w:p>
        </w:tc>
      </w:tr>
      <w:tr>
        <w:tc>
          <w:tcPr>
            <w:tcW w:type="dxa" w:w="3515"/>
            <w:vAlign w:val="center"/>
          </w:tcPr>
          <w:p>
            <w:pPr>
              <w:spacing w:before="20" w:after="20"/>
            </w:pPr>
            <w:r>
              <w:rPr>
                <w:rFonts w:ascii="游ゴシック" w:hAnsi="游ゴシック" w:eastAsia="游ゴシック"/>
                <w:b w:val="0"/>
                <w:i w:val="0"/>
                <w:sz w:val="17"/>
              </w:rPr>
              <w:t>計画相談支援</w:t>
            </w:r>
          </w:p>
        </w:tc>
        <w:tc>
          <w:tcPr>
            <w:tcW w:type="dxa" w:w="1928"/>
            <w:vAlign w:val="center"/>
          </w:tcPr>
          <w:p>
            <w:pPr>
              <w:spacing w:before="20" w:after="20"/>
              <w:jc w:val="right"/>
            </w:pPr>
            <w:r>
              <w:rPr>
                <w:rFonts w:ascii="游ゴシック" w:hAnsi="游ゴシック" w:eastAsia="游ゴシック"/>
                <w:b w:val="0"/>
                <w:i w:val="0"/>
                <w:sz w:val="17"/>
              </w:rPr>
              <w:t>1</w:t>
            </w:r>
          </w:p>
        </w:tc>
        <w:tc>
          <w:tcPr>
            <w:tcW w:type="dxa" w:w="2268"/>
            <w:vAlign w:val="center"/>
          </w:tcPr>
          <w:p>
            <w:pPr>
              <w:spacing w:before="20" w:after="20"/>
              <w:jc w:val="right"/>
            </w:pPr>
            <w:r>
              <w:rPr>
                <w:rFonts w:ascii="游ゴシック" w:hAnsi="游ゴシック" w:eastAsia="游ゴシック"/>
                <w:b w:val="0"/>
                <w:i w:val="0"/>
                <w:sz w:val="17"/>
              </w:rPr>
              <w:t>6</w:t>
            </w:r>
          </w:p>
        </w:tc>
        <w:tc>
          <w:tcPr>
            <w:tcW w:type="dxa" w:w="2041"/>
            <w:vAlign w:val="center"/>
          </w:tcPr>
          <w:p>
            <w:pPr>
              <w:spacing w:before="20" w:after="20"/>
              <w:jc w:val="right"/>
            </w:pPr>
            <w:r>
              <w:rPr>
                <w:rFonts w:ascii="游ゴシック" w:hAnsi="游ゴシック" w:eastAsia="游ゴシック"/>
                <w:b w:val="0"/>
                <w:i w:val="0"/>
                <w:sz w:val="17"/>
              </w:rPr>
              <w:t>48</w:t>
            </w:r>
          </w:p>
        </w:tc>
      </w:tr>
      <w:tr>
        <w:tc>
          <w:tcPr>
            <w:tcW w:type="dxa" w:w="3515"/>
            <w:vAlign w:val="center"/>
          </w:tcPr>
          <w:p>
            <w:pPr>
              <w:spacing w:before="20" w:after="20"/>
            </w:pPr>
            <w:r>
              <w:rPr>
                <w:rFonts w:ascii="游ゴシック" w:hAnsi="游ゴシック" w:eastAsia="游ゴシック"/>
                <w:b w:val="0"/>
                <w:i w:val="0"/>
                <w:sz w:val="17"/>
              </w:rPr>
              <w:t>地域相談支援（地域移行支援）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4</w:t>
            </w:r>
          </w:p>
        </w:tc>
        <w:tc>
          <w:tcPr>
            <w:tcW w:type="dxa" w:w="2041"/>
            <w:vAlign w:val="center"/>
          </w:tcPr>
          <w:p>
            <w:pPr>
              <w:spacing w:before="20" w:after="20"/>
              <w:jc w:val="right"/>
            </w:pPr>
            <w:r>
              <w:rPr>
                <w:rFonts w:ascii="游ゴシック" w:hAnsi="游ゴシック" w:eastAsia="游ゴシック"/>
                <w:b w:val="0"/>
                <w:i w:val="0"/>
                <w:sz w:val="17"/>
              </w:rPr>
              <w:t>14</w:t>
            </w:r>
          </w:p>
        </w:tc>
      </w:tr>
      <w:tr>
        <w:tc>
          <w:tcPr>
            <w:tcW w:type="dxa" w:w="3515"/>
            <w:vAlign w:val="center"/>
          </w:tcPr>
          <w:p>
            <w:pPr>
              <w:spacing w:before="20" w:after="20"/>
            </w:pPr>
            <w:r>
              <w:rPr>
                <w:rFonts w:ascii="游ゴシック" w:hAnsi="游ゴシック" w:eastAsia="游ゴシック"/>
                <w:b w:val="0"/>
                <w:i w:val="0"/>
                <w:sz w:val="17"/>
              </w:rPr>
              <w:t>児童発達支援</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4</w:t>
            </w:r>
          </w:p>
        </w:tc>
        <w:tc>
          <w:tcPr>
            <w:tcW w:type="dxa" w:w="2041"/>
            <w:vAlign w:val="center"/>
          </w:tcPr>
          <w:p>
            <w:pPr>
              <w:spacing w:before="20" w:after="20"/>
              <w:jc w:val="right"/>
            </w:pPr>
            <w:r>
              <w:rPr>
                <w:rFonts w:ascii="游ゴシック" w:hAnsi="游ゴシック" w:eastAsia="游ゴシック"/>
                <w:b w:val="0"/>
                <w:i w:val="0"/>
                <w:sz w:val="17"/>
              </w:rPr>
              <w:t>72</w:t>
            </w:r>
          </w:p>
        </w:tc>
      </w:tr>
      <w:tr>
        <w:tc>
          <w:tcPr>
            <w:tcW w:type="dxa" w:w="3515"/>
            <w:vAlign w:val="center"/>
          </w:tcPr>
          <w:p>
            <w:pPr>
              <w:spacing w:before="20" w:after="20"/>
            </w:pPr>
            <w:r>
              <w:rPr>
                <w:rFonts w:ascii="游ゴシック" w:hAnsi="游ゴシック" w:eastAsia="游ゴシック"/>
                <w:b w:val="0"/>
                <w:i w:val="0"/>
                <w:sz w:val="17"/>
              </w:rPr>
              <w:t>放課後等デイサービス</w:t>
            </w:r>
          </w:p>
        </w:tc>
        <w:tc>
          <w:tcPr>
            <w:tcW w:type="dxa" w:w="1928"/>
            <w:vAlign w:val="center"/>
          </w:tcPr>
          <w:p>
            <w:pPr>
              <w:spacing w:before="20" w:after="20"/>
              <w:jc w:val="right"/>
            </w:pPr>
            <w:r>
              <w:rPr>
                <w:rFonts w:ascii="游ゴシック" w:hAnsi="游ゴシック" w:eastAsia="游ゴシック"/>
                <w:b w:val="0"/>
                <w:i w:val="0"/>
                <w:sz w:val="17"/>
              </w:rPr>
              <w:t>0</w:t>
            </w:r>
          </w:p>
        </w:tc>
        <w:tc>
          <w:tcPr>
            <w:tcW w:type="dxa" w:w="2268"/>
            <w:vAlign w:val="center"/>
          </w:tcPr>
          <w:p>
            <w:pPr>
              <w:spacing w:before="20" w:after="20"/>
              <w:jc w:val="right"/>
            </w:pPr>
            <w:r>
              <w:rPr>
                <w:rFonts w:ascii="游ゴシック" w:hAnsi="游ゴシック" w:eastAsia="游ゴシック"/>
                <w:b w:val="0"/>
                <w:i w:val="0"/>
                <w:sz w:val="17"/>
              </w:rPr>
              <w:t>6</w:t>
            </w:r>
          </w:p>
        </w:tc>
        <w:tc>
          <w:tcPr>
            <w:tcW w:type="dxa" w:w="2041"/>
            <w:vAlign w:val="center"/>
          </w:tcPr>
          <w:p>
            <w:pPr>
              <w:spacing w:before="20" w:after="20"/>
              <w:jc w:val="right"/>
            </w:pPr>
            <w:r>
              <w:rPr>
                <w:rFonts w:ascii="游ゴシック" w:hAnsi="游ゴシック" w:eastAsia="游ゴシック"/>
                <w:b w:val="0"/>
                <w:i w:val="0"/>
                <w:sz w:val="17"/>
              </w:rPr>
              <w:t>105</w:t>
            </w:r>
          </w:p>
        </w:tc>
      </w:tr>
      <w:tr>
        <w:tc>
          <w:tcPr>
            <w:tcW w:type="dxa" w:w="3515"/>
            <w:vAlign w:val="center"/>
          </w:tcPr>
          <w:p>
            <w:pPr>
              <w:spacing w:before="20" w:after="20"/>
            </w:pPr>
            <w:r>
              <w:rPr>
                <w:rFonts w:ascii="游ゴシック" w:hAnsi="游ゴシック" w:eastAsia="游ゴシック"/>
                <w:b w:val="0"/>
                <w:i w:val="0"/>
                <w:sz w:val="17"/>
              </w:rPr>
              <w:t>障害児相談支援</w:t>
            </w:r>
          </w:p>
        </w:tc>
        <w:tc>
          <w:tcPr>
            <w:tcW w:type="dxa" w:w="1928"/>
            <w:vAlign w:val="center"/>
          </w:tcPr>
          <w:p>
            <w:pPr>
              <w:spacing w:before="20" w:after="20"/>
              <w:jc w:val="right"/>
            </w:pPr>
            <w:r>
              <w:rPr>
                <w:rFonts w:ascii="游ゴシック" w:hAnsi="游ゴシック" w:eastAsia="游ゴシック"/>
                <w:b w:val="0"/>
                <w:i w:val="0"/>
                <w:sz w:val="17"/>
              </w:rPr>
              <w:t>1</w:t>
            </w:r>
          </w:p>
        </w:tc>
        <w:tc>
          <w:tcPr>
            <w:tcW w:type="dxa" w:w="2268"/>
            <w:vAlign w:val="center"/>
          </w:tcPr>
          <w:p>
            <w:pPr>
              <w:spacing w:before="20" w:after="20"/>
              <w:jc w:val="right"/>
            </w:pPr>
            <w:r>
              <w:rPr>
                <w:rFonts w:ascii="游ゴシック" w:hAnsi="游ゴシック" w:eastAsia="游ゴシック"/>
                <w:b w:val="0"/>
                <w:i w:val="0"/>
                <w:sz w:val="17"/>
              </w:rPr>
              <w:t>6</w:t>
            </w:r>
          </w:p>
        </w:tc>
        <w:tc>
          <w:tcPr>
            <w:tcW w:type="dxa" w:w="2041"/>
            <w:vAlign w:val="center"/>
          </w:tcPr>
          <w:p>
            <w:pPr>
              <w:spacing w:before="20" w:after="20"/>
              <w:jc w:val="right"/>
            </w:pPr>
            <w:r>
              <w:rPr>
                <w:rFonts w:ascii="游ゴシック" w:hAnsi="游ゴシック" w:eastAsia="游ゴシック"/>
                <w:b w:val="0"/>
                <w:i w:val="0"/>
                <w:sz w:val="17"/>
              </w:rPr>
              <w:t>37</w:t>
            </w:r>
          </w:p>
        </w:tc>
      </w:tr>
    </w:tbl>
    <w:p>
      <w:pPr>
        <w:spacing w:after="40"/>
      </w:pPr>
    </w:p>
    <w:p>
      <w:pPr>
        <w:spacing w:before="40" w:after="160"/>
        <w:ind w:left="113"/>
      </w:pPr>
      <w:r>
        <w:rPr>
          <w:rFonts w:ascii="游ゴシック" w:hAnsi="游ゴシック" w:eastAsia="游ゴシック"/>
          <w:b w:val="0"/>
          <w:i w:val="0"/>
          <w:sz w:val="17"/>
        </w:rPr>
        <w:t>障害福祉サービス等情報公表システム オープンデータ（令和8年3月版、福祉医療機構）。休止中の事業所を含む場合がある。田村地方は県計画の区分（小野町を含む3市町）</w:t>
      </w:r>
    </w:p>
    <w:p>
      <w:pPr>
        <w:spacing w:before="60" w:after="60"/>
      </w:pPr>
      <w:r>
        <w:rPr>
          <w:rFonts w:ascii="游ゴシック" w:hAnsi="游ゴシック" w:eastAsia="游ゴシック"/>
          <w:b/>
          <w:i w:val="0"/>
          <w:sz w:val="21"/>
        </w:rPr>
        <w:t>町内にない主なサービス</w:t>
      </w:r>
      <w:r>
        <w:rPr>
          <w:rFonts w:ascii="游ゴシック" w:hAnsi="游ゴシック" w:eastAsia="游ゴシック"/>
          <w:b w:val="0"/>
          <w:i w:val="0"/>
          <w:sz w:val="21"/>
        </w:rPr>
        <w:t>は、居宅介護、重度訪問介護、同行援護、短期入所、就労移行支援、就労継続支援Ａ型、就労定着支援、共同生活援助、施設入所支援、地域相談支援（地域移行支援）、児童発達支援、放課後等デイサービスです。これらは町外の事業所の利用が前提となるため、見込量の確保の方策は「町外の事業所との連携・送迎」と、令和9年4月からの「特定地域」の仕組みを軸に書きます。</w:t>
      </w:r>
    </w:p>
    <w:p>
      <w:pPr>
        <w:pStyle w:val="Heading1"/>
        <w:keepNext/>
        <w:spacing w:before="240" w:after="100"/>
      </w:pPr>
      <w:bookmarkStart w:id="105" w:name="_Toc_005"/>
      <w:r>
        <w:rPr>
          <w:rFonts w:ascii="游ゴシック" w:hAnsi="游ゴシック" w:eastAsia="游ゴシック"/>
          <w:b/>
          <w:i w:val="0"/>
          <w:color w:val="2E74B5"/>
          <w:sz w:val="30"/>
        </w:rPr>
        <w:t>5　訪問ヒアリングで確かめる予定だったことの置き換え</w:t>
      </w:r>
      <w:bookmarkEnd w:id="105"/>
    </w:p>
    <w:p>
      <w:pPr>
        <w:keepNext/>
        <w:spacing w:before="200" w:after="40"/>
      </w:pPr>
      <w:r>
        <w:rPr>
          <w:rFonts w:ascii="游ゴシック" w:hAnsi="游ゴシック" w:eastAsia="游ゴシック"/>
          <w:b/>
          <w:i w:val="0"/>
          <w:color w:val="1F4D78"/>
          <w:sz w:val="22"/>
        </w:rPr>
        <w:t>【表6】確かめる事項と代わりの確かめ方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061"/>
        <w:gridCol w:w="680"/>
        <w:gridCol w:w="4535"/>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確かめる予定だったこと</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代替</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代わりの確かめ方</w:t>
            </w:r>
          </w:p>
        </w:tc>
      </w:tr>
      <w:tr>
        <w:tc>
          <w:tcPr>
            <w:tcW w:type="dxa" w:w="1474"/>
            <w:vAlign w:val="center"/>
          </w:tcPr>
          <w:p>
            <w:pPr>
              <w:spacing w:before="20" w:after="20"/>
            </w:pPr>
            <w:r>
              <w:rPr>
                <w:rFonts w:ascii="游ゴシック" w:hAnsi="游ゴシック" w:eastAsia="游ゴシック"/>
                <w:b w:val="0"/>
                <w:i w:val="0"/>
                <w:sz w:val="17"/>
              </w:rPr>
              <w:t>相談支援</w:t>
            </w:r>
          </w:p>
        </w:tc>
        <w:tc>
          <w:tcPr>
            <w:tcW w:type="dxa" w:w="3061"/>
            <w:vAlign w:val="center"/>
          </w:tcPr>
          <w:p>
            <w:pPr>
              <w:spacing w:before="20" w:after="20"/>
            </w:pPr>
            <w:r>
              <w:rPr>
                <w:rFonts w:ascii="游ゴシック" w:hAnsi="游ゴシック" w:eastAsia="游ゴシック"/>
                <w:b w:val="0"/>
                <w:i w:val="0"/>
                <w:sz w:val="17"/>
              </w:rPr>
              <w:t>相談支援専門員の人数・担当件数・新規受入の可否</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町内の計画相談支援事業所の数は情報公表データで確定。人数・余力は基幹相談支援センターを通じて町が把握</w:t>
            </w:r>
          </w:p>
        </w:tc>
      </w:tr>
      <w:tr>
        <w:tc>
          <w:tcPr>
            <w:tcW w:type="dxa" w:w="1474"/>
            <w:vAlign w:val="center"/>
          </w:tcPr>
          <w:p>
            <w:pPr>
              <w:spacing w:before="20" w:after="20"/>
            </w:pPr>
            <w:r>
              <w:rPr>
                <w:rFonts w:ascii="游ゴシック" w:hAnsi="游ゴシック" w:eastAsia="游ゴシック"/>
                <w:b w:val="0"/>
                <w:i w:val="0"/>
                <w:sz w:val="17"/>
              </w:rPr>
              <w:t>相談支援</w:t>
            </w:r>
          </w:p>
        </w:tc>
        <w:tc>
          <w:tcPr>
            <w:tcW w:type="dxa" w:w="3061"/>
            <w:vAlign w:val="center"/>
          </w:tcPr>
          <w:p>
            <w:pPr>
              <w:spacing w:before="20" w:after="20"/>
            </w:pPr>
            <w:r>
              <w:rPr>
                <w:rFonts w:ascii="游ゴシック" w:hAnsi="游ゴシック" w:eastAsia="游ゴシック"/>
                <w:b w:val="0"/>
                <w:i w:val="0"/>
                <w:sz w:val="17"/>
              </w:rPr>
              <w:t>セルフプランの件数と理由</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町の支給決定の記録（町データ）</w:t>
            </w:r>
          </w:p>
        </w:tc>
      </w:tr>
      <w:tr>
        <w:tc>
          <w:tcPr>
            <w:tcW w:type="dxa" w:w="1474"/>
            <w:vAlign w:val="center"/>
          </w:tcPr>
          <w:p>
            <w:pPr>
              <w:spacing w:before="20" w:after="20"/>
            </w:pPr>
            <w:r>
              <w:rPr>
                <w:rFonts w:ascii="游ゴシック" w:hAnsi="游ゴシック" w:eastAsia="游ゴシック"/>
                <w:b w:val="0"/>
                <w:i w:val="0"/>
                <w:sz w:val="17"/>
              </w:rPr>
              <w:t>相談支援</w:t>
            </w:r>
          </w:p>
        </w:tc>
        <w:tc>
          <w:tcPr>
            <w:tcW w:type="dxa" w:w="3061"/>
            <w:vAlign w:val="center"/>
          </w:tcPr>
          <w:p>
            <w:pPr>
              <w:spacing w:before="20" w:after="20"/>
            </w:pPr>
            <w:r>
              <w:rPr>
                <w:rFonts w:ascii="游ゴシック" w:hAnsi="游ゴシック" w:eastAsia="游ゴシック"/>
                <w:b w:val="0"/>
                <w:i w:val="0"/>
                <w:sz w:val="17"/>
              </w:rPr>
              <w:t>困難事例の類型、拠点の機能の運用</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第2回自立支援協議会で委員から意見を聴く／町の拠点の運用記録</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事業所の所在と定員</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情報公表データ（令和8年3月）、県計画の圏域計画</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小野町の方の利用者数と推移</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見込量・目標値設定シート（令和5〜8年度実績）</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稼働率・待機・新規受入の可否</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公表されていない。協議会委員と町の日常の把握で補う</w:t>
            </w:r>
          </w:p>
        </w:tc>
      </w:tr>
      <w:tr>
        <w:tc>
          <w:tcPr>
            <w:tcW w:type="dxa" w:w="1474"/>
            <w:vAlign w:val="center"/>
          </w:tcPr>
          <w:p>
            <w:pPr>
              <w:spacing w:before="20" w:after="20"/>
            </w:pPr>
            <w:r>
              <w:rPr>
                <w:rFonts w:ascii="游ゴシック" w:hAnsi="游ゴシック" w:eastAsia="游ゴシック"/>
                <w:b w:val="0"/>
                <w:i w:val="0"/>
                <w:sz w:val="17"/>
              </w:rPr>
              <w:t>サービス事業所</w:t>
            </w:r>
          </w:p>
        </w:tc>
        <w:tc>
          <w:tcPr>
            <w:tcW w:type="dxa" w:w="3061"/>
            <w:vAlign w:val="center"/>
          </w:tcPr>
          <w:p>
            <w:pPr>
              <w:spacing w:before="20" w:after="20"/>
            </w:pPr>
            <w:r>
              <w:rPr>
                <w:rFonts w:ascii="游ゴシック" w:hAnsi="游ゴシック" w:eastAsia="游ゴシック"/>
                <w:b w:val="0"/>
                <w:i w:val="0"/>
                <w:sz w:val="17"/>
              </w:rPr>
              <w:t>定員の増減・新規開設・休廃止の予定</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県の指定・廃止の公表一覧で動きを確認。予定は把握できない</w:t>
            </w:r>
          </w:p>
        </w:tc>
      </w:tr>
      <w:tr>
        <w:tc>
          <w:tcPr>
            <w:tcW w:type="dxa" w:w="1474"/>
            <w:vAlign w:val="center"/>
          </w:tcPr>
          <w:p>
            <w:pPr>
              <w:spacing w:before="20" w:after="20"/>
            </w:pPr>
            <w:r>
              <w:rPr>
                <w:rFonts w:ascii="游ゴシック" w:hAnsi="游ゴシック" w:eastAsia="游ゴシック"/>
                <w:b w:val="0"/>
                <w:i w:val="0"/>
                <w:sz w:val="17"/>
              </w:rPr>
              <w:t>教育</w:t>
            </w:r>
          </w:p>
        </w:tc>
        <w:tc>
          <w:tcPr>
            <w:tcW w:type="dxa" w:w="3061"/>
            <w:vAlign w:val="center"/>
          </w:tcPr>
          <w:p>
            <w:pPr>
              <w:spacing w:before="20" w:after="20"/>
            </w:pPr>
            <w:r>
              <w:rPr>
                <w:rFonts w:ascii="游ゴシック" w:hAnsi="游ゴシック" w:eastAsia="游ゴシック"/>
                <w:b w:val="0"/>
                <w:i w:val="0"/>
                <w:sz w:val="17"/>
              </w:rPr>
              <w:t>特別支援学校・学級の在籍者と卒業予定者</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町教育委員会（町データ）</w:t>
            </w:r>
          </w:p>
        </w:tc>
      </w:tr>
      <w:tr>
        <w:tc>
          <w:tcPr>
            <w:tcW w:type="dxa" w:w="1474"/>
            <w:vAlign w:val="center"/>
          </w:tcPr>
          <w:p>
            <w:pPr>
              <w:spacing w:before="20" w:after="20"/>
            </w:pPr>
            <w:r>
              <w:rPr>
                <w:rFonts w:ascii="游ゴシック" w:hAnsi="游ゴシック" w:eastAsia="游ゴシック"/>
                <w:b w:val="0"/>
                <w:i w:val="0"/>
                <w:sz w:val="17"/>
              </w:rPr>
              <w:t>教育</w:t>
            </w:r>
          </w:p>
        </w:tc>
        <w:tc>
          <w:tcPr>
            <w:tcW w:type="dxa" w:w="3061"/>
            <w:vAlign w:val="center"/>
          </w:tcPr>
          <w:p>
            <w:pPr>
              <w:spacing w:before="20" w:after="20"/>
            </w:pPr>
            <w:r>
              <w:rPr>
                <w:rFonts w:ascii="游ゴシック" w:hAnsi="游ゴシック" w:eastAsia="游ゴシック"/>
                <w:b w:val="0"/>
                <w:i w:val="0"/>
                <w:sz w:val="17"/>
              </w:rPr>
              <w:t>進路の希望</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アンケート（障がい児の高等学校卒業後の希望）</w:t>
            </w:r>
          </w:p>
        </w:tc>
      </w:tr>
      <w:tr>
        <w:tc>
          <w:tcPr>
            <w:tcW w:type="dxa" w:w="1474"/>
            <w:vAlign w:val="center"/>
          </w:tcPr>
          <w:p>
            <w:pPr>
              <w:spacing w:before="20" w:after="20"/>
            </w:pPr>
            <w:r>
              <w:rPr>
                <w:rFonts w:ascii="游ゴシック" w:hAnsi="游ゴシック" w:eastAsia="游ゴシック"/>
                <w:b w:val="0"/>
                <w:i w:val="0"/>
                <w:sz w:val="17"/>
              </w:rPr>
              <w:t>医療</w:t>
            </w:r>
          </w:p>
        </w:tc>
        <w:tc>
          <w:tcPr>
            <w:tcW w:type="dxa" w:w="3061"/>
            <w:vAlign w:val="center"/>
          </w:tcPr>
          <w:p>
            <w:pPr>
              <w:spacing w:before="20" w:after="20"/>
            </w:pPr>
            <w:r>
              <w:rPr>
                <w:rFonts w:ascii="游ゴシック" w:hAnsi="游ゴシック" w:eastAsia="游ゴシック"/>
                <w:b w:val="0"/>
                <w:i w:val="0"/>
                <w:sz w:val="17"/>
              </w:rPr>
              <w:t>精神科医療・通院の状況</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県計画の圏域の値（自立支援医療受給者等）、町の自立支援医療の受給者数（町データ）</w:t>
            </w:r>
          </w:p>
        </w:tc>
      </w:tr>
      <w:tr>
        <w:tc>
          <w:tcPr>
            <w:tcW w:type="dxa" w:w="1474"/>
            <w:vAlign w:val="center"/>
          </w:tcPr>
          <w:p>
            <w:pPr>
              <w:spacing w:before="20" w:after="20"/>
            </w:pPr>
            <w:r>
              <w:rPr>
                <w:rFonts w:ascii="游ゴシック" w:hAnsi="游ゴシック" w:eastAsia="游ゴシック"/>
                <w:b w:val="0"/>
                <w:i w:val="0"/>
                <w:sz w:val="17"/>
              </w:rPr>
              <w:t>防災</w:t>
            </w:r>
          </w:p>
        </w:tc>
        <w:tc>
          <w:tcPr>
            <w:tcW w:type="dxa" w:w="3061"/>
            <w:vAlign w:val="center"/>
          </w:tcPr>
          <w:p>
            <w:pPr>
              <w:spacing w:before="20" w:after="20"/>
            </w:pPr>
            <w:r>
              <w:rPr>
                <w:rFonts w:ascii="游ゴシック" w:hAnsi="游ゴシック" w:eastAsia="游ゴシック"/>
                <w:b w:val="0"/>
                <w:i w:val="0"/>
                <w:sz w:val="17"/>
              </w:rPr>
              <w:t>避難行動要支援者名簿・個別避難計画の作成状況</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町の防災担当（町データ）</w:t>
            </w:r>
          </w:p>
        </w:tc>
      </w:tr>
      <w:tr>
        <w:tc>
          <w:tcPr>
            <w:tcW w:type="dxa" w:w="1474"/>
            <w:vAlign w:val="center"/>
          </w:tcPr>
          <w:p>
            <w:pPr>
              <w:spacing w:before="20" w:after="20"/>
            </w:pPr>
            <w:r>
              <w:rPr>
                <w:rFonts w:ascii="游ゴシック" w:hAnsi="游ゴシック" w:eastAsia="游ゴシック"/>
                <w:b w:val="0"/>
                <w:i w:val="0"/>
                <w:sz w:val="17"/>
              </w:rPr>
              <w:t>当事者団体・家族会</w:t>
            </w:r>
          </w:p>
        </w:tc>
        <w:tc>
          <w:tcPr>
            <w:tcW w:type="dxa" w:w="3061"/>
            <w:vAlign w:val="center"/>
          </w:tcPr>
          <w:p>
            <w:pPr>
              <w:spacing w:before="20" w:after="20"/>
            </w:pPr>
            <w:r>
              <w:rPr>
                <w:rFonts w:ascii="游ゴシック" w:hAnsi="游ゴシック" w:eastAsia="游ゴシック"/>
                <w:b w:val="0"/>
                <w:i w:val="0"/>
                <w:sz w:val="17"/>
              </w:rPr>
              <w:t>選択肢に収まらない声、親亡き後、介助者の負担</w:t>
            </w:r>
          </w:p>
        </w:tc>
        <w:tc>
          <w:tcPr>
            <w:tcW w:type="dxa" w:w="680"/>
            <w:vAlign w:val="center"/>
          </w:tcPr>
          <w:p>
            <w:pPr>
              <w:spacing w:before="20" w:after="20"/>
            </w:pPr>
            <w:r>
              <w:rPr>
                <w:rFonts w:ascii="游ゴシック" w:hAnsi="游ゴシック" w:eastAsia="游ゴシック"/>
                <w:b w:val="0"/>
                <w:i w:val="0"/>
                <w:sz w:val="17"/>
              </w:rPr>
              <w:t>△</w:t>
            </w:r>
          </w:p>
        </w:tc>
        <w:tc>
          <w:tcPr>
            <w:tcW w:type="dxa" w:w="4535"/>
            <w:vAlign w:val="center"/>
          </w:tcPr>
          <w:p>
            <w:pPr>
              <w:spacing w:before="20" w:after="20"/>
            </w:pPr>
            <w:r>
              <w:rPr>
                <w:rFonts w:ascii="游ゴシック" w:hAnsi="游ゴシック" w:eastAsia="游ゴシック"/>
                <w:b w:val="0"/>
                <w:i w:val="0"/>
                <w:sz w:val="17"/>
              </w:rPr>
              <w:t>アンケートの自由意見、第2回自立支援協議会での意見聴取（グループでの聴取）</w:t>
            </w:r>
          </w:p>
        </w:tc>
      </w:tr>
    </w:tbl>
    <w:p>
      <w:pPr>
        <w:spacing w:after="40"/>
      </w:pPr>
    </w:p>
    <w:p>
      <w:pPr>
        <w:spacing w:before="60" w:after="60"/>
      </w:pPr>
      <w:r>
        <w:rPr>
          <w:rFonts w:ascii="游ゴシック" w:hAnsi="游ゴシック" w:eastAsia="游ゴシック"/>
          <w:b/>
          <w:i w:val="0"/>
          <w:sz w:val="21"/>
        </w:rPr>
        <w:t>◎5件・△6件・×1件です。</w:t>
      </w:r>
      <w:r>
        <w:rPr>
          <w:rFonts w:ascii="游ゴシック" w:hAnsi="游ゴシック" w:eastAsia="游ゴシック"/>
          <w:b w:val="0"/>
          <w:i w:val="0"/>
          <w:sz w:val="21"/>
        </w:rPr>
        <w:t xml:space="preserve"> ×は事業所の稼働率・待機・新規受入の可否で、公表されていません。見込量の算定を止めるものではなく、確保の方策の書き方（「受入の余力を確かめながら町外の事業所と調整する」）で受け止めます。</w:t>
      </w:r>
    </w:p>
    <w:p>
      <w:pPr>
        <w:pStyle w:val="Heading1"/>
        <w:keepNext/>
        <w:spacing w:before="240" w:after="100"/>
      </w:pPr>
      <w:bookmarkStart w:id="106" w:name="_Toc_006"/>
      <w:r>
        <w:rPr>
          <w:rFonts w:ascii="游ゴシック" w:hAnsi="游ゴシック" w:eastAsia="游ゴシック"/>
          <w:b/>
          <w:i w:val="0"/>
          <w:color w:val="2E74B5"/>
          <w:sz w:val="30"/>
        </w:rPr>
        <w:t>6　他団体の案件の進め方（参考）</w:t>
      </w:r>
      <w:bookmarkEnd w:id="106"/>
    </w:p>
    <w:p>
      <w:pPr>
        <w:spacing w:before="60" w:after="60"/>
      </w:pPr>
      <w:r>
        <w:rPr>
          <w:rFonts w:ascii="游ゴシック" w:hAnsi="游ゴシック" w:eastAsia="游ゴシック"/>
          <w:b/>
          <w:i w:val="0"/>
          <w:sz w:val="21"/>
        </w:rPr>
        <w:t>同じ時期に策定している他団体の案件でも、事業所への訪問ヒアリングは行わず、公表データで置き換えています。</w:t>
      </w:r>
      <w:r>
        <w:rPr>
          <w:rFonts w:ascii="游ゴシック" w:hAnsi="游ゴシック" w:eastAsia="游ゴシック"/>
          <w:b w:val="0"/>
          <w:i w:val="0"/>
          <w:sz w:val="21"/>
        </w:rPr>
        <w:t xml:space="preserve"> 数値や記載は借りず、進め方だけを参考にしました。</w:t>
      </w:r>
    </w:p>
    <w:p>
      <w:pPr>
        <w:keepNext/>
        <w:spacing w:before="200" w:after="40"/>
      </w:pPr>
      <w:r>
        <w:rPr>
          <w:rFonts w:ascii="游ゴシック" w:hAnsi="游ゴシック" w:eastAsia="游ゴシック"/>
          <w:b/>
          <w:i w:val="0"/>
          <w:color w:val="1F4D78"/>
          <w:sz w:val="22"/>
        </w:rPr>
        <w:t>【表7】他団体の案件の進め方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4535"/>
        <w:gridCol w:w="2948"/>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観点</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他団体の案件での扱い</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本町での受け止め</w:t>
            </w:r>
          </w:p>
        </w:tc>
      </w:tr>
      <w:tr>
        <w:tc>
          <w:tcPr>
            <w:tcW w:type="dxa" w:w="2268"/>
            <w:vAlign w:val="center"/>
          </w:tcPr>
          <w:p>
            <w:pPr>
              <w:spacing w:before="20" w:after="20"/>
            </w:pPr>
            <w:r>
              <w:rPr>
                <w:rFonts w:ascii="游ゴシック" w:hAnsi="游ゴシック" w:eastAsia="游ゴシック"/>
                <w:b w:val="0"/>
                <w:i w:val="0"/>
                <w:sz w:val="17"/>
              </w:rPr>
              <w:t>公表データで取れる項目の仕分け</w:t>
            </w:r>
          </w:p>
        </w:tc>
        <w:tc>
          <w:tcPr>
            <w:tcW w:type="dxa" w:w="4535"/>
            <w:vAlign w:val="center"/>
          </w:tcPr>
          <w:p>
            <w:pPr>
              <w:spacing w:before="20" w:after="20"/>
            </w:pPr>
            <w:r>
              <w:rPr>
                <w:rFonts w:ascii="游ゴシック" w:hAnsi="游ゴシック" w:eastAsia="游ゴシック"/>
                <w:b w:val="0"/>
                <w:i w:val="0"/>
                <w:sz w:val="17"/>
              </w:rPr>
              <w:t>確かめたい項目を、公表データで確定できる／一部／できないに仕分け、できないものは算定を止めないことを確かめた</w:t>
            </w:r>
          </w:p>
        </w:tc>
        <w:tc>
          <w:tcPr>
            <w:tcW w:type="dxa" w:w="2948"/>
            <w:vAlign w:val="center"/>
          </w:tcPr>
          <w:p>
            <w:pPr>
              <w:spacing w:before="20" w:after="20"/>
            </w:pPr>
            <w:r>
              <w:rPr>
                <w:rFonts w:ascii="游ゴシック" w:hAnsi="游ゴシック" w:eastAsia="游ゴシック"/>
                <w:b w:val="0"/>
                <w:i w:val="0"/>
                <w:sz w:val="17"/>
              </w:rPr>
              <w:t>本書5の◎△×</w:t>
            </w:r>
          </w:p>
        </w:tc>
      </w:tr>
      <w:tr>
        <w:tc>
          <w:tcPr>
            <w:tcW w:type="dxa" w:w="2268"/>
            <w:vAlign w:val="center"/>
          </w:tcPr>
          <w:p>
            <w:pPr>
              <w:spacing w:before="20" w:after="20"/>
            </w:pPr>
            <w:r>
              <w:rPr>
                <w:rFonts w:ascii="游ゴシック" w:hAnsi="游ゴシック" w:eastAsia="游ゴシック"/>
                <w:b w:val="0"/>
                <w:i w:val="0"/>
                <w:sz w:val="17"/>
              </w:rPr>
              <w:t>取れない項目の聴き方</w:t>
            </w:r>
          </w:p>
        </w:tc>
        <w:tc>
          <w:tcPr>
            <w:tcW w:type="dxa" w:w="4535"/>
            <w:vAlign w:val="center"/>
          </w:tcPr>
          <w:p>
            <w:pPr>
              <w:spacing w:before="20" w:after="20"/>
            </w:pPr>
            <w:r>
              <w:rPr>
                <w:rFonts w:ascii="游ゴシック" w:hAnsi="游ゴシック" w:eastAsia="游ゴシック"/>
                <w:b w:val="0"/>
                <w:i w:val="0"/>
                <w:sz w:val="17"/>
              </w:rPr>
              <w:t>既存の会議体（協議会など）で聴くこととし、新たな照会は出さない</w:t>
            </w:r>
          </w:p>
        </w:tc>
        <w:tc>
          <w:tcPr>
            <w:tcW w:type="dxa" w:w="2948"/>
            <w:vAlign w:val="center"/>
          </w:tcPr>
          <w:p>
            <w:pPr>
              <w:spacing w:before="20" w:after="20"/>
            </w:pPr>
            <w:r>
              <w:rPr>
                <w:rFonts w:ascii="游ゴシック" w:hAnsi="游ゴシック" w:eastAsia="游ゴシック"/>
                <w:b w:val="0"/>
                <w:i w:val="0"/>
                <w:sz w:val="17"/>
              </w:rPr>
              <w:t>第2回自立支援協議会での意見聴取</w:t>
            </w:r>
          </w:p>
        </w:tc>
      </w:tr>
      <w:tr>
        <w:tc>
          <w:tcPr>
            <w:tcW w:type="dxa" w:w="2268"/>
            <w:vAlign w:val="center"/>
          </w:tcPr>
          <w:p>
            <w:pPr>
              <w:keepNext/>
              <w:spacing w:before="20" w:after="20"/>
            </w:pPr>
            <w:r>
              <w:rPr>
                <w:rFonts w:ascii="游ゴシック" w:hAnsi="游ゴシック" w:eastAsia="游ゴシック"/>
                <w:b w:val="0"/>
                <w:i w:val="0"/>
                <w:sz w:val="17"/>
              </w:rPr>
              <w:t>町の了解の取り方</w:t>
            </w:r>
          </w:p>
        </w:tc>
        <w:tc>
          <w:tcPr>
            <w:tcW w:type="dxa" w:w="4535"/>
            <w:vAlign w:val="center"/>
          </w:tcPr>
          <w:p>
            <w:pPr>
              <w:keepNext/>
              <w:spacing w:before="20" w:after="20"/>
            </w:pPr>
            <w:r>
              <w:rPr>
                <w:rFonts w:ascii="游ゴシック" w:hAnsi="游ゴシック" w:eastAsia="游ゴシック"/>
                <w:b w:val="0"/>
                <w:i w:val="0"/>
                <w:sz w:val="17"/>
              </w:rPr>
              <w:t>照会を出さないことを確認事項として町に諮り、了解を記録した</w:t>
            </w:r>
          </w:p>
        </w:tc>
        <w:tc>
          <w:tcPr>
            <w:tcW w:type="dxa" w:w="2948"/>
            <w:vAlign w:val="center"/>
          </w:tcPr>
          <w:p>
            <w:pPr>
              <w:keepNext/>
              <w:spacing w:before="20" w:after="20"/>
            </w:pPr>
            <w:r>
              <w:rPr>
                <w:rFonts w:ascii="游ゴシック" w:hAnsi="游ゴシック" w:eastAsia="游ゴシック"/>
                <w:b w:val="0"/>
                <w:i w:val="0"/>
                <w:sz w:val="17"/>
              </w:rPr>
              <w:t>方法の変更を打合せ記録に残す</w:t>
            </w:r>
          </w:p>
        </w:tc>
      </w:tr>
      <w:tr>
        <w:tc>
          <w:tcPr>
            <w:tcW w:type="dxa" w:w="2268"/>
            <w:vAlign w:val="center"/>
          </w:tcPr>
          <w:p>
            <w:pPr>
              <w:spacing w:before="20" w:after="20"/>
            </w:pPr>
            <w:r>
              <w:rPr>
                <w:rFonts w:ascii="游ゴシック" w:hAnsi="游ゴシック" w:eastAsia="游ゴシック"/>
                <w:b w:val="0"/>
                <w:i w:val="0"/>
                <w:sz w:val="17"/>
              </w:rPr>
              <w:t>少数の事業所の数値の扱い</w:t>
            </w:r>
          </w:p>
        </w:tc>
        <w:tc>
          <w:tcPr>
            <w:tcW w:type="dxa" w:w="4535"/>
            <w:vAlign w:val="center"/>
          </w:tcPr>
          <w:p>
            <w:pPr>
              <w:spacing w:before="20" w:after="20"/>
            </w:pPr>
            <w:r>
              <w:rPr>
                <w:rFonts w:ascii="游ゴシック" w:hAnsi="游ゴシック" w:eastAsia="游ゴシック"/>
                <w:b w:val="0"/>
                <w:i w:val="0"/>
                <w:sz w:val="17"/>
              </w:rPr>
              <w:t>事業所が少なく数値で事業所が特定できるため、口頭の数値は載せない</w:t>
            </w:r>
          </w:p>
        </w:tc>
        <w:tc>
          <w:tcPr>
            <w:tcW w:type="dxa" w:w="2948"/>
            <w:vAlign w:val="center"/>
          </w:tcPr>
          <w:p>
            <w:pPr>
              <w:spacing w:before="20" w:after="20"/>
            </w:pPr>
            <w:r>
              <w:rPr>
                <w:rFonts w:ascii="游ゴシック" w:hAnsi="游ゴシック" w:eastAsia="游ゴシック"/>
                <w:b w:val="0"/>
                <w:i w:val="0"/>
                <w:sz w:val="17"/>
              </w:rPr>
              <w:t>事業所別の値は載せない</w:t>
            </w:r>
          </w:p>
        </w:tc>
      </w:tr>
    </w:tbl>
    <w:p>
      <w:pPr>
        <w:spacing w:after="40"/>
      </w:pPr>
    </w:p>
    <w:p>
      <w:pPr>
        <w:spacing w:before="40" w:after="160"/>
        <w:ind w:left="113"/>
      </w:pPr>
      <w:r>
        <w:rPr>
          <w:rFonts w:ascii="游ゴシック" w:hAnsi="游ゴシック" w:eastAsia="游ゴシック"/>
          <w:b w:val="0"/>
          <w:i w:val="0"/>
          <w:sz w:val="17"/>
        </w:rPr>
        <w:t>いずれも介護保険事業計画の案件。障がい福祉計画の仕様書が「関係者団体等ヒアリング」を明記している点は本町と異なるため、方法の変更として町の了解を得る</w:t>
      </w:r>
    </w:p>
    <w:p>
      <w:pPr>
        <w:pStyle w:val="Heading1"/>
        <w:keepNext/>
        <w:spacing w:before="240" w:after="100"/>
      </w:pPr>
      <w:bookmarkStart w:id="107" w:name="_Toc_007"/>
      <w:r>
        <w:rPr>
          <w:rFonts w:ascii="游ゴシック" w:hAnsi="游ゴシック" w:eastAsia="游ゴシック"/>
          <w:b/>
          <w:i w:val="0"/>
          <w:color w:val="2E74B5"/>
          <w:sz w:val="30"/>
        </w:rPr>
        <w:t>7　第2回自立支援協議会でのお尋ね（案）</w:t>
      </w:r>
      <w:bookmarkEnd w:id="107"/>
    </w:p>
    <w:p>
      <w:pPr>
        <w:spacing w:before="60" w:after="60"/>
      </w:pPr>
      <w:r>
        <w:rPr>
          <w:rFonts w:ascii="游ゴシック" w:hAnsi="游ゴシック" w:eastAsia="游ゴシック"/>
          <w:b/>
          <w:i w:val="0"/>
          <w:sz w:val="21"/>
        </w:rPr>
        <w:t>協議会資料に、委員の皆様への次のお尋ねを加えます。</w:t>
      </w:r>
      <w:r>
        <w:rPr>
          <w:rFonts w:ascii="游ゴシック" w:hAnsi="游ゴシック" w:eastAsia="游ゴシック"/>
          <w:b w:val="0"/>
          <w:i w:val="0"/>
          <w:sz w:val="21"/>
        </w:rPr>
        <w:t xml:space="preserve"> 事前に資料をお送りし、当日にご意見をいただきます。</w:t>
      </w:r>
    </w:p>
    <w:p>
      <w:pPr>
        <w:keepNext/>
        <w:spacing w:before="200" w:after="40"/>
      </w:pPr>
      <w:r>
        <w:rPr>
          <w:rFonts w:ascii="游ゴシック" w:hAnsi="游ゴシック" w:eastAsia="游ゴシック"/>
          <w:b/>
          <w:i w:val="0"/>
          <w:color w:val="1F4D78"/>
          <w:sz w:val="22"/>
        </w:rPr>
        <w:t>【表8】協議会でのお尋ね（案）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236"/>
        <w:gridCol w:w="306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お尋ね</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使う先</w:t>
            </w:r>
          </w:p>
        </w:tc>
      </w:tr>
      <w:tr>
        <w:tc>
          <w:tcPr>
            <w:tcW w:type="dxa" w:w="454"/>
            <w:vAlign w:val="center"/>
          </w:tcPr>
          <w:p>
            <w:pPr>
              <w:spacing w:before="20" w:after="20"/>
            </w:pPr>
            <w:r>
              <w:rPr>
                <w:rFonts w:ascii="游ゴシック" w:hAnsi="游ゴシック" w:eastAsia="游ゴシック"/>
                <w:b w:val="0"/>
                <w:i w:val="0"/>
                <w:sz w:val="17"/>
              </w:rPr>
              <w:t>1</w:t>
            </w:r>
          </w:p>
        </w:tc>
        <w:tc>
          <w:tcPr>
            <w:tcW w:type="dxa" w:w="6236"/>
            <w:vAlign w:val="center"/>
          </w:tcPr>
          <w:p>
            <w:pPr>
              <w:spacing w:before="20" w:after="20"/>
            </w:pPr>
            <w:r>
              <w:rPr>
                <w:rFonts w:ascii="游ゴシック" w:hAnsi="游ゴシック" w:eastAsia="游ゴシック"/>
                <w:b w:val="0"/>
                <w:i w:val="0"/>
                <w:sz w:val="17"/>
              </w:rPr>
              <w:t>町内・近隣の事業所で、新たな利用の申込みを受けにくくなっているサービスはありますか</w:t>
            </w:r>
          </w:p>
        </w:tc>
        <w:tc>
          <w:tcPr>
            <w:tcW w:type="dxa" w:w="3061"/>
            <w:vAlign w:val="center"/>
          </w:tcPr>
          <w:p>
            <w:pPr>
              <w:spacing w:before="20" w:after="20"/>
            </w:pPr>
            <w:r>
              <w:rPr>
                <w:rFonts w:ascii="游ゴシック" w:hAnsi="游ゴシック" w:eastAsia="游ゴシック"/>
                <w:b w:val="0"/>
                <w:i w:val="0"/>
                <w:sz w:val="17"/>
              </w:rPr>
              <w:t>見込量の確保の方策</w:t>
            </w:r>
          </w:p>
        </w:tc>
      </w:tr>
      <w:tr>
        <w:tc>
          <w:tcPr>
            <w:tcW w:type="dxa" w:w="454"/>
            <w:vAlign w:val="center"/>
          </w:tcPr>
          <w:p>
            <w:pPr>
              <w:spacing w:before="20" w:after="20"/>
            </w:pPr>
            <w:r>
              <w:rPr>
                <w:rFonts w:ascii="游ゴシック" w:hAnsi="游ゴシック" w:eastAsia="游ゴシック"/>
                <w:b w:val="0"/>
                <w:i w:val="0"/>
                <w:sz w:val="17"/>
              </w:rPr>
              <w:t>2</w:t>
            </w:r>
          </w:p>
        </w:tc>
        <w:tc>
          <w:tcPr>
            <w:tcW w:type="dxa" w:w="6236"/>
            <w:vAlign w:val="center"/>
          </w:tcPr>
          <w:p>
            <w:pPr>
              <w:spacing w:before="20" w:after="20"/>
            </w:pPr>
            <w:r>
              <w:rPr>
                <w:rFonts w:ascii="游ゴシック" w:hAnsi="游ゴシック" w:eastAsia="游ゴシック"/>
                <w:b w:val="0"/>
                <w:i w:val="0"/>
                <w:sz w:val="17"/>
              </w:rPr>
              <w:t>短期入所（ショートステイ）を使いたいときに、受入先が見つからなかったことはありますか</w:t>
            </w:r>
          </w:p>
        </w:tc>
        <w:tc>
          <w:tcPr>
            <w:tcW w:type="dxa" w:w="3061"/>
            <w:vAlign w:val="center"/>
          </w:tcPr>
          <w:p>
            <w:pPr>
              <w:spacing w:before="20" w:after="20"/>
            </w:pPr>
            <w:r>
              <w:rPr>
                <w:rFonts w:ascii="游ゴシック" w:hAnsi="游ゴシック" w:eastAsia="游ゴシック"/>
                <w:b w:val="0"/>
                <w:i w:val="0"/>
                <w:sz w:val="17"/>
              </w:rPr>
              <w:t>短期入所の確保、地域生活支援拠点</w:t>
            </w:r>
          </w:p>
        </w:tc>
      </w:tr>
      <w:tr>
        <w:tc>
          <w:tcPr>
            <w:tcW w:type="dxa" w:w="454"/>
            <w:vAlign w:val="center"/>
          </w:tcPr>
          <w:p>
            <w:pPr>
              <w:spacing w:before="20" w:after="20"/>
            </w:pPr>
            <w:r>
              <w:rPr>
                <w:rFonts w:ascii="游ゴシック" w:hAnsi="游ゴシック" w:eastAsia="游ゴシック"/>
                <w:b w:val="0"/>
                <w:i w:val="0"/>
                <w:sz w:val="17"/>
              </w:rPr>
              <w:t>3</w:t>
            </w:r>
          </w:p>
        </w:tc>
        <w:tc>
          <w:tcPr>
            <w:tcW w:type="dxa" w:w="6236"/>
            <w:vAlign w:val="center"/>
          </w:tcPr>
          <w:p>
            <w:pPr>
              <w:spacing w:before="20" w:after="20"/>
            </w:pPr>
            <w:r>
              <w:rPr>
                <w:rFonts w:ascii="游ゴシック" w:hAnsi="游ゴシック" w:eastAsia="游ゴシック"/>
                <w:b w:val="0"/>
                <w:i w:val="0"/>
                <w:sz w:val="17"/>
              </w:rPr>
              <w:t>相談支援専門員が見つからず、ご本人等が計画をつくっている例（セルフプラン）はありますか</w:t>
            </w:r>
          </w:p>
        </w:tc>
        <w:tc>
          <w:tcPr>
            <w:tcW w:type="dxa" w:w="3061"/>
            <w:vAlign w:val="center"/>
          </w:tcPr>
          <w:p>
            <w:pPr>
              <w:spacing w:before="20" w:after="20"/>
            </w:pPr>
            <w:r>
              <w:rPr>
                <w:rFonts w:ascii="游ゴシック" w:hAnsi="游ゴシック" w:eastAsia="游ゴシック"/>
                <w:b w:val="0"/>
                <w:i w:val="0"/>
                <w:sz w:val="17"/>
              </w:rPr>
              <w:t>成果目標⑤</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6236"/>
            <w:vAlign w:val="center"/>
          </w:tcPr>
          <w:p>
            <w:pPr>
              <w:keepNext/>
              <w:spacing w:before="20" w:after="20"/>
            </w:pPr>
            <w:r>
              <w:rPr>
                <w:rFonts w:ascii="游ゴシック" w:hAnsi="游ゴシック" w:eastAsia="游ゴシック"/>
                <w:b w:val="0"/>
                <w:i w:val="0"/>
                <w:sz w:val="17"/>
              </w:rPr>
              <w:t>町外の事業所に通うときの送迎・移動で、困っていることはありますか</w:t>
            </w:r>
          </w:p>
        </w:tc>
        <w:tc>
          <w:tcPr>
            <w:tcW w:type="dxa" w:w="3061"/>
            <w:vAlign w:val="center"/>
          </w:tcPr>
          <w:p>
            <w:pPr>
              <w:keepNext/>
              <w:spacing w:before="20" w:after="20"/>
            </w:pPr>
            <w:r>
              <w:rPr>
                <w:rFonts w:ascii="游ゴシック" w:hAnsi="游ゴシック" w:eastAsia="游ゴシック"/>
                <w:b w:val="0"/>
                <w:i w:val="0"/>
                <w:sz w:val="17"/>
              </w:rPr>
              <w:t>第2部第3章、確保の方策</w:t>
            </w:r>
          </w:p>
        </w:tc>
      </w:tr>
      <w:tr>
        <w:tc>
          <w:tcPr>
            <w:tcW w:type="dxa" w:w="454"/>
            <w:vAlign w:val="center"/>
          </w:tcPr>
          <w:p>
            <w:pPr>
              <w:spacing w:before="20" w:after="20"/>
            </w:pPr>
            <w:r>
              <w:rPr>
                <w:rFonts w:ascii="游ゴシック" w:hAnsi="游ゴシック" w:eastAsia="游ゴシック"/>
                <w:b w:val="0"/>
                <w:i w:val="0"/>
                <w:sz w:val="17"/>
              </w:rPr>
              <w:t>5</w:t>
            </w:r>
          </w:p>
        </w:tc>
        <w:tc>
          <w:tcPr>
            <w:tcW w:type="dxa" w:w="6236"/>
            <w:vAlign w:val="center"/>
          </w:tcPr>
          <w:p>
            <w:pPr>
              <w:spacing w:before="20" w:after="20"/>
            </w:pPr>
            <w:r>
              <w:rPr>
                <w:rFonts w:ascii="游ゴシック" w:hAnsi="游ゴシック" w:eastAsia="游ゴシック"/>
                <w:b w:val="0"/>
                <w:i w:val="0"/>
                <w:sz w:val="17"/>
              </w:rPr>
              <w:t>ご家族が高齢になったあとの暮らし（親亡き後）について、今のうちに備えるべきことは何ですか</w:t>
            </w:r>
          </w:p>
        </w:tc>
        <w:tc>
          <w:tcPr>
            <w:tcW w:type="dxa" w:w="3061"/>
            <w:vAlign w:val="center"/>
          </w:tcPr>
          <w:p>
            <w:pPr>
              <w:spacing w:before="20" w:after="20"/>
            </w:pPr>
            <w:r>
              <w:rPr>
                <w:rFonts w:ascii="游ゴシック" w:hAnsi="游ゴシック" w:eastAsia="游ゴシック"/>
                <w:b w:val="0"/>
                <w:i w:val="0"/>
                <w:sz w:val="17"/>
              </w:rPr>
              <w:t>第2部第7章、居住系</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8　町にお願いすること</w:t>
      </w:r>
      <w:bookmarkEnd w:id="108"/>
    </w:p>
    <w:p>
      <w:pPr>
        <w:keepNext/>
        <w:spacing w:before="200" w:after="40"/>
      </w:pPr>
      <w:r>
        <w:rPr>
          <w:rFonts w:ascii="游ゴシック" w:hAnsi="游ゴシック" w:eastAsia="游ゴシック"/>
          <w:b/>
          <w:i w:val="0"/>
          <w:color w:val="1F4D78"/>
          <w:sz w:val="22"/>
        </w:rPr>
        <w:t>【表9】町にお願いすること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7597"/>
        <w:gridCol w:w="170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454"/>
            <w:vAlign w:val="center"/>
          </w:tcPr>
          <w:p>
            <w:pPr>
              <w:spacing w:before="20" w:after="20"/>
            </w:pPr>
            <w:r>
              <w:rPr>
                <w:rFonts w:ascii="游ゴシック" w:hAnsi="游ゴシック" w:eastAsia="游ゴシック"/>
                <w:b w:val="0"/>
                <w:i w:val="0"/>
                <w:sz w:val="17"/>
              </w:rPr>
              <w:t>1</w:t>
            </w:r>
          </w:p>
        </w:tc>
        <w:tc>
          <w:tcPr>
            <w:tcW w:type="dxa" w:w="7597"/>
            <w:vAlign w:val="center"/>
          </w:tcPr>
          <w:p>
            <w:pPr>
              <w:spacing w:before="20" w:after="20"/>
            </w:pPr>
            <w:r>
              <w:rPr>
                <w:rFonts w:ascii="游ゴシック" w:hAnsi="游ゴシック" w:eastAsia="游ゴシック"/>
                <w:b w:val="0"/>
                <w:i w:val="0"/>
                <w:sz w:val="17"/>
              </w:rPr>
              <w:t>訪問ヒアリングを行わず、本書1の3つで置き換えることのご了解（打合せ記録に残す）</w:t>
            </w:r>
          </w:p>
        </w:tc>
        <w:tc>
          <w:tcPr>
            <w:tcW w:type="dxa" w:w="1701"/>
            <w:vAlign w:val="center"/>
          </w:tcPr>
          <w:p>
            <w:pPr>
              <w:spacing w:before="20" w:after="20"/>
            </w:pPr>
            <w:r>
              <w:rPr>
                <w:rFonts w:ascii="游ゴシック" w:hAnsi="游ゴシック" w:eastAsia="游ゴシック"/>
                <w:b w:val="0"/>
                <w:i w:val="0"/>
                <w:sz w:val="17"/>
              </w:rPr>
              <w:t>10月末</w:t>
            </w:r>
          </w:p>
        </w:tc>
      </w:tr>
      <w:tr>
        <w:tc>
          <w:tcPr>
            <w:tcW w:type="dxa" w:w="454"/>
            <w:vAlign w:val="center"/>
          </w:tcPr>
          <w:p>
            <w:pPr>
              <w:spacing w:before="20" w:after="20"/>
            </w:pPr>
            <w:r>
              <w:rPr>
                <w:rFonts w:ascii="游ゴシック" w:hAnsi="游ゴシック" w:eastAsia="游ゴシック"/>
                <w:b w:val="0"/>
                <w:i w:val="0"/>
                <w:sz w:val="17"/>
              </w:rPr>
              <w:t>2</w:t>
            </w:r>
          </w:p>
        </w:tc>
        <w:tc>
          <w:tcPr>
            <w:tcW w:type="dxa" w:w="7597"/>
            <w:vAlign w:val="center"/>
          </w:tcPr>
          <w:p>
            <w:pPr>
              <w:spacing w:before="20" w:after="20"/>
            </w:pPr>
            <w:r>
              <w:rPr>
                <w:rFonts w:ascii="游ゴシック" w:hAnsi="游ゴシック" w:eastAsia="游ゴシック"/>
                <w:b w:val="0"/>
                <w:i w:val="0"/>
                <w:sz w:val="17"/>
              </w:rPr>
              <w:t>自立支援協議会の委員の構成（事業所・相談支援・当事者団体・教育・医療の別）</w:t>
            </w:r>
          </w:p>
        </w:tc>
        <w:tc>
          <w:tcPr>
            <w:tcW w:type="dxa" w:w="1701"/>
            <w:vAlign w:val="center"/>
          </w:tcPr>
          <w:p>
            <w:pPr>
              <w:spacing w:before="20" w:after="20"/>
            </w:pPr>
            <w:r>
              <w:rPr>
                <w:rFonts w:ascii="游ゴシック" w:hAnsi="游ゴシック" w:eastAsia="游ゴシック"/>
                <w:b w:val="0"/>
                <w:i w:val="0"/>
                <w:sz w:val="17"/>
              </w:rPr>
              <w:t>10月末</w:t>
            </w:r>
          </w:p>
        </w:tc>
      </w:tr>
      <w:tr>
        <w:tc>
          <w:tcPr>
            <w:tcW w:type="dxa" w:w="454"/>
            <w:vAlign w:val="center"/>
          </w:tcPr>
          <w:p>
            <w:pPr>
              <w:spacing w:before="20" w:after="20"/>
            </w:pPr>
            <w:r>
              <w:rPr>
                <w:rFonts w:ascii="游ゴシック" w:hAnsi="游ゴシック" w:eastAsia="游ゴシック"/>
                <w:b w:val="0"/>
                <w:i w:val="0"/>
                <w:sz w:val="17"/>
              </w:rPr>
              <w:t>3</w:t>
            </w:r>
          </w:p>
        </w:tc>
        <w:tc>
          <w:tcPr>
            <w:tcW w:type="dxa" w:w="7597"/>
            <w:vAlign w:val="center"/>
          </w:tcPr>
          <w:p>
            <w:pPr>
              <w:spacing w:before="20" w:after="20"/>
            </w:pPr>
            <w:r>
              <w:rPr>
                <w:rFonts w:ascii="游ゴシック" w:hAnsi="游ゴシック" w:eastAsia="游ゴシック"/>
                <w:b w:val="0"/>
                <w:i w:val="0"/>
                <w:sz w:val="17"/>
              </w:rPr>
              <w:t>基幹相談支援センター・町内の相談支援事業所を通じて把握している、受入の余力・セルフプランの件数</w:t>
            </w:r>
          </w:p>
        </w:tc>
        <w:tc>
          <w:tcPr>
            <w:tcW w:type="dxa" w:w="1701"/>
            <w:vAlign w:val="center"/>
          </w:tcPr>
          <w:p>
            <w:pPr>
              <w:spacing w:before="20" w:after="20"/>
            </w:pPr>
            <w:r>
              <w:rPr>
                <w:rFonts w:ascii="游ゴシック" w:hAnsi="游ゴシック" w:eastAsia="游ゴシック"/>
                <w:b w:val="0"/>
                <w:i w:val="0"/>
                <w:sz w:val="17"/>
              </w:rPr>
              <w:t>11月中旬</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7597"/>
            <w:vAlign w:val="center"/>
          </w:tcPr>
          <w:p>
            <w:pPr>
              <w:keepNext/>
              <w:spacing w:before="20" w:after="20"/>
            </w:pPr>
            <w:r>
              <w:rPr>
                <w:rFonts w:ascii="游ゴシック" w:hAnsi="游ゴシック" w:eastAsia="游ゴシック"/>
                <w:b w:val="0"/>
                <w:i w:val="0"/>
                <w:sz w:val="17"/>
              </w:rPr>
              <w:t>短期入所を利用している方の利用先（町外の事業所）と、利用できなかった例の有無</w:t>
            </w:r>
          </w:p>
        </w:tc>
        <w:tc>
          <w:tcPr>
            <w:tcW w:type="dxa" w:w="1701"/>
            <w:vAlign w:val="center"/>
          </w:tcPr>
          <w:p>
            <w:pPr>
              <w:keepNext/>
              <w:spacing w:before="20" w:after="20"/>
            </w:pPr>
            <w:r>
              <w:rPr>
                <w:rFonts w:ascii="游ゴシック" w:hAnsi="游ゴシック" w:eastAsia="游ゴシック"/>
                <w:b w:val="0"/>
                <w:i w:val="0"/>
                <w:sz w:val="17"/>
              </w:rPr>
              <w:t>11月中旬</w:t>
            </w:r>
          </w:p>
        </w:tc>
      </w:tr>
      <w:tr>
        <w:tc>
          <w:tcPr>
            <w:tcW w:type="dxa" w:w="454"/>
            <w:vAlign w:val="center"/>
          </w:tcPr>
          <w:p>
            <w:pPr>
              <w:spacing w:before="20" w:after="20"/>
            </w:pPr>
            <w:r>
              <w:rPr>
                <w:rFonts w:ascii="游ゴシック" w:hAnsi="游ゴシック" w:eastAsia="游ゴシック"/>
                <w:b w:val="0"/>
                <w:i w:val="0"/>
                <w:sz w:val="17"/>
              </w:rPr>
              <w:t>5</w:t>
            </w:r>
          </w:p>
        </w:tc>
        <w:tc>
          <w:tcPr>
            <w:tcW w:type="dxa" w:w="7597"/>
            <w:vAlign w:val="center"/>
          </w:tcPr>
          <w:p>
            <w:pPr>
              <w:spacing w:before="20" w:after="20"/>
            </w:pPr>
            <w:r>
              <w:rPr>
                <w:rFonts w:ascii="游ゴシック" w:hAnsi="游ゴシック" w:eastAsia="游ゴシック"/>
                <w:b w:val="0"/>
                <w:i w:val="0"/>
                <w:sz w:val="17"/>
              </w:rPr>
              <w:t>令和7年8月に自立支援協議会・民生児童委員協議会で聴いたご意見の記録（「当町が実施する関連調査」として用いる）</w:t>
            </w:r>
          </w:p>
        </w:tc>
        <w:tc>
          <w:tcPr>
            <w:tcW w:type="dxa" w:w="1701"/>
            <w:vAlign w:val="center"/>
          </w:tcPr>
          <w:p>
            <w:pPr>
              <w:spacing w:before="20" w:after="20"/>
            </w:pPr>
            <w:r>
              <w:rPr>
                <w:rFonts w:ascii="游ゴシック" w:hAnsi="游ゴシック" w:eastAsia="游ゴシック"/>
                <w:b w:val="0"/>
                <w:i w:val="0"/>
                <w:sz w:val="17"/>
              </w:rPr>
              <w:t>11月中旬</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関係者ヒアリングの代替案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関係者ヒアリングの代替案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関係者ヒアリングの代替案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