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令和8年9月　業務報告</w:t>
      </w:r>
    </w:p>
    <w:p>
      <w:pPr>
        <w:spacing w:after="80"/>
        <w:jc w:val="center"/>
      </w:pPr>
      <w:r>
        <w:rPr>
          <w:rFonts w:ascii="游ゴシック" w:hAnsi="游ゴシック" w:eastAsia="游ゴシック"/>
          <w:b w:val="0"/>
          <w:sz w:val="20"/>
        </w:rPr>
        <w:t>基準日　令和8年9月24日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業務仕様書「４．業務内容（3）実施済み調査結果の集計・分析」及び「５．履行工程　令和8年9月」に対する報告です。令和8年9月に行ったこと、その結果、計画素案への反映、残る事項をまとめています。</w:t>
      </w:r>
    </w:p>
    <w:p>
      <w:pPr>
        <w:spacing w:after="80"/>
      </w:pPr>
      <w:r>
        <w:rPr>
          <w:rFonts w:ascii="游ゴシック" w:hAnsi="游ゴシック" w:eastAsia="游ゴシック"/>
          <w:b w:val="0"/>
          <w:sz w:val="21"/>
        </w:rPr>
        <w:t>集計・クロス集計・分析は4調査とも完了しています。</w:t>
      </w:r>
      <w:r>
        <w:rPr>
          <w:rFonts w:ascii="游ゴシック" w:hAnsi="游ゴシック" w:eastAsia="游ゴシック"/>
          <w:b/>
          <w:sz w:val="21"/>
        </w:rPr>
        <w:t>9月に新たにできるようになったのは、調査の結果と保険者の実績（年報）を突き合わせることです。</w:t>
      </w:r>
      <w:r>
        <w:rPr>
          <w:rFonts w:ascii="游ゴシック" w:hAnsi="游ゴシック" w:eastAsia="游ゴシック"/>
          <w:b w:val="0"/>
          <w:sz w:val="21"/>
        </w:rPr>
        <w:t>令和8年9月11日に年報（令和7年度）の要介護度別の明細を収めたことにより、これまで定性的な留保にとどまっていたものを大きさと向きを伴う測定値にすることができました（第4節）。</w:t>
      </w:r>
    </w:p>
    <w:p>
      <w:pPr>
        <w:keepNext/>
        <w:spacing w:before="280" w:after="120"/>
      </w:pPr>
      <w:r>
        <w:rPr>
          <w:rFonts w:ascii="游ゴシック" w:hAnsi="游ゴシック" w:eastAsia="游ゴシック"/>
          <w:b/>
          <w:color w:val="1F3864"/>
          <w:sz w:val="26"/>
        </w:rPr>
        <w:t>第1節　令和8年9月に行ったこと</w:t>
      </w:r>
    </w:p>
    <w:p>
      <w:pPr>
        <w:keepNext/>
        <w:spacing w:before="160" w:after="40"/>
      </w:pPr>
      <w:r>
        <w:rPr>
          <w:rFonts w:ascii="游ゴシック" w:hAnsi="游ゴシック" w:eastAsia="游ゴシック"/>
          <w:b/>
          <w:sz w:val="20"/>
        </w:rPr>
        <w:t>表1　令和8年9月の作業と成果物</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時期</w:t>
            </w:r>
          </w:p>
        </w:tc>
        <w:tc>
          <w:tcPr>
            <w:tcW w:type="dxa" w:w="2268"/>
            <w:shd w:val="clear" w:color="auto" w:fill="1F3864"/>
            <w:vAlign w:val="center"/>
          </w:tcPr>
          <w:p>
            <w:pPr>
              <w:spacing w:after="0"/>
              <w:jc w:val="center"/>
            </w:pPr>
            <w:r>
              <w:rPr>
                <w:rFonts w:ascii="游ゴシック" w:hAnsi="游ゴシック" w:eastAsia="游ゴシック"/>
                <w:b/>
                <w:color w:val="FFFFFF"/>
                <w:sz w:val="18"/>
              </w:rPr>
              <w:t>行ったこと</w:t>
            </w:r>
          </w:p>
        </w:tc>
        <w:tc>
          <w:tcPr>
            <w:tcW w:type="dxa" w:w="2381"/>
            <w:shd w:val="clear" w:color="auto" w:fill="1F3864"/>
            <w:vAlign w:val="center"/>
          </w:tcPr>
          <w:p>
            <w:pPr>
              <w:spacing w:after="0"/>
              <w:jc w:val="center"/>
            </w:pPr>
            <w:r>
              <w:rPr>
                <w:rFonts w:ascii="游ゴシック" w:hAnsi="游ゴシック" w:eastAsia="游ゴシック"/>
                <w:b/>
                <w:color w:val="FFFFFF"/>
                <w:sz w:val="18"/>
              </w:rPr>
              <w:t>成果物</w:t>
            </w:r>
          </w:p>
        </w:tc>
        <w:tc>
          <w:tcPr>
            <w:tcW w:type="dxa" w:w="3855"/>
            <w:shd w:val="clear" w:color="auto" w:fill="1F3864"/>
            <w:vAlign w:val="center"/>
          </w:tcPr>
          <w:p>
            <w:pPr>
              <w:spacing w:after="0"/>
              <w:jc w:val="center"/>
            </w:pPr>
            <w:r>
              <w:rPr>
                <w:rFonts w:ascii="游ゴシック" w:hAnsi="游ゴシック" w:eastAsia="游ゴシック"/>
                <w:b/>
                <w:color w:val="FFFFFF"/>
                <w:sz w:val="18"/>
              </w:rPr>
              <w:t>結果</w:t>
            </w:r>
          </w:p>
        </w:tc>
      </w:tr>
      <w:tr>
        <w:trPr>
          <w:cantSplit/>
        </w:trPr>
        <w:tc>
          <w:tcPr>
            <w:tcW w:type="dxa" w:w="1134"/>
            <w:vAlign w:val="center"/>
          </w:tcPr>
          <w:p>
            <w:pPr>
              <w:spacing w:after="0"/>
            </w:pPr>
            <w:r>
              <w:rPr>
                <w:rFonts w:ascii="游ゴシック" w:hAnsi="游ゴシック" w:eastAsia="游ゴシック"/>
                <w:b/>
                <w:sz w:val="18"/>
              </w:rPr>
              <w:t>9月3日</w:t>
            </w:r>
          </w:p>
        </w:tc>
        <w:tc>
          <w:tcPr>
            <w:tcW w:type="dxa" w:w="2268"/>
            <w:vAlign w:val="center"/>
          </w:tcPr>
          <w:p>
            <w:pPr>
              <w:spacing w:after="0"/>
            </w:pPr>
            <w:r>
              <w:rPr>
                <w:rFonts w:ascii="游ゴシック" w:hAnsi="游ゴシック" w:eastAsia="游ゴシック"/>
                <w:b w:val="0"/>
                <w:sz w:val="18"/>
              </w:rPr>
              <w:t>アンケート調査の作業状況を整理した</w:t>
            </w:r>
          </w:p>
        </w:tc>
        <w:tc>
          <w:tcPr>
            <w:tcW w:type="dxa" w:w="2381"/>
            <w:vAlign w:val="center"/>
          </w:tcPr>
          <w:p>
            <w:pPr>
              <w:spacing w:after="0"/>
            </w:pPr>
            <w:r>
              <w:rPr>
                <w:rFonts w:ascii="游ゴシック" w:hAnsi="游ゴシック" w:eastAsia="游ゴシック"/>
                <w:b w:val="0"/>
                <w:sz w:val="18"/>
              </w:rPr>
              <w:t>9月作業_アンケート分析の作業状況（10シート）</w:t>
            </w:r>
          </w:p>
        </w:tc>
        <w:tc>
          <w:tcPr>
            <w:tcW w:type="dxa" w:w="3855"/>
            <w:vAlign w:val="center"/>
          </w:tcPr>
          <w:p>
            <w:pPr>
              <w:spacing w:after="0"/>
            </w:pPr>
            <w:r>
              <w:rPr>
                <w:rFonts w:ascii="游ゴシック" w:hAnsi="游ゴシック" w:eastAsia="游ゴシック"/>
                <w:b w:val="0"/>
                <w:sz w:val="18"/>
              </w:rPr>
              <w:t>集計・クロス集計・分析は4調査とも完了しており、9月に残るのは確定値化と計画本文への反映であることを確かめた</w:t>
            </w:r>
          </w:p>
        </w:tc>
      </w:tr>
      <w:tr>
        <w:trPr>
          <w:cantSplit/>
        </w:trPr>
        <w:tc>
          <w:tcPr>
            <w:tcW w:type="dxa" w:w="1134"/>
            <w:shd w:val="clear" w:color="auto" w:fill="F2F5FA"/>
            <w:vAlign w:val="center"/>
          </w:tcPr>
          <w:p>
            <w:pPr>
              <w:spacing w:after="0"/>
            </w:pPr>
            <w:r>
              <w:rPr>
                <w:rFonts w:ascii="游ゴシック" w:hAnsi="游ゴシック" w:eastAsia="游ゴシック"/>
                <w:b/>
                <w:sz w:val="18"/>
              </w:rPr>
              <w:t>9月11日</w:t>
            </w:r>
          </w:p>
        </w:tc>
        <w:tc>
          <w:tcPr>
            <w:tcW w:type="dxa" w:w="2268"/>
            <w:shd w:val="clear" w:color="auto" w:fill="F2F5FA"/>
            <w:vAlign w:val="center"/>
          </w:tcPr>
          <w:p>
            <w:pPr>
              <w:spacing w:after="0"/>
            </w:pPr>
            <w:r>
              <w:rPr>
                <w:rFonts w:ascii="游ゴシック" w:hAnsi="游ゴシック" w:eastAsia="游ゴシック"/>
                <w:b w:val="0"/>
                <w:sz w:val="18"/>
              </w:rPr>
              <w:t>年報（令和7年度）の要介護度別の明細を収め、調査の結果と保険者の実績を突き合わせた</w:t>
            </w:r>
          </w:p>
        </w:tc>
        <w:tc>
          <w:tcPr>
            <w:tcW w:type="dxa" w:w="2381"/>
            <w:shd w:val="clear" w:color="auto" w:fill="F2F5FA"/>
            <w:vAlign w:val="center"/>
          </w:tcPr>
          <w:p>
            <w:pPr>
              <w:spacing w:after="0"/>
            </w:pPr>
            <w:r>
              <w:rPr>
                <w:rFonts w:ascii="游ゴシック" w:hAnsi="游ゴシック" w:eastAsia="游ゴシック"/>
                <w:b w:val="0"/>
                <w:sz w:val="18"/>
              </w:rPr>
              <w:t>調査結果と年報実績の突合クロス集計（10シート）</w:t>
            </w:r>
          </w:p>
        </w:tc>
        <w:tc>
          <w:tcPr>
            <w:tcW w:type="dxa" w:w="3855"/>
            <w:shd w:val="clear" w:color="auto" w:fill="F2F5FA"/>
            <w:vAlign w:val="center"/>
          </w:tcPr>
          <w:p>
            <w:pPr>
              <w:spacing w:after="0"/>
            </w:pPr>
            <w:r>
              <w:rPr>
                <w:rFonts w:ascii="游ゴシック" w:hAnsi="游ゴシック" w:eastAsia="游ゴシック"/>
                <w:b w:val="0"/>
                <w:sz w:val="18"/>
              </w:rPr>
              <w:t>調査①の要介護度分布が在宅の認定者の分布と食い違うことをχ²＝43.5（自由度6・1％点16.81）として測定した。施設の在籍者と保険者の受給者は数える対象が異なることを確定した</w:t>
            </w:r>
          </w:p>
        </w:tc>
      </w:tr>
      <w:tr>
        <w:trPr>
          <w:cantSplit/>
        </w:trPr>
        <w:tc>
          <w:tcPr>
            <w:tcW w:type="dxa" w:w="1134"/>
            <w:vAlign w:val="center"/>
          </w:tcPr>
          <w:p>
            <w:pPr>
              <w:spacing w:after="0"/>
            </w:pPr>
            <w:r>
              <w:rPr>
                <w:rFonts w:ascii="游ゴシック" w:hAnsi="游ゴシック" w:eastAsia="游ゴシック"/>
                <w:b/>
                <w:sz w:val="18"/>
              </w:rPr>
              <w:t>9月15日</w:t>
            </w:r>
          </w:p>
        </w:tc>
        <w:tc>
          <w:tcPr>
            <w:tcW w:type="dxa" w:w="2268"/>
            <w:vAlign w:val="center"/>
          </w:tcPr>
          <w:p>
            <w:pPr>
              <w:spacing w:after="0"/>
            </w:pPr>
            <w:r>
              <w:rPr>
                <w:rFonts w:ascii="游ゴシック" w:hAnsi="游ゴシック" w:eastAsia="游ゴシック"/>
                <w:b w:val="0"/>
                <w:sz w:val="18"/>
              </w:rPr>
              <w:t>健康とくらしの調査（4,729票）の結果を計画素案 第2章第4節に入れた</w:t>
            </w:r>
          </w:p>
        </w:tc>
        <w:tc>
          <w:tcPr>
            <w:tcW w:type="dxa" w:w="2381"/>
            <w:vAlign w:val="center"/>
          </w:tcPr>
          <w:p>
            <w:pPr>
              <w:spacing w:after="0"/>
            </w:pPr>
            <w:r>
              <w:rPr>
                <w:rFonts w:ascii="游ゴシック" w:hAnsi="游ゴシック" w:eastAsia="游ゴシック"/>
                <w:b w:val="0"/>
                <w:sz w:val="18"/>
              </w:rPr>
              <w:t>計画素案（896段落143表36図）</w:t>
            </w:r>
          </w:p>
        </w:tc>
        <w:tc>
          <w:tcPr>
            <w:tcW w:type="dxa" w:w="3855"/>
            <w:vAlign w:val="center"/>
          </w:tcPr>
          <w:p>
            <w:pPr>
              <w:spacing w:after="0"/>
            </w:pPr>
            <w:r>
              <w:rPr>
                <w:rFonts w:ascii="游ゴシック" w:hAnsi="游ゴシック" w:eastAsia="游ゴシック"/>
                <w:b w:val="0"/>
                <w:sz w:val="18"/>
              </w:rPr>
              <w:t>第2章第4節は4段落・表1から30段落・表8になった。集計値は data_survey_jages.py に収め、個票は収録していない</w:t>
            </w:r>
          </w:p>
        </w:tc>
      </w:tr>
      <w:tr>
        <w:trPr>
          <w:cantSplit/>
        </w:trPr>
        <w:tc>
          <w:tcPr>
            <w:tcW w:type="dxa" w:w="1134"/>
            <w:shd w:val="clear" w:color="auto" w:fill="F2F5FA"/>
            <w:vAlign w:val="center"/>
          </w:tcPr>
          <w:p>
            <w:pPr>
              <w:spacing w:after="0"/>
            </w:pPr>
            <w:r>
              <w:rPr>
                <w:rFonts w:ascii="游ゴシック" w:hAnsi="游ゴシック" w:eastAsia="游ゴシック"/>
                <w:b/>
                <w:sz w:val="18"/>
              </w:rPr>
              <w:t>9月17日</w:t>
            </w:r>
          </w:p>
        </w:tc>
        <w:tc>
          <w:tcPr>
            <w:tcW w:type="dxa" w:w="2268"/>
            <w:shd w:val="clear" w:color="auto" w:fill="F2F5FA"/>
            <w:vAlign w:val="center"/>
          </w:tcPr>
          <w:p>
            <w:pPr>
              <w:spacing w:after="0"/>
            </w:pPr>
            <w:r>
              <w:rPr>
                <w:rFonts w:ascii="游ゴシック" w:hAnsi="游ゴシック" w:eastAsia="游ゴシック"/>
                <w:b w:val="0"/>
                <w:sz w:val="18"/>
              </w:rPr>
              <w:t>アンケート調査の集計分析報告書を再点検し修正した</w:t>
            </w:r>
          </w:p>
        </w:tc>
        <w:tc>
          <w:tcPr>
            <w:tcW w:type="dxa" w:w="2381"/>
            <w:shd w:val="clear" w:color="auto" w:fill="F2F5FA"/>
            <w:vAlign w:val="center"/>
          </w:tcPr>
          <w:p>
            <w:pPr>
              <w:spacing w:after="0"/>
            </w:pPr>
            <w:r>
              <w:rPr>
                <w:rFonts w:ascii="游ゴシック" w:hAnsi="游ゴシック" w:eastAsia="游ゴシック"/>
                <w:b w:val="0"/>
                <w:sz w:val="18"/>
              </w:rPr>
              <w:t>アンケート調査の集計分析報告書（15シート）／実施済み調査 結果報告書（Word）</w:t>
            </w:r>
          </w:p>
        </w:tc>
        <w:tc>
          <w:tcPr>
            <w:tcW w:type="dxa" w:w="3855"/>
            <w:shd w:val="clear" w:color="auto" w:fill="F2F5FA"/>
            <w:vAlign w:val="center"/>
          </w:tcPr>
          <w:p>
            <w:pPr>
              <w:spacing w:after="0"/>
            </w:pPr>
            <w:r>
              <w:rPr>
                <w:rFonts w:ascii="游ゴシック" w:hAnsi="游ゴシック" w:eastAsia="游ゴシック"/>
                <w:b w:val="0"/>
                <w:sz w:val="18"/>
              </w:rPr>
              <w:t>10シートの見込量が計画素案 第6章と食い違っていたものを是正した。χ²と在籍・受給の差を留保一覧と課題整理に収めた。計画本文への反映状況を素案の実物を読んで判定する形に改めた</w:t>
            </w:r>
          </w:p>
        </w:tc>
      </w:tr>
      <w:tr>
        <w:trPr>
          <w:cantSplit/>
        </w:trPr>
        <w:tc>
          <w:tcPr>
            <w:tcW w:type="dxa" w:w="1134"/>
            <w:vAlign w:val="center"/>
          </w:tcPr>
          <w:p>
            <w:pPr>
              <w:spacing w:after="0"/>
            </w:pPr>
            <w:r>
              <w:rPr>
                <w:rFonts w:ascii="游ゴシック" w:hAnsi="游ゴシック" w:eastAsia="游ゴシック"/>
                <w:b/>
                <w:sz w:val="18"/>
              </w:rPr>
              <w:t>9月24日</w:t>
            </w:r>
          </w:p>
        </w:tc>
        <w:tc>
          <w:tcPr>
            <w:tcW w:type="dxa" w:w="2268"/>
            <w:vAlign w:val="center"/>
          </w:tcPr>
          <w:p>
            <w:pPr>
              <w:spacing w:after="0"/>
            </w:pPr>
            <w:r>
              <w:rPr>
                <w:rFonts w:ascii="游ゴシック" w:hAnsi="游ゴシック" w:eastAsia="游ゴシック"/>
                <w:b w:val="0"/>
                <w:sz w:val="18"/>
              </w:rPr>
              <w:t>本報告書及び社内点検用の資料を作成した</w:t>
            </w:r>
          </w:p>
        </w:tc>
        <w:tc>
          <w:tcPr>
            <w:tcW w:type="dxa" w:w="2381"/>
            <w:vAlign w:val="center"/>
          </w:tcPr>
          <w:p>
            <w:pPr>
              <w:spacing w:after="0"/>
            </w:pPr>
            <w:r>
              <w:rPr>
                <w:rFonts w:ascii="游ゴシック" w:hAnsi="游ゴシック" w:eastAsia="游ゴシック"/>
                <w:b w:val="0"/>
                <w:sz w:val="18"/>
              </w:rPr>
              <w:t>本書／アンケート分析 点検箇所と手順（社内用）</w:t>
            </w:r>
          </w:p>
        </w:tc>
        <w:tc>
          <w:tcPr>
            <w:tcW w:type="dxa" w:w="3855"/>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4調査を横断したクロス集計は、令和8年8月5日のご意向により行いません。利用者票の所在地区の記入形式が9種類に分かれ、個票を地区に割り付けられないためです。これに代えて、各調査内のクロス集計と公表データによる供給構造の分析により調査相互を接続しています。</w:t>
      </w:r>
    </w:p>
    <w:p>
      <w:pPr>
        <w:keepNext/>
        <w:spacing w:before="280" w:after="120"/>
      </w:pPr>
      <w:r>
        <w:rPr>
          <w:rFonts w:ascii="游ゴシック" w:hAnsi="游ゴシック" w:eastAsia="游ゴシック"/>
          <w:b/>
          <w:color w:val="1F3864"/>
          <w:sz w:val="26"/>
        </w:rPr>
        <w:t>第2節　対象4調査と回収の状況</w:t>
      </w:r>
    </w:p>
    <w:p>
      <w:pPr>
        <w:spacing w:after="80"/>
      </w:pPr>
      <w:r>
        <w:rPr>
          <w:rFonts w:ascii="游ゴシック" w:hAnsi="游ゴシック" w:eastAsia="游ゴシック"/>
          <w:b w:val="0"/>
          <w:sz w:val="21"/>
        </w:rPr>
        <w:t>4調査はいずれも発注者が実施されたものであり、受託者は配布・回収に関与していません。受領した票を集計・分析しています。</w:t>
      </w:r>
    </w:p>
    <w:p>
      <w:pPr>
        <w:keepNext/>
        <w:spacing w:before="160" w:after="40"/>
      </w:pPr>
      <w:r>
        <w:rPr>
          <w:rFonts w:ascii="游ゴシック" w:hAnsi="游ゴシック" w:eastAsia="游ゴシック"/>
          <w:b/>
          <w:sz w:val="20"/>
        </w:rPr>
        <w:t>表2　調査の実施状況と回収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調査・票種</w:t>
            </w:r>
          </w:p>
        </w:tc>
        <w:tc>
          <w:tcPr>
            <w:tcW w:type="dxa" w:w="1361"/>
            <w:shd w:val="clear" w:color="auto" w:fill="1F3864"/>
            <w:vAlign w:val="center"/>
          </w:tcPr>
          <w:p>
            <w:pPr>
              <w:spacing w:after="0"/>
              <w:jc w:val="center"/>
            </w:pPr>
            <w:r>
              <w:rPr>
                <w:rFonts w:ascii="游ゴシック" w:hAnsi="游ゴシック" w:eastAsia="游ゴシック"/>
                <w:b/>
                <w:color w:val="FFFFFF"/>
                <w:sz w:val="18"/>
              </w:rPr>
              <w:t>受領件数</w:t>
            </w:r>
          </w:p>
        </w:tc>
        <w:tc>
          <w:tcPr>
            <w:tcW w:type="dxa" w:w="2835"/>
            <w:shd w:val="clear" w:color="auto" w:fill="1F3864"/>
            <w:vAlign w:val="center"/>
          </w:tcPr>
          <w:p>
            <w:pPr>
              <w:spacing w:after="0"/>
              <w:jc w:val="center"/>
            </w:pPr>
            <w:r>
              <w:rPr>
                <w:rFonts w:ascii="游ゴシック" w:hAnsi="游ゴシック" w:eastAsia="游ゴシック"/>
                <w:b/>
                <w:color w:val="FFFFFF"/>
                <w:sz w:val="18"/>
              </w:rPr>
              <w:t>母数（公表データ等）</w:t>
            </w:r>
          </w:p>
        </w:tc>
        <w:tc>
          <w:tcPr>
            <w:tcW w:type="dxa" w:w="2835"/>
            <w:shd w:val="clear" w:color="auto" w:fill="1F3864"/>
            <w:vAlign w:val="center"/>
          </w:tcPr>
          <w:p>
            <w:pPr>
              <w:spacing w:after="0"/>
              <w:jc w:val="center"/>
            </w:pPr>
            <w:r>
              <w:rPr>
                <w:rFonts w:ascii="游ゴシック" w:hAnsi="游ゴシック" w:eastAsia="游ゴシック"/>
                <w:b/>
                <w:color w:val="FFFFFF"/>
                <w:sz w:val="18"/>
              </w:rPr>
              <w:t>回収の状況</w:t>
            </w:r>
          </w:p>
        </w:tc>
      </w:tr>
      <w:tr>
        <w:trPr>
          <w:cantSplit/>
        </w:trPr>
        <w:tc>
          <w:tcPr>
            <w:tcW w:type="dxa" w:w="2608"/>
            <w:vAlign w:val="center"/>
          </w:tcPr>
          <w:p>
            <w:pPr>
              <w:spacing w:after="0"/>
            </w:pPr>
            <w:r>
              <w:rPr>
                <w:rFonts w:ascii="游ゴシック" w:hAnsi="游ゴシック" w:eastAsia="游ゴシック"/>
                <w:b/>
                <w:sz w:val="18"/>
              </w:rPr>
              <w:t>① 事業所票</w:t>
            </w:r>
          </w:p>
        </w:tc>
        <w:tc>
          <w:tcPr>
            <w:tcW w:type="dxa" w:w="1361"/>
            <w:vAlign w:val="center"/>
          </w:tcPr>
          <w:p>
            <w:pPr>
              <w:spacing w:after="0"/>
            </w:pPr>
            <w:r>
              <w:rPr>
                <w:rFonts w:ascii="游ゴシック" w:hAnsi="游ゴシック" w:eastAsia="游ゴシック"/>
                <w:b w:val="0"/>
                <w:sz w:val="18"/>
              </w:rPr>
              <w:t>15件</w:t>
            </w:r>
          </w:p>
        </w:tc>
        <w:tc>
          <w:tcPr>
            <w:tcW w:type="dxa" w:w="2835"/>
            <w:vAlign w:val="center"/>
          </w:tcPr>
          <w:p>
            <w:pPr>
              <w:spacing w:after="0"/>
            </w:pPr>
            <w:r>
              <w:rPr>
                <w:rFonts w:ascii="游ゴシック" w:hAnsi="游ゴシック" w:eastAsia="游ゴシック"/>
                <w:b w:val="0"/>
                <w:sz w:val="18"/>
              </w:rPr>
              <w:t>居宅介護支援13・小規模多機能5・地域包括2</w:t>
            </w:r>
          </w:p>
        </w:tc>
        <w:tc>
          <w:tcPr>
            <w:tcW w:type="dxa" w:w="2835"/>
            <w:vAlign w:val="center"/>
          </w:tcPr>
          <w:p>
            <w:pPr>
              <w:spacing w:after="0"/>
            </w:pPr>
            <w:r>
              <w:rPr>
                <w:rFonts w:ascii="游ゴシック" w:hAnsi="游ゴシック" w:eastAsia="游ゴシック"/>
                <w:b w:val="0"/>
                <w:sz w:val="18"/>
              </w:rPr>
              <w:t>居宅介護支援10・小規模多機能3・地域包括2</w:t>
            </w:r>
          </w:p>
        </w:tc>
      </w:tr>
      <w:tr>
        <w:trPr>
          <w:cantSplit/>
        </w:trPr>
        <w:tc>
          <w:tcPr>
            <w:tcW w:type="dxa" w:w="2608"/>
            <w:shd w:val="clear" w:color="auto" w:fill="F2F5FA"/>
            <w:vAlign w:val="center"/>
          </w:tcPr>
          <w:p>
            <w:pPr>
              <w:spacing w:after="0"/>
            </w:pPr>
            <w:r>
              <w:rPr>
                <w:rFonts w:ascii="游ゴシック" w:hAnsi="游ゴシック" w:eastAsia="游ゴシック"/>
                <w:b/>
                <w:sz w:val="18"/>
              </w:rPr>
              <w:t>① 利用者票</w:t>
            </w:r>
          </w:p>
        </w:tc>
        <w:tc>
          <w:tcPr>
            <w:tcW w:type="dxa" w:w="1361"/>
            <w:shd w:val="clear" w:color="auto" w:fill="F2F5FA"/>
            <w:vAlign w:val="center"/>
          </w:tcPr>
          <w:p>
            <w:pPr>
              <w:spacing w:after="0"/>
            </w:pPr>
            <w:r>
              <w:rPr>
                <w:rFonts w:ascii="游ゴシック" w:hAnsi="游ゴシック" w:eastAsia="游ゴシック"/>
                <w:b w:val="0"/>
                <w:sz w:val="18"/>
              </w:rPr>
              <w:t>99票</w:t>
            </w:r>
          </w:p>
        </w:tc>
        <w:tc>
          <w:tcPr>
            <w:tcW w:type="dxa" w:w="2835"/>
            <w:shd w:val="clear" w:color="auto" w:fill="F2F5FA"/>
            <w:vAlign w:val="center"/>
          </w:tcPr>
          <w:p>
            <w:pPr>
              <w:spacing w:after="0"/>
            </w:pPr>
            <w:r>
              <w:rPr>
                <w:rFonts w:ascii="游ゴシック" w:hAnsi="游ゴシック" w:eastAsia="游ゴシック"/>
                <w:b w:val="0"/>
                <w:sz w:val="18"/>
              </w:rPr>
              <w:t>―</w:t>
            </w:r>
          </w:p>
        </w:tc>
        <w:tc>
          <w:tcPr>
            <w:tcW w:type="dxa" w:w="2835"/>
            <w:shd w:val="clear" w:color="auto" w:fill="F2F5FA"/>
            <w:vAlign w:val="center"/>
          </w:tcPr>
          <w:p>
            <w:pPr>
              <w:spacing w:after="0"/>
            </w:pPr>
            <w:r>
              <w:rPr>
                <w:rFonts w:ascii="游ゴシック" w:hAnsi="游ゴシック" w:eastAsia="游ゴシック"/>
                <w:b w:val="0"/>
                <w:sz w:val="18"/>
              </w:rPr>
              <w:t>10事業所から提出</w:t>
            </w:r>
          </w:p>
        </w:tc>
      </w:tr>
      <w:tr>
        <w:trPr>
          <w:cantSplit/>
        </w:trPr>
        <w:tc>
          <w:tcPr>
            <w:tcW w:type="dxa" w:w="2608"/>
            <w:vAlign w:val="center"/>
          </w:tcPr>
          <w:p>
            <w:pPr>
              <w:spacing w:after="0"/>
            </w:pPr>
            <w:r>
              <w:rPr>
                <w:rFonts w:ascii="游ゴシック" w:hAnsi="游ゴシック" w:eastAsia="游ゴシック"/>
                <w:b/>
                <w:sz w:val="18"/>
              </w:rPr>
              <w:t>② 施設等票</w:t>
            </w:r>
          </w:p>
        </w:tc>
        <w:tc>
          <w:tcPr>
            <w:tcW w:type="dxa" w:w="1361"/>
            <w:vAlign w:val="center"/>
          </w:tcPr>
          <w:p>
            <w:pPr>
              <w:spacing w:after="0"/>
            </w:pPr>
            <w:r>
              <w:rPr>
                <w:rFonts w:ascii="游ゴシック" w:hAnsi="游ゴシック" w:eastAsia="游ゴシック"/>
                <w:b w:val="0"/>
                <w:sz w:val="18"/>
              </w:rPr>
              <w:t>18件</w:t>
            </w:r>
          </w:p>
        </w:tc>
        <w:tc>
          <w:tcPr>
            <w:tcW w:type="dxa" w:w="2835"/>
            <w:vAlign w:val="center"/>
          </w:tcPr>
          <w:p>
            <w:pPr>
              <w:spacing w:after="0"/>
            </w:pPr>
            <w:r>
              <w:rPr>
                <w:rFonts w:ascii="游ゴシック" w:hAnsi="游ゴシック" w:eastAsia="游ゴシック"/>
                <w:b w:val="0"/>
                <w:sz w:val="18"/>
              </w:rPr>
              <w:t>介護保険の指定施設19＋介護保険外の住まい12＝31</w:t>
            </w:r>
          </w:p>
        </w:tc>
        <w:tc>
          <w:tcPr>
            <w:tcW w:type="dxa" w:w="2835"/>
            <w:vAlign w:val="center"/>
          </w:tcPr>
          <w:p>
            <w:pPr>
              <w:spacing w:after="0"/>
            </w:pPr>
            <w:r>
              <w:rPr>
                <w:rFonts w:ascii="游ゴシック" w:hAnsi="游ゴシック" w:eastAsia="游ゴシック"/>
                <w:b w:val="0"/>
                <w:sz w:val="18"/>
              </w:rPr>
              <w:t>指定施設14・介護保険外4</w:t>
            </w:r>
          </w:p>
        </w:tc>
      </w:tr>
      <w:tr>
        <w:trPr>
          <w:cantSplit/>
        </w:trPr>
        <w:tc>
          <w:tcPr>
            <w:tcW w:type="dxa" w:w="2608"/>
            <w:shd w:val="clear" w:color="auto" w:fill="F2F5FA"/>
            <w:vAlign w:val="center"/>
          </w:tcPr>
          <w:p>
            <w:pPr>
              <w:spacing w:after="0"/>
            </w:pPr>
            <w:r>
              <w:rPr>
                <w:rFonts w:ascii="游ゴシック" w:hAnsi="游ゴシック" w:eastAsia="游ゴシック"/>
                <w:b/>
                <w:sz w:val="18"/>
              </w:rPr>
              <w:t>③ 事業所票（施設・通所系）</w:t>
            </w:r>
          </w:p>
        </w:tc>
        <w:tc>
          <w:tcPr>
            <w:tcW w:type="dxa" w:w="1361"/>
            <w:shd w:val="clear" w:color="auto" w:fill="F2F5FA"/>
            <w:vAlign w:val="center"/>
          </w:tcPr>
          <w:p>
            <w:pPr>
              <w:spacing w:after="0"/>
            </w:pPr>
            <w:r>
              <w:rPr>
                <w:rFonts w:ascii="游ゴシック" w:hAnsi="游ゴシック" w:eastAsia="游ゴシック"/>
                <w:b w:val="0"/>
                <w:sz w:val="18"/>
              </w:rPr>
              <w:t>24件</w:t>
            </w:r>
          </w:p>
        </w:tc>
        <w:tc>
          <w:tcPr>
            <w:tcW w:type="dxa" w:w="2835"/>
            <w:shd w:val="clear" w:color="auto" w:fill="F2F5FA"/>
            <w:vAlign w:val="center"/>
          </w:tcPr>
          <w:p>
            <w:pPr>
              <w:spacing w:after="0"/>
            </w:pPr>
            <w:r>
              <w:rPr>
                <w:rFonts w:ascii="游ゴシック" w:hAnsi="游ゴシック" w:eastAsia="游ゴシック"/>
                <w:b w:val="0"/>
                <w:sz w:val="18"/>
              </w:rPr>
              <w:t>―</w:t>
            </w:r>
          </w:p>
        </w:tc>
        <w:tc>
          <w:tcPr>
            <w:tcW w:type="dxa" w:w="2835"/>
            <w:shd w:val="clear" w:color="auto" w:fill="F2F5FA"/>
            <w:vAlign w:val="center"/>
          </w:tcPr>
          <w:p>
            <w:pPr>
              <w:spacing w:after="0"/>
            </w:pPr>
            <w:r>
              <w:rPr>
                <w:rFonts w:ascii="游ゴシック" w:hAnsi="游ゴシック" w:eastAsia="游ゴシック"/>
                <w:b w:val="0"/>
                <w:sz w:val="18"/>
              </w:rPr>
              <w:t>―</w:t>
            </w:r>
          </w:p>
        </w:tc>
      </w:tr>
      <w:tr>
        <w:trPr>
          <w:cantSplit/>
        </w:trPr>
        <w:tc>
          <w:tcPr>
            <w:tcW w:type="dxa" w:w="2608"/>
            <w:vAlign w:val="center"/>
          </w:tcPr>
          <w:p>
            <w:pPr>
              <w:spacing w:after="0"/>
            </w:pPr>
            <w:r>
              <w:rPr>
                <w:rFonts w:ascii="游ゴシック" w:hAnsi="游ゴシック" w:eastAsia="游ゴシック"/>
                <w:b/>
                <w:sz w:val="18"/>
              </w:rPr>
              <w:t>③ 事業所票（訪問系）</w:t>
            </w:r>
          </w:p>
        </w:tc>
        <w:tc>
          <w:tcPr>
            <w:tcW w:type="dxa" w:w="1361"/>
            <w:vAlign w:val="center"/>
          </w:tcPr>
          <w:p>
            <w:pPr>
              <w:spacing w:after="0"/>
            </w:pPr>
            <w:r>
              <w:rPr>
                <w:rFonts w:ascii="游ゴシック" w:hAnsi="游ゴシック" w:eastAsia="游ゴシック"/>
                <w:b w:val="0"/>
                <w:sz w:val="18"/>
              </w:rPr>
              <w:t>3件</w:t>
            </w:r>
          </w:p>
        </w:tc>
        <w:tc>
          <w:tcPr>
            <w:tcW w:type="dxa" w:w="2835"/>
            <w:vAlign w:val="center"/>
          </w:tcPr>
          <w:p>
            <w:pPr>
              <w:spacing w:after="0"/>
            </w:pPr>
            <w:r>
              <w:rPr>
                <w:rFonts w:ascii="游ゴシック" w:hAnsi="游ゴシック" w:eastAsia="游ゴシック"/>
                <w:b w:val="0"/>
                <w:sz w:val="18"/>
              </w:rPr>
              <w:t>訪問介護13事業所（見える化K3a・名簿とも）</w:t>
            </w:r>
          </w:p>
        </w:tc>
        <w:tc>
          <w:tcPr>
            <w:tcW w:type="dxa" w:w="2835"/>
            <w:vAlign w:val="center"/>
          </w:tcPr>
          <w:p>
            <w:pPr>
              <w:spacing w:after="0"/>
            </w:pPr>
            <w:r>
              <w:rPr>
                <w:rFonts w:ascii="游ゴシック" w:hAnsi="游ゴシック" w:eastAsia="游ゴシック"/>
                <w:b w:val="0"/>
                <w:sz w:val="18"/>
              </w:rPr>
              <w:t>回収率23.1％</w:t>
            </w:r>
          </w:p>
        </w:tc>
      </w:tr>
      <w:tr>
        <w:trPr>
          <w:cantSplit/>
        </w:trPr>
        <w:tc>
          <w:tcPr>
            <w:tcW w:type="dxa" w:w="2608"/>
            <w:shd w:val="clear" w:color="auto" w:fill="F2F5FA"/>
            <w:vAlign w:val="center"/>
          </w:tcPr>
          <w:p>
            <w:pPr>
              <w:spacing w:after="0"/>
            </w:pPr>
            <w:r>
              <w:rPr>
                <w:rFonts w:ascii="游ゴシック" w:hAnsi="游ゴシック" w:eastAsia="游ゴシック"/>
                <w:b/>
                <w:sz w:val="18"/>
              </w:rPr>
              <w:t>③ 職員個票</w:t>
            </w:r>
          </w:p>
        </w:tc>
        <w:tc>
          <w:tcPr>
            <w:tcW w:type="dxa" w:w="1361"/>
            <w:shd w:val="clear" w:color="auto" w:fill="F2F5FA"/>
            <w:vAlign w:val="center"/>
          </w:tcPr>
          <w:p>
            <w:pPr>
              <w:spacing w:after="0"/>
            </w:pPr>
            <w:r>
              <w:rPr>
                <w:rFonts w:ascii="游ゴシック" w:hAnsi="游ゴシック" w:eastAsia="游ゴシック"/>
                <w:b w:val="0"/>
                <w:sz w:val="18"/>
              </w:rPr>
              <w:t>317人</w:t>
            </w:r>
          </w:p>
        </w:tc>
        <w:tc>
          <w:tcPr>
            <w:tcW w:type="dxa" w:w="2835"/>
            <w:shd w:val="clear" w:color="auto" w:fill="F2F5FA"/>
            <w:vAlign w:val="center"/>
          </w:tcPr>
          <w:p>
            <w:pPr>
              <w:spacing w:after="0"/>
            </w:pPr>
            <w:r>
              <w:rPr>
                <w:rFonts w:ascii="游ゴシック" w:hAnsi="游ゴシック" w:eastAsia="游ゴシック"/>
                <w:b w:val="0"/>
                <w:sz w:val="18"/>
              </w:rPr>
              <w:t>施設・通所系24事業所の介護職員319人</w:t>
            </w:r>
          </w:p>
        </w:tc>
        <w:tc>
          <w:tcPr>
            <w:tcW w:type="dxa" w:w="2835"/>
            <w:shd w:val="clear" w:color="auto" w:fill="F2F5FA"/>
            <w:vAlign w:val="center"/>
          </w:tcPr>
          <w:p>
            <w:pPr>
              <w:spacing w:after="0"/>
            </w:pPr>
            <w:r>
              <w:rPr>
                <w:rFonts w:ascii="游ゴシック" w:hAnsi="游ゴシック" w:eastAsia="游ゴシック"/>
                <w:b w:val="0"/>
                <w:sz w:val="18"/>
              </w:rPr>
              <w:t>99.4％</w:t>
            </w:r>
          </w:p>
        </w:tc>
      </w:tr>
      <w:tr>
        <w:trPr>
          <w:cantSplit/>
        </w:trPr>
        <w:tc>
          <w:tcPr>
            <w:tcW w:type="dxa" w:w="2608"/>
            <w:vAlign w:val="center"/>
          </w:tcPr>
          <w:p>
            <w:pPr>
              <w:spacing w:after="0"/>
            </w:pPr>
            <w:r>
              <w:rPr>
                <w:rFonts w:ascii="游ゴシック" w:hAnsi="游ゴシック" w:eastAsia="游ゴシック"/>
                <w:b/>
                <w:sz w:val="18"/>
              </w:rPr>
              <w:t>③ 職員票（訪問系）</w:t>
            </w:r>
          </w:p>
        </w:tc>
        <w:tc>
          <w:tcPr>
            <w:tcW w:type="dxa" w:w="1361"/>
            <w:vAlign w:val="center"/>
          </w:tcPr>
          <w:p>
            <w:pPr>
              <w:spacing w:after="0"/>
            </w:pPr>
            <w:r>
              <w:rPr>
                <w:rFonts w:ascii="游ゴシック" w:hAnsi="游ゴシック" w:eastAsia="游ゴシック"/>
                <w:b w:val="0"/>
                <w:sz w:val="18"/>
              </w:rPr>
              <w:t>26件</w:t>
            </w:r>
          </w:p>
        </w:tc>
        <w:tc>
          <w:tcPr>
            <w:tcW w:type="dxa" w:w="2835"/>
            <w:vAlign w:val="center"/>
          </w:tcPr>
          <w:p>
            <w:pPr>
              <w:spacing w:after="0"/>
            </w:pPr>
            <w:r>
              <w:rPr>
                <w:rFonts w:ascii="游ゴシック" w:hAnsi="游ゴシック" w:eastAsia="游ゴシック"/>
                <w:b w:val="0"/>
                <w:sz w:val="18"/>
              </w:rPr>
              <w:t>訪問系3事業所の介護職員42人</w:t>
            </w:r>
          </w:p>
        </w:tc>
        <w:tc>
          <w:tcPr>
            <w:tcW w:type="dxa" w:w="2835"/>
            <w:vAlign w:val="center"/>
          </w:tcPr>
          <w:p>
            <w:pPr>
              <w:spacing w:after="0"/>
            </w:pPr>
            <w:r>
              <w:rPr>
                <w:rFonts w:ascii="游ゴシック" w:hAnsi="游ゴシック" w:eastAsia="游ゴシック"/>
                <w:b w:val="0"/>
                <w:sz w:val="18"/>
              </w:rPr>
              <w:t>61.9％</w:t>
            </w:r>
          </w:p>
        </w:tc>
      </w:tr>
      <w:tr>
        <w:trPr>
          <w:cantSplit/>
        </w:trPr>
        <w:tc>
          <w:tcPr>
            <w:tcW w:type="dxa" w:w="2608"/>
            <w:shd w:val="clear" w:color="auto" w:fill="F2F5FA"/>
            <w:vAlign w:val="center"/>
          </w:tcPr>
          <w:p>
            <w:pPr>
              <w:spacing w:after="0"/>
            </w:pPr>
            <w:r>
              <w:rPr>
                <w:rFonts w:ascii="游ゴシック" w:hAnsi="游ゴシック" w:eastAsia="游ゴシック"/>
                <w:b/>
                <w:sz w:val="18"/>
              </w:rPr>
              <w:t>④ 健康とくらしの調査</w:t>
            </w:r>
          </w:p>
        </w:tc>
        <w:tc>
          <w:tcPr>
            <w:tcW w:type="dxa" w:w="1361"/>
            <w:shd w:val="clear" w:color="auto" w:fill="F2F5FA"/>
            <w:vAlign w:val="center"/>
          </w:tcPr>
          <w:p>
            <w:pPr>
              <w:spacing w:after="0"/>
            </w:pPr>
            <w:r>
              <w:rPr>
                <w:rFonts w:ascii="游ゴシック" w:hAnsi="游ゴシック" w:eastAsia="游ゴシック"/>
                <w:b w:val="0"/>
                <w:sz w:val="18"/>
              </w:rPr>
              <w:t>4,729票</w:t>
            </w:r>
          </w:p>
        </w:tc>
        <w:tc>
          <w:tcPr>
            <w:tcW w:type="dxa" w:w="2835"/>
            <w:shd w:val="clear" w:color="auto" w:fill="F2F5FA"/>
            <w:vAlign w:val="center"/>
          </w:tcPr>
          <w:p>
            <w:pPr>
              <w:spacing w:after="0"/>
            </w:pPr>
            <w:r>
              <w:rPr>
                <w:rFonts w:ascii="游ゴシック" w:hAnsi="游ゴシック" w:eastAsia="游ゴシック"/>
                <w:b w:val="0"/>
                <w:sz w:val="18"/>
              </w:rPr>
              <w:t>65歳以上7,121人</w:t>
            </w:r>
          </w:p>
        </w:tc>
        <w:tc>
          <w:tcPr>
            <w:tcW w:type="dxa" w:w="2835"/>
            <w:shd w:val="clear" w:color="auto" w:fill="F2F5FA"/>
            <w:vAlign w:val="center"/>
          </w:tcPr>
          <w:p>
            <w:pPr>
              <w:spacing w:after="0"/>
            </w:pPr>
            <w:r>
              <w:rPr>
                <w:rFonts w:ascii="游ゴシック" w:hAnsi="游ゴシック" w:eastAsia="游ゴシック"/>
                <w:b w:val="0"/>
                <w:sz w:val="18"/>
              </w:rPr>
              <w:t>回収4,798票・回収率67.4％（分析対象4,729票）</w:t>
            </w:r>
          </w:p>
        </w:tc>
      </w:tr>
    </w:tbl>
    <w:p>
      <w:pPr>
        <w:ind w:left="227"/>
      </w:pPr>
      <w:r>
        <w:rPr>
          <w:rFonts w:ascii="游ゴシック" w:hAnsi="游ゴシック" w:eastAsia="游ゴシック"/>
          <w:b w:val="0"/>
          <w:sz w:val="18"/>
        </w:rPr>
        <w:t>※ ①②③は配布数の記録がないため回収率を算定できません（留保No.3）。母数を公表データで置き換えられるもの（訪問介護13事業所、居宅介護支援13事業所）のみ回収率を示しています。</w:t>
      </w:r>
    </w:p>
    <w:p>
      <w:pPr>
        <w:keepNext/>
        <w:spacing w:before="280" w:after="120"/>
      </w:pPr>
      <w:r>
        <w:rPr>
          <w:rFonts w:ascii="游ゴシック" w:hAnsi="游ゴシック" w:eastAsia="游ゴシック"/>
          <w:b/>
          <w:color w:val="1F3864"/>
          <w:sz w:val="26"/>
        </w:rPr>
        <w:t>第3節　健康とくらしの調査の結果と計画素案への反映</w:t>
      </w:r>
    </w:p>
    <w:p>
      <w:pPr>
        <w:spacing w:after="80"/>
      </w:pPr>
      <w:r>
        <w:rPr>
          <w:rFonts w:ascii="游ゴシック" w:hAnsi="游ゴシック" w:eastAsia="游ゴシック"/>
          <w:b w:val="0"/>
          <w:sz w:val="21"/>
        </w:rPr>
        <w:t>令和8年9月15日に、健康とくらしの調査（4,729票）の結果を計画素案 第2章第4節（高齢者の生活実態）に入れました。</w:t>
      </w:r>
      <w:r>
        <w:rPr>
          <w:rFonts w:ascii="游ゴシック" w:hAnsi="游ゴシック" w:eastAsia="游ゴシック"/>
          <w:b/>
          <w:sz w:val="21"/>
        </w:rPr>
        <w:t>同節は4段落・表1から30段落・表8になりました。</w:t>
      </w:r>
      <w:r>
        <w:rPr>
          <w:rFonts w:ascii="游ゴシック" w:hAnsi="游ゴシック" w:eastAsia="游ゴシック"/>
          <w:b w:val="0"/>
          <w:sz w:val="21"/>
        </w:rPr>
        <w:t>計画素案は現在896段落143表36図です。</w:t>
      </w:r>
    </w:p>
    <w:p>
      <w:pPr>
        <w:keepNext/>
        <w:spacing w:before="180" w:after="60"/>
      </w:pPr>
      <w:r>
        <w:rPr>
          <w:rFonts w:ascii="游ゴシック" w:hAnsi="游ゴシック" w:eastAsia="游ゴシック"/>
          <w:b/>
          <w:sz w:val="22"/>
        </w:rPr>
        <w:t>入れた内容</w:t>
      </w:r>
    </w:p>
    <w:p>
      <w:pPr>
        <w:spacing w:after="60"/>
        <w:ind w:left="340" w:hanging="340"/>
      </w:pPr>
      <w:r>
        <w:rPr>
          <w:rFonts w:ascii="游ゴシック" w:hAnsi="游ゴシック" w:eastAsia="游ゴシック"/>
          <w:b w:val="0"/>
          <w:sz w:val="21"/>
        </w:rPr>
        <w:t>・1　調査の対象者の範囲（一般高齢者及び総合事業対象者であり、要支援者・要介護者を含まない。他の調査と合算しない）</w:t>
      </w:r>
    </w:p>
    <w:p>
      <w:pPr>
        <w:spacing w:after="60"/>
        <w:ind w:left="340" w:hanging="340"/>
      </w:pPr>
      <w:r>
        <w:rPr>
          <w:rFonts w:ascii="游ゴシック" w:hAnsi="游ゴシック" w:eastAsia="游ゴシック"/>
          <w:b w:val="0"/>
          <w:sz w:val="21"/>
        </w:rPr>
        <w:t>・2　主要指標の町別の値</w:t>
      </w:r>
    </w:p>
    <w:p>
      <w:pPr>
        <w:spacing w:after="60"/>
        <w:ind w:left="340" w:hanging="340"/>
      </w:pPr>
      <w:r>
        <w:rPr>
          <w:rFonts w:ascii="游ゴシック" w:hAnsi="游ゴシック" w:eastAsia="游ゴシック"/>
          <w:b w:val="0"/>
          <w:sz w:val="21"/>
        </w:rPr>
        <w:t>・3　年齢調整と町間の差の検定（有意7項目・有意でない4項目）</w:t>
      </w:r>
    </w:p>
    <w:p>
      <w:pPr>
        <w:spacing w:after="60"/>
        <w:ind w:left="340" w:hanging="340"/>
      </w:pPr>
      <w:r>
        <w:rPr>
          <w:rFonts w:ascii="游ゴシック" w:hAnsi="游ゴシック" w:eastAsia="游ゴシック"/>
          <w:b w:val="0"/>
          <w:sz w:val="21"/>
        </w:rPr>
        <w:t>・4　同規模保険者40との比較（課題5項目・同等1項目。連帯感は上位）</w:t>
      </w:r>
    </w:p>
    <w:p>
      <w:pPr>
        <w:spacing w:after="60"/>
        <w:ind w:left="340" w:hanging="340"/>
      </w:pPr>
      <w:r>
        <w:rPr>
          <w:rFonts w:ascii="游ゴシック" w:hAnsi="游ゴシック" w:eastAsia="游ゴシック"/>
          <w:b w:val="0"/>
          <w:sz w:val="21"/>
        </w:rPr>
        <w:t>・5　社会参加との関連</w:t>
      </w:r>
    </w:p>
    <w:p>
      <w:pPr>
        <w:spacing w:after="60"/>
        <w:ind w:left="340" w:hanging="340"/>
      </w:pPr>
      <w:r>
        <w:rPr>
          <w:rFonts w:ascii="游ゴシック" w:hAnsi="游ゴシック" w:eastAsia="游ゴシック"/>
          <w:b w:val="0"/>
          <w:sz w:val="21"/>
        </w:rPr>
        <w:t>・6　暮らし向きとの関連（フレイル　大変苦しい42.7％対大変ゆとり6.8％＝6.3倍）</w:t>
      </w:r>
    </w:p>
    <w:p>
      <w:pPr>
        <w:spacing w:after="60"/>
        <w:ind w:left="340" w:hanging="340"/>
      </w:pPr>
      <w:r>
        <w:rPr>
          <w:rFonts w:ascii="游ゴシック" w:hAnsi="游ゴシック" w:eastAsia="游ゴシック"/>
          <w:b w:val="0"/>
          <w:sz w:val="21"/>
        </w:rPr>
        <w:t>・7　生活実態の主な値</w:t>
      </w:r>
    </w:p>
    <w:p>
      <w:pPr>
        <w:spacing w:after="60"/>
        <w:ind w:left="340" w:hanging="340"/>
      </w:pPr>
      <w:r>
        <w:rPr>
          <w:rFonts w:ascii="游ゴシック" w:hAnsi="游ゴシック" w:eastAsia="游ゴシック"/>
          <w:b w:val="0"/>
          <w:sz w:val="21"/>
        </w:rPr>
        <w:t>・8　地区別（小学校区12地区）</w:t>
      </w:r>
    </w:p>
    <w:p>
      <w:pPr>
        <w:spacing w:after="60"/>
        <w:ind w:left="340" w:hanging="340"/>
      </w:pPr>
      <w:r>
        <w:rPr>
          <w:rFonts w:ascii="游ゴシック" w:hAnsi="游ゴシック" w:eastAsia="游ゴシック"/>
          <w:b w:val="0"/>
          <w:sz w:val="21"/>
        </w:rPr>
        <w:t>・9　前回調査との比較</w:t>
      </w:r>
    </w:p>
    <w:p>
      <w:pPr>
        <w:ind w:left="227"/>
      </w:pPr>
      <w:r>
        <w:rPr>
          <w:rFonts w:ascii="游ゴシック" w:hAnsi="游ゴシック" w:eastAsia="游ゴシック"/>
          <w:b w:val="0"/>
          <w:sz w:val="18"/>
        </w:rPr>
        <w:t>※ 地区の定義（小学校区とするかどうか）は［要確認］のまま残しています（確認事項No.9）。</w:t>
      </w:r>
    </w:p>
    <w:p>
      <w:pPr>
        <w:ind w:left="227"/>
      </w:pPr>
      <w:r>
        <w:rPr>
          <w:rFonts w:ascii="游ゴシック" w:hAnsi="游ゴシック" w:eastAsia="游ゴシック"/>
          <w:b w:val="0"/>
          <w:sz w:val="18"/>
        </w:rPr>
        <w:t>※ 集計値は data_survey_jages.py に収めています。</w:t>
      </w:r>
      <w:r>
        <w:rPr>
          <w:rFonts w:ascii="游ゴシック" w:hAnsi="游ゴシック" w:eastAsia="游ゴシック"/>
          <w:b/>
          <w:sz w:val="18"/>
        </w:rPr>
        <w:t>個票は発注者のご指示により収録していません。</w:t>
      </w:r>
      <w:r>
        <w:rPr>
          <w:rFonts w:ascii="游ゴシック" w:hAnsi="游ゴシック" w:eastAsia="游ゴシック"/>
          <w:b w:val="0"/>
          <w:sz w:val="18"/>
        </w:rPr>
        <w:t>個票がなくても計画素案の側は再現できます。</w:t>
      </w:r>
    </w:p>
    <w:p>
      <w:pPr>
        <w:keepNext/>
        <w:spacing w:before="180" w:after="60"/>
      </w:pPr>
      <w:r>
        <w:rPr>
          <w:rFonts w:ascii="游ゴシック" w:hAnsi="游ゴシック" w:eastAsia="游ゴシック"/>
          <w:b/>
          <w:sz w:val="22"/>
        </w:rPr>
        <w:t>計画素案の記述が薄かった3節のうち1節が埋まりました</w:t>
      </w:r>
    </w:p>
    <w:p>
      <w:pPr>
        <w:spacing w:after="80"/>
      </w:pPr>
      <w:r>
        <w:rPr>
          <w:rFonts w:ascii="游ゴシック" w:hAnsi="游ゴシック" w:eastAsia="游ゴシック"/>
          <w:b w:val="0"/>
          <w:sz w:val="21"/>
        </w:rPr>
        <w:t>令和8年9月12日の課題整理で、「書くべき内容がまだ入っていない節」が3節あることをお示ししました。うち第2章第4節は本作業で埋まりました。残る2節（第6章第5節 介護施設整備に係る基本方針、第6章第7節 低所得者支援）は、それぞれ確認事項No.88・No.33のご決定を待っています。</w:t>
      </w:r>
    </w:p>
    <w:p>
      <w:pPr>
        <w:keepNext/>
        <w:spacing w:before="280" w:after="120"/>
      </w:pPr>
      <w:r>
        <w:rPr>
          <w:rFonts w:ascii="游ゴシック" w:hAnsi="游ゴシック" w:eastAsia="游ゴシック"/>
          <w:b/>
          <w:color w:val="1F3864"/>
          <w:sz w:val="26"/>
        </w:rPr>
        <w:t>第4節　調査結果と保険者の実績の突合</w:t>
      </w:r>
    </w:p>
    <w:p>
      <w:pPr>
        <w:spacing w:after="80"/>
      </w:pPr>
      <w:r>
        <w:rPr>
          <w:rFonts w:ascii="游ゴシック" w:hAnsi="游ゴシック" w:eastAsia="游ゴシック"/>
          <w:b w:val="0"/>
          <w:sz w:val="21"/>
        </w:rPr>
        <w:t>令和8年9月11日に年報（令和7年度）の要介護度別の明細を収めたことにより、</w:t>
      </w:r>
      <w:r>
        <w:rPr>
          <w:rFonts w:ascii="游ゴシック" w:hAnsi="游ゴシック" w:eastAsia="游ゴシック"/>
          <w:b/>
          <w:sz w:val="21"/>
        </w:rPr>
        <w:t>調査の結果と保険者の実績を要介護度別に突き合わせることが初めてできるようになりました。</w:t>
      </w:r>
      <w:r>
        <w:rPr>
          <w:rFonts w:ascii="游ゴシック" w:hAnsi="游ゴシック" w:eastAsia="游ゴシック"/>
          <w:b w:val="0"/>
          <w:sz w:val="21"/>
        </w:rPr>
        <w:t>それ以前は在宅サービス利用率による按分の推定値しかなく、突き合わせられませんでした。</w:t>
      </w:r>
    </w:p>
    <w:p>
      <w:pPr>
        <w:keepNext/>
        <w:spacing w:before="180" w:after="60"/>
      </w:pPr>
      <w:r>
        <w:rPr>
          <w:rFonts w:ascii="游ゴシック" w:hAnsi="游ゴシック" w:eastAsia="游ゴシック"/>
          <w:b/>
          <w:sz w:val="22"/>
        </w:rPr>
        <w:t>1　調査①（在宅生活改善調査）は在宅の認定者を代表しません</w:t>
      </w:r>
    </w:p>
    <w:p>
      <w:pPr>
        <w:spacing w:after="80"/>
      </w:pPr>
      <w:r>
        <w:rPr>
          <w:rFonts w:ascii="游ゴシック" w:hAnsi="游ゴシック" w:eastAsia="游ゴシック"/>
          <w:b w:val="0"/>
          <w:sz w:val="21"/>
        </w:rPr>
        <w:t>利用者票98票の要介護度の分布を、年報から求めた在宅の認定者の分布と比べました。</w:t>
      </w:r>
    </w:p>
    <w:p>
      <w:pPr>
        <w:keepNext/>
        <w:spacing w:before="160" w:after="40"/>
      </w:pPr>
      <w:r>
        <w:rPr>
          <w:rFonts w:ascii="游ゴシック" w:hAnsi="游ゴシック" w:eastAsia="游ゴシック"/>
          <w:b/>
          <w:sz w:val="20"/>
        </w:rPr>
        <w:t>表3　調査①の要介護度分布と在宅の認定者の分布</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1701"/>
            <w:shd w:val="clear" w:color="auto" w:fill="1F3864"/>
            <w:vAlign w:val="center"/>
          </w:tcPr>
          <w:p>
            <w:pPr>
              <w:spacing w:after="0"/>
              <w:jc w:val="center"/>
            </w:pPr>
            <w:r>
              <w:rPr>
                <w:rFonts w:ascii="游ゴシック" w:hAnsi="游ゴシック" w:eastAsia="游ゴシック"/>
                <w:b/>
                <w:color w:val="FFFFFF"/>
                <w:sz w:val="18"/>
              </w:rPr>
              <w:t>調査①（人）</w:t>
            </w:r>
          </w:p>
        </w:tc>
        <w:tc>
          <w:tcPr>
            <w:tcW w:type="dxa" w:w="3402"/>
            <w:shd w:val="clear" w:color="auto" w:fill="1F3864"/>
            <w:vAlign w:val="center"/>
          </w:tcPr>
          <w:p>
            <w:pPr>
              <w:spacing w:after="0"/>
              <w:jc w:val="center"/>
            </w:pPr>
            <w:r>
              <w:rPr>
                <w:rFonts w:ascii="游ゴシック" w:hAnsi="游ゴシック" w:eastAsia="游ゴシック"/>
                <w:b/>
                <w:color w:val="FFFFFF"/>
                <w:sz w:val="18"/>
              </w:rPr>
              <w:t>在宅の認定者の分布による期待値（人）</w:t>
            </w:r>
          </w:p>
        </w:tc>
        <w:tc>
          <w:tcPr>
            <w:tcW w:type="dxa" w:w="1701"/>
            <w:shd w:val="clear" w:color="auto" w:fill="1F3864"/>
            <w:vAlign w:val="center"/>
          </w:tcPr>
          <w:p>
            <w:pPr>
              <w:spacing w:after="0"/>
              <w:jc w:val="center"/>
            </w:pPr>
            <w:r>
              <w:rPr>
                <w:rFonts w:ascii="游ゴシック" w:hAnsi="游ゴシック" w:eastAsia="游ゴシック"/>
                <w:b/>
                <w:color w:val="FFFFFF"/>
                <w:sz w:val="18"/>
              </w:rPr>
              <w:t>実測÷期待</w:t>
            </w:r>
          </w:p>
        </w:tc>
      </w:tr>
      <w:tr>
        <w:trPr>
          <w:cantSplit/>
        </w:trPr>
        <w:tc>
          <w:tcPr>
            <w:tcW w:type="dxa" w:w="1701"/>
            <w:vAlign w:val="center"/>
          </w:tcPr>
          <w:p>
            <w:pPr>
              <w:spacing w:after="0"/>
            </w:pPr>
            <w:r>
              <w:rPr>
                <w:rFonts w:ascii="游ゴシック" w:hAnsi="游ゴシック" w:eastAsia="游ゴシック"/>
                <w:b/>
                <w:sz w:val="18"/>
              </w:rPr>
              <w:t>要支援1</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18.9</w:t>
            </w:r>
          </w:p>
        </w:tc>
        <w:tc>
          <w:tcPr>
            <w:tcW w:type="dxa" w:w="1701"/>
            <w:vAlign w:val="center"/>
          </w:tcPr>
          <w:p>
            <w:pPr>
              <w:spacing w:after="0"/>
              <w:jc w:val="center"/>
            </w:pPr>
            <w:r>
              <w:rPr>
                <w:rFonts w:ascii="游ゴシック" w:hAnsi="游ゴシック" w:eastAsia="游ゴシック"/>
                <w:b w:val="0"/>
                <w:sz w:val="18"/>
              </w:rPr>
              <w:t>0.16倍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要支援2</w:t>
            </w:r>
          </w:p>
        </w:tc>
        <w:tc>
          <w:tcPr>
            <w:tcW w:type="dxa" w:w="1701"/>
            <w:shd w:val="clear" w:color="auto" w:fill="F2F5FA"/>
            <w:vAlign w:val="center"/>
          </w:tcPr>
          <w:p>
            <w:pPr>
              <w:spacing w:after="0"/>
              <w:jc w:val="center"/>
            </w:pPr>
            <w:r>
              <w:rPr>
                <w:rFonts w:ascii="游ゴシック" w:hAnsi="游ゴシック" w:eastAsia="游ゴシック"/>
                <w:b w:val="0"/>
                <w:sz w:val="18"/>
              </w:rPr>
              <w:t>13</w:t>
            </w:r>
          </w:p>
        </w:tc>
        <w:tc>
          <w:tcPr>
            <w:tcW w:type="dxa" w:w="3402"/>
            <w:shd w:val="clear" w:color="auto" w:fill="F2F5FA"/>
            <w:vAlign w:val="center"/>
          </w:tcPr>
          <w:p>
            <w:pPr>
              <w:spacing w:after="0"/>
              <w:jc w:val="center"/>
            </w:pPr>
            <w:r>
              <w:rPr>
                <w:rFonts w:ascii="游ゴシック" w:hAnsi="游ゴシック" w:eastAsia="游ゴシック"/>
                <w:b w:val="0"/>
                <w:sz w:val="18"/>
              </w:rPr>
              <w:t>18.7</w:t>
            </w:r>
          </w:p>
        </w:tc>
        <w:tc>
          <w:tcPr>
            <w:tcW w:type="dxa" w:w="1701"/>
            <w:shd w:val="clear" w:color="auto" w:fill="F2F5FA"/>
            <w:vAlign w:val="center"/>
          </w:tcPr>
          <w:p>
            <w:pPr>
              <w:spacing w:after="0"/>
              <w:jc w:val="center"/>
            </w:pPr>
            <w:r>
              <w:rPr>
                <w:rFonts w:ascii="游ゴシック" w:hAnsi="游ゴシック" w:eastAsia="游ゴシック"/>
                <w:b w:val="0"/>
                <w:sz w:val="18"/>
              </w:rPr>
              <w:t>0.70倍</w:t>
            </w:r>
          </w:p>
        </w:tc>
      </w:tr>
      <w:tr>
        <w:trPr>
          <w:cantSplit/>
        </w:trPr>
        <w:tc>
          <w:tcPr>
            <w:tcW w:type="dxa" w:w="1701"/>
            <w:vAlign w:val="center"/>
          </w:tcPr>
          <w:p>
            <w:pPr>
              <w:spacing w:after="0"/>
            </w:pPr>
            <w:r>
              <w:rPr>
                <w:rFonts w:ascii="游ゴシック" w:hAnsi="游ゴシック" w:eastAsia="游ゴシック"/>
                <w:b/>
                <w:sz w:val="18"/>
              </w:rPr>
              <w:t>要介護1</w:t>
            </w:r>
          </w:p>
        </w:tc>
        <w:tc>
          <w:tcPr>
            <w:tcW w:type="dxa" w:w="1701"/>
            <w:vAlign w:val="center"/>
          </w:tcPr>
          <w:p>
            <w:pPr>
              <w:spacing w:after="0"/>
              <w:jc w:val="center"/>
            </w:pPr>
            <w:r>
              <w:rPr>
                <w:rFonts w:ascii="游ゴシック" w:hAnsi="游ゴシック" w:eastAsia="游ゴシック"/>
                <w:b w:val="0"/>
                <w:sz w:val="18"/>
              </w:rPr>
              <w:t>33</w:t>
            </w:r>
          </w:p>
        </w:tc>
        <w:tc>
          <w:tcPr>
            <w:tcW w:type="dxa" w:w="3402"/>
            <w:vAlign w:val="center"/>
          </w:tcPr>
          <w:p>
            <w:pPr>
              <w:spacing w:after="0"/>
              <w:jc w:val="center"/>
            </w:pPr>
            <w:r>
              <w:rPr>
                <w:rFonts w:ascii="游ゴシック" w:hAnsi="游ゴシック" w:eastAsia="游ゴシック"/>
                <w:b w:val="0"/>
                <w:sz w:val="18"/>
              </w:rPr>
              <w:t>29.3</w:t>
            </w:r>
          </w:p>
        </w:tc>
        <w:tc>
          <w:tcPr>
            <w:tcW w:type="dxa" w:w="1701"/>
            <w:vAlign w:val="center"/>
          </w:tcPr>
          <w:p>
            <w:pPr>
              <w:spacing w:after="0"/>
              <w:jc w:val="center"/>
            </w:pPr>
            <w:r>
              <w:rPr>
                <w:rFonts w:ascii="游ゴシック" w:hAnsi="游ゴシック" w:eastAsia="游ゴシック"/>
                <w:b w:val="0"/>
                <w:sz w:val="18"/>
              </w:rPr>
              <w:t>1.13倍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要介護2</w:t>
            </w:r>
          </w:p>
        </w:tc>
        <w:tc>
          <w:tcPr>
            <w:tcW w:type="dxa" w:w="1701"/>
            <w:shd w:val="clear" w:color="auto" w:fill="F2F5FA"/>
            <w:vAlign w:val="center"/>
          </w:tcPr>
          <w:p>
            <w:pPr>
              <w:spacing w:after="0"/>
              <w:jc w:val="center"/>
            </w:pPr>
            <w:r>
              <w:rPr>
                <w:rFonts w:ascii="游ゴシック" w:hAnsi="游ゴシック" w:eastAsia="游ゴシック"/>
                <w:b w:val="0"/>
                <w:sz w:val="18"/>
              </w:rPr>
              <w:t>22</w:t>
            </w:r>
          </w:p>
        </w:tc>
        <w:tc>
          <w:tcPr>
            <w:tcW w:type="dxa" w:w="3402"/>
            <w:shd w:val="clear" w:color="auto" w:fill="F2F5FA"/>
            <w:vAlign w:val="center"/>
          </w:tcPr>
          <w:p>
            <w:pPr>
              <w:spacing w:after="0"/>
              <w:jc w:val="center"/>
            </w:pPr>
            <w:r>
              <w:rPr>
                <w:rFonts w:ascii="游ゴシック" w:hAnsi="游ゴシック" w:eastAsia="游ゴシック"/>
                <w:b w:val="0"/>
                <w:sz w:val="18"/>
              </w:rPr>
              <w:t>13.8</w:t>
            </w:r>
          </w:p>
        </w:tc>
        <w:tc>
          <w:tcPr>
            <w:tcW w:type="dxa" w:w="1701"/>
            <w:shd w:val="clear" w:color="auto" w:fill="F2F5FA"/>
            <w:vAlign w:val="center"/>
          </w:tcPr>
          <w:p>
            <w:pPr>
              <w:spacing w:after="0"/>
              <w:jc w:val="center"/>
            </w:pPr>
            <w:r>
              <w:rPr>
                <w:rFonts w:ascii="游ゴシック" w:hAnsi="游ゴシック" w:eastAsia="游ゴシック"/>
                <w:b w:val="0"/>
                <w:sz w:val="18"/>
              </w:rPr>
              <w:t>1.59倍</w:t>
            </w:r>
          </w:p>
        </w:tc>
      </w:tr>
      <w:tr>
        <w:trPr>
          <w:cantSplit/>
        </w:trPr>
        <w:tc>
          <w:tcPr>
            <w:tcW w:type="dxa" w:w="1701"/>
            <w:vAlign w:val="center"/>
          </w:tcPr>
          <w:p>
            <w:pPr>
              <w:spacing w:after="0"/>
            </w:pPr>
            <w:r>
              <w:rPr>
                <w:rFonts w:ascii="游ゴシック" w:hAnsi="游ゴシック" w:eastAsia="游ゴシック"/>
                <w:b/>
                <w:sz w:val="18"/>
              </w:rPr>
              <w:t>要介護3</w:t>
            </w:r>
          </w:p>
        </w:tc>
        <w:tc>
          <w:tcPr>
            <w:tcW w:type="dxa" w:w="1701"/>
            <w:vAlign w:val="center"/>
          </w:tcPr>
          <w:p>
            <w:pPr>
              <w:spacing w:after="0"/>
              <w:jc w:val="center"/>
            </w:pPr>
            <w:r>
              <w:rPr>
                <w:rFonts w:ascii="游ゴシック" w:hAnsi="游ゴシック" w:eastAsia="游ゴシック"/>
                <w:b w:val="0"/>
                <w:sz w:val="18"/>
              </w:rPr>
              <w:t>19</w:t>
            </w:r>
          </w:p>
        </w:tc>
        <w:tc>
          <w:tcPr>
            <w:tcW w:type="dxa" w:w="3402"/>
            <w:vAlign w:val="center"/>
          </w:tcPr>
          <w:p>
            <w:pPr>
              <w:spacing w:after="0"/>
              <w:jc w:val="center"/>
            </w:pPr>
            <w:r>
              <w:rPr>
                <w:rFonts w:ascii="游ゴシック" w:hAnsi="游ゴシック" w:eastAsia="游ゴシック"/>
                <w:b w:val="0"/>
                <w:sz w:val="18"/>
              </w:rPr>
              <w:t>6.7</w:t>
            </w:r>
          </w:p>
        </w:tc>
        <w:tc>
          <w:tcPr>
            <w:tcW w:type="dxa" w:w="1701"/>
            <w:vAlign w:val="center"/>
          </w:tcPr>
          <w:p>
            <w:pPr>
              <w:spacing w:after="0"/>
              <w:jc w:val="center"/>
            </w:pPr>
            <w:r>
              <w:rPr>
                <w:rFonts w:ascii="游ゴシック" w:hAnsi="游ゴシック" w:eastAsia="游ゴシック"/>
                <w:b w:val="0"/>
                <w:sz w:val="18"/>
              </w:rPr>
              <w:t>2.82倍</w:t>
            </w:r>
          </w:p>
        </w:tc>
      </w:tr>
      <w:tr>
        <w:trPr>
          <w:cantSplit/>
        </w:trPr>
        <w:tc>
          <w:tcPr>
            <w:tcW w:type="dxa" w:w="1701"/>
            <w:shd w:val="clear" w:color="auto" w:fill="F2F5FA"/>
            <w:vAlign w:val="center"/>
          </w:tcPr>
          <w:p>
            <w:pPr>
              <w:spacing w:after="0"/>
            </w:pPr>
            <w:r>
              <w:rPr>
                <w:rFonts w:ascii="游ゴシック" w:hAnsi="游ゴシック" w:eastAsia="游ゴシック"/>
                <w:b/>
                <w:sz w:val="18"/>
              </w:rPr>
              <w:t>要介護4</w:t>
            </w:r>
          </w:p>
        </w:tc>
        <w:tc>
          <w:tcPr>
            <w:tcW w:type="dxa" w:w="1701"/>
            <w:shd w:val="clear" w:color="auto" w:fill="F2F5FA"/>
            <w:vAlign w:val="center"/>
          </w:tcPr>
          <w:p>
            <w:pPr>
              <w:spacing w:after="0"/>
              <w:jc w:val="center"/>
            </w:pPr>
            <w:r>
              <w:rPr>
                <w:rFonts w:ascii="游ゴシック" w:hAnsi="游ゴシック" w:eastAsia="游ゴシック"/>
                <w:b w:val="0"/>
                <w:sz w:val="18"/>
              </w:rPr>
              <w:t>5</w:t>
            </w:r>
          </w:p>
        </w:tc>
        <w:tc>
          <w:tcPr>
            <w:tcW w:type="dxa" w:w="3402"/>
            <w:shd w:val="clear" w:color="auto" w:fill="F2F5FA"/>
            <w:vAlign w:val="center"/>
          </w:tcPr>
          <w:p>
            <w:pPr>
              <w:spacing w:after="0"/>
              <w:jc w:val="center"/>
            </w:pPr>
            <w:r>
              <w:rPr>
                <w:rFonts w:ascii="游ゴシック" w:hAnsi="游ゴシック" w:eastAsia="游ゴシック"/>
                <w:b w:val="0"/>
                <w:sz w:val="18"/>
              </w:rPr>
              <w:t>5.6</w:t>
            </w:r>
          </w:p>
        </w:tc>
        <w:tc>
          <w:tcPr>
            <w:tcW w:type="dxa" w:w="1701"/>
            <w:shd w:val="clear" w:color="auto" w:fill="F2F5FA"/>
            <w:vAlign w:val="center"/>
          </w:tcPr>
          <w:p>
            <w:pPr>
              <w:spacing w:after="0"/>
              <w:jc w:val="center"/>
            </w:pPr>
            <w:r>
              <w:rPr>
                <w:rFonts w:ascii="游ゴシック" w:hAnsi="游ゴシック" w:eastAsia="游ゴシック"/>
                <w:b w:val="0"/>
                <w:sz w:val="18"/>
              </w:rPr>
              <w:t>0.89倍</w:t>
            </w:r>
          </w:p>
        </w:tc>
      </w:tr>
      <w:tr>
        <w:trPr>
          <w:cantSplit/>
        </w:trPr>
        <w:tc>
          <w:tcPr>
            <w:tcW w:type="dxa" w:w="1701"/>
            <w:vAlign w:val="center"/>
          </w:tcPr>
          <w:p>
            <w:pPr>
              <w:spacing w:after="0"/>
            </w:pPr>
            <w:r>
              <w:rPr>
                <w:rFonts w:ascii="游ゴシック" w:hAnsi="游ゴシック" w:eastAsia="游ゴシック"/>
                <w:b/>
                <w:sz w:val="18"/>
              </w:rPr>
              <w:t>要介護5</w:t>
            </w:r>
          </w:p>
        </w:tc>
        <w:tc>
          <w:tcPr>
            <w:tcW w:type="dxa" w:w="1701"/>
            <w:vAlign w:val="center"/>
          </w:tcPr>
          <w:p>
            <w:pPr>
              <w:spacing w:after="0"/>
              <w:jc w:val="center"/>
            </w:pPr>
            <w:r>
              <w:rPr>
                <w:rFonts w:ascii="游ゴシック" w:hAnsi="游ゴシック" w:eastAsia="游ゴシック"/>
                <w:b w:val="0"/>
                <w:sz w:val="18"/>
              </w:rPr>
              <w:t>3</w:t>
            </w:r>
          </w:p>
        </w:tc>
        <w:tc>
          <w:tcPr>
            <w:tcW w:type="dxa" w:w="3402"/>
            <w:vAlign w:val="center"/>
          </w:tcPr>
          <w:p>
            <w:pPr>
              <w:spacing w:after="0"/>
              <w:jc w:val="center"/>
            </w:pPr>
            <w:r>
              <w:rPr>
                <w:rFonts w:ascii="游ゴシック" w:hAnsi="游ゴシック" w:eastAsia="游ゴシック"/>
                <w:b w:val="0"/>
                <w:sz w:val="18"/>
              </w:rPr>
              <w:t>4.9</w:t>
            </w:r>
          </w:p>
        </w:tc>
        <w:tc>
          <w:tcPr>
            <w:tcW w:type="dxa" w:w="1701"/>
            <w:vAlign w:val="center"/>
          </w:tcPr>
          <w:p>
            <w:pPr>
              <w:spacing w:after="0"/>
              <w:jc w:val="center"/>
            </w:pPr>
            <w:r>
              <w:rPr>
                <w:rFonts w:ascii="游ゴシック" w:hAnsi="游ゴシック" w:eastAsia="游ゴシック"/>
                <w:b w:val="0"/>
                <w:sz w:val="18"/>
              </w:rPr>
              <w:t>0.61倍</w:t>
            </w:r>
          </w:p>
        </w:tc>
      </w:tr>
      <w:tr>
        <w:trPr>
          <w:cantSplit/>
        </w:trPr>
        <w:tc>
          <w:tcPr>
            <w:tcW w:type="dxa" w:w="1701"/>
            <w:shd w:val="clear" w:color="auto" w:fill="F2F5FA"/>
            <w:vAlign w:val="center"/>
          </w:tcPr>
          <w:p>
            <w:pPr>
              <w:spacing w:after="0"/>
            </w:pPr>
            <w:r>
              <w:rPr>
                <w:rFonts w:ascii="游ゴシック" w:hAnsi="游ゴシック" w:eastAsia="游ゴシック"/>
                <w:b/>
                <w:sz w:val="18"/>
              </w:rPr>
              <w:t>計</w:t>
            </w:r>
          </w:p>
        </w:tc>
        <w:tc>
          <w:tcPr>
            <w:tcW w:type="dxa" w:w="1701"/>
            <w:shd w:val="clear" w:color="auto" w:fill="F2F5FA"/>
            <w:vAlign w:val="center"/>
          </w:tcPr>
          <w:p>
            <w:pPr>
              <w:spacing w:after="0"/>
              <w:jc w:val="center"/>
            </w:pPr>
            <w:r>
              <w:rPr>
                <w:rFonts w:ascii="游ゴシック" w:hAnsi="游ゴシック" w:eastAsia="游ゴシック"/>
                <w:b w:val="0"/>
                <w:sz w:val="18"/>
              </w:rPr>
              <w:t>98</w:t>
            </w:r>
          </w:p>
        </w:tc>
        <w:tc>
          <w:tcPr>
            <w:tcW w:type="dxa" w:w="3402"/>
            <w:shd w:val="clear" w:color="auto" w:fill="F2F5FA"/>
            <w:vAlign w:val="center"/>
          </w:tcPr>
          <w:p>
            <w:pPr>
              <w:spacing w:after="0"/>
              <w:jc w:val="center"/>
            </w:pPr>
            <w:r>
              <w:rPr>
                <w:rFonts w:ascii="游ゴシック" w:hAnsi="游ゴシック" w:eastAsia="游ゴシック"/>
                <w:b w:val="0"/>
                <w:sz w:val="18"/>
              </w:rPr>
              <w:t>98.0</w:t>
            </w:r>
          </w:p>
        </w:tc>
        <w:tc>
          <w:tcPr>
            <w:tcW w:type="dxa" w:w="1701"/>
            <w:shd w:val="clear" w:color="auto" w:fill="F2F5FA"/>
            <w:vAlign w:val="center"/>
          </w:tcPr>
          <w:p>
            <w:pPr>
              <w:spacing w:after="0"/>
              <w:jc w:val="center"/>
            </w:pPr>
            <w:r>
              <w:rPr>
                <w:rFonts w:ascii="游ゴシック" w:hAnsi="游ゴシック" w:eastAsia="游ゴシック"/>
                <w:b w:val="0"/>
                <w:sz w:val="18"/>
              </w:rPr>
              <w:t>―</w:t>
            </w:r>
          </w:p>
        </w:tc>
      </w:tr>
    </w:tbl>
    <w:p>
      <w:pPr>
        <w:spacing w:after="80"/>
      </w:pPr>
      <w:r>
        <w:rPr>
          <w:rFonts w:ascii="游ゴシック" w:hAnsi="游ゴシック" w:eastAsia="游ゴシック"/>
          <w:b/>
          <w:sz w:val="21"/>
        </w:rPr>
        <w:t>χ²＝43.5（自由度6。1％点16.81）で、分布は食い違います。</w:t>
      </w:r>
      <w:r>
        <w:rPr>
          <w:rFonts w:ascii="游ゴシック" w:hAnsi="游ゴシック" w:eastAsia="游ゴシック"/>
          <w:b w:val="0"/>
          <w:sz w:val="21"/>
        </w:rPr>
        <w:t>要介護3が期待6.7人に対し19人（2.8倍）、要支援1が期待18.9人に対し3人（0.16倍）です。ケアマネジャーを通じて在宅で困難を抱える方を集めた調査であり、設計のとおりの結果です。</w:t>
      </w:r>
    </w:p>
    <w:p>
      <w:pPr>
        <w:spacing w:after="80"/>
      </w:pPr>
      <w:r>
        <w:rPr>
          <w:rFonts w:ascii="游ゴシック" w:hAnsi="游ゴシック" w:eastAsia="游ゴシック"/>
          <w:b/>
          <w:sz w:val="21"/>
        </w:rPr>
        <w:t>調査①の結果は「在宅で困難を抱える方の状況」として引き、在宅の認定者全体の割合としては引きません。</w:t>
      </w:r>
      <w:r>
        <w:rPr>
          <w:rFonts w:ascii="游ゴシック" w:hAnsi="游ゴシック" w:eastAsia="游ゴシック"/>
          <w:b w:val="0"/>
          <w:sz w:val="21"/>
        </w:rPr>
        <w:t>従前は「課題のある利用者を抽出する設計である」という定性的な留保でしたが、偏りの大きさと向きを数値で示せるようになりました。</w:t>
      </w:r>
    </w:p>
    <w:p>
      <w:pPr>
        <w:ind w:left="227"/>
      </w:pPr>
      <w:r>
        <w:rPr>
          <w:rFonts w:ascii="游ゴシック" w:hAnsi="游ゴシック" w:eastAsia="游ゴシック"/>
          <w:b w:val="0"/>
          <w:sz w:val="18"/>
        </w:rPr>
        <w:t>※ 代表KPI H12（必要サービス未充足率）も同じ母集団の指標になります。計画本文では「調査対象となった98人のうち」と明記します。</w:t>
      </w:r>
    </w:p>
    <w:p>
      <w:pPr>
        <w:keepNext/>
        <w:spacing w:before="180" w:after="60"/>
      </w:pPr>
      <w:r>
        <w:rPr>
          <w:rFonts w:ascii="游ゴシック" w:hAnsi="游ゴシック" w:eastAsia="游ゴシック"/>
          <w:b/>
          <w:sz w:val="22"/>
        </w:rPr>
        <w:t>2　施設の在籍者と保険者の受給者は数える対象が異なります</w:t>
      </w:r>
    </w:p>
    <w:p>
      <w:pPr>
        <w:spacing w:after="80"/>
      </w:pPr>
      <w:r>
        <w:rPr>
          <w:rFonts w:ascii="游ゴシック" w:hAnsi="游ゴシック" w:eastAsia="游ゴシック"/>
          <w:b w:val="0"/>
          <w:sz w:val="21"/>
        </w:rPr>
        <w:t>年報は施設の所在地を問わず当広域連合の被保険者を数えます。調査②は保険者を問わず区域内の施設の在籍者を数えます。</w:t>
      </w:r>
      <w:r>
        <w:rPr>
          <w:rFonts w:ascii="游ゴシック" w:hAnsi="游ゴシック" w:eastAsia="游ゴシック"/>
          <w:b/>
          <w:sz w:val="21"/>
        </w:rPr>
        <w:t>数える対象が違うため一致しません。</w:t>
      </w:r>
    </w:p>
    <w:p>
      <w:pPr>
        <w:keepNext/>
        <w:spacing w:before="160" w:after="40"/>
      </w:pPr>
      <w:r>
        <w:rPr>
          <w:rFonts w:ascii="游ゴシック" w:hAnsi="游ゴシック" w:eastAsia="游ゴシック"/>
          <w:b/>
          <w:sz w:val="20"/>
        </w:rPr>
        <w:t>表4　施設の在籍者（調査②）と保険者の受給者（年報）</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8"/>
              </w:rPr>
              <w:t>区分</w:t>
            </w:r>
          </w:p>
        </w:tc>
        <w:tc>
          <w:tcPr>
            <w:tcW w:type="dxa" w:w="2835"/>
            <w:shd w:val="clear" w:color="auto" w:fill="1F3864"/>
            <w:vAlign w:val="center"/>
          </w:tcPr>
          <w:p>
            <w:pPr>
              <w:spacing w:after="0"/>
              <w:jc w:val="center"/>
            </w:pPr>
            <w:r>
              <w:rPr>
                <w:rFonts w:ascii="游ゴシック" w:hAnsi="游ゴシック" w:eastAsia="游ゴシック"/>
                <w:b/>
                <w:color w:val="FFFFFF"/>
                <w:sz w:val="18"/>
              </w:rPr>
              <w:t>年報　受給（人／月）</w:t>
            </w:r>
          </w:p>
        </w:tc>
      </w:tr>
      <w:tr>
        <w:trPr>
          <w:cantSplit/>
        </w:trPr>
        <w:tc>
          <w:tcPr>
            <w:tcW w:type="dxa" w:w="3969"/>
            <w:vAlign w:val="center"/>
          </w:tcPr>
          <w:p>
            <w:pPr>
              <w:spacing w:after="0"/>
            </w:pPr>
            <w:r>
              <w:rPr>
                <w:rFonts w:ascii="游ゴシック" w:hAnsi="游ゴシック" w:eastAsia="游ゴシック"/>
                <w:b/>
                <w:sz w:val="18"/>
              </w:rPr>
              <w:t>グループホーム</w:t>
            </w:r>
          </w:p>
        </w:tc>
        <w:tc>
          <w:tcPr>
            <w:tcW w:type="dxa" w:w="2835"/>
            <w:vAlign w:val="center"/>
          </w:tcPr>
          <w:p>
            <w:pPr>
              <w:spacing w:after="0"/>
              <w:jc w:val="center"/>
            </w:pPr>
            <w:r>
              <w:rPr>
                <w:rFonts w:ascii="游ゴシック" w:hAnsi="游ゴシック" w:eastAsia="游ゴシック"/>
                <w:b w:val="0"/>
                <w:sz w:val="18"/>
              </w:rPr>
              <w:t>6.8</w:t>
            </w:r>
          </w:p>
        </w:tc>
      </w:tr>
      <w:tr>
        <w:trPr>
          <w:cantSplit/>
        </w:trPr>
        <w:tc>
          <w:tcPr>
            <w:tcW w:type="dxa" w:w="3969"/>
            <w:shd w:val="clear" w:color="auto" w:fill="F2F5FA"/>
            <w:vAlign w:val="center"/>
          </w:tcPr>
          <w:p>
            <w:pPr>
              <w:spacing w:after="0"/>
            </w:pPr>
            <w:r>
              <w:rPr>
                <w:rFonts w:ascii="游ゴシック" w:hAnsi="游ゴシック" w:eastAsia="游ゴシック"/>
                <w:b/>
                <w:sz w:val="18"/>
              </w:rPr>
              <w:t>特定施設</w:t>
            </w:r>
          </w:p>
        </w:tc>
        <w:tc>
          <w:tcPr>
            <w:tcW w:type="dxa" w:w="2835"/>
            <w:shd w:val="clear" w:color="auto" w:fill="F2F5FA"/>
            <w:vAlign w:val="center"/>
          </w:tcPr>
          <w:p>
            <w:pPr>
              <w:spacing w:after="0"/>
              <w:jc w:val="center"/>
            </w:pPr>
            <w:r>
              <w:rPr>
                <w:rFonts w:ascii="游ゴシック" w:hAnsi="游ゴシック" w:eastAsia="游ゴシック"/>
                <w:b w:val="0"/>
                <w:sz w:val="18"/>
              </w:rPr>
              <w:t>5.1</w:t>
            </w:r>
          </w:p>
        </w:tc>
      </w:tr>
      <w:tr>
        <w:trPr>
          <w:cantSplit/>
        </w:trPr>
        <w:tc>
          <w:tcPr>
            <w:tcW w:type="dxa" w:w="3969"/>
            <w:vAlign w:val="center"/>
          </w:tcPr>
          <w:p>
            <w:pPr>
              <w:spacing w:after="0"/>
            </w:pPr>
            <w:r>
              <w:rPr>
                <w:rFonts w:ascii="游ゴシック" w:hAnsi="游ゴシック" w:eastAsia="游ゴシック"/>
                <w:b/>
                <w:sz w:val="18"/>
              </w:rPr>
              <w:t>特養・地域密着型特養</w:t>
            </w:r>
          </w:p>
        </w:tc>
        <w:tc>
          <w:tcPr>
            <w:tcW w:type="dxa" w:w="2835"/>
            <w:vAlign w:val="center"/>
          </w:tcPr>
          <w:p>
            <w:pPr>
              <w:spacing w:after="0"/>
              <w:jc w:val="center"/>
            </w:pPr>
            <w:r>
              <w:rPr>
                <w:rFonts w:ascii="游ゴシック" w:hAnsi="游ゴシック" w:eastAsia="游ゴシック"/>
                <w:b w:val="0"/>
                <w:sz w:val="18"/>
              </w:rPr>
              <w:t>16.5</w:t>
            </w:r>
          </w:p>
        </w:tc>
      </w:tr>
      <w:tr>
        <w:trPr>
          <w:cantSplit/>
        </w:trPr>
        <w:tc>
          <w:tcPr>
            <w:tcW w:type="dxa" w:w="3969"/>
            <w:shd w:val="clear" w:color="auto" w:fill="F2F5FA"/>
            <w:vAlign w:val="center"/>
          </w:tcPr>
          <w:p>
            <w:pPr>
              <w:spacing w:after="0"/>
            </w:pPr>
            <w:r>
              <w:rPr>
                <w:rFonts w:ascii="游ゴシック" w:hAnsi="游ゴシック" w:eastAsia="游ゴシック"/>
                <w:b/>
                <w:sz w:val="18"/>
              </w:rPr>
              <w:t>介護老人保健施設</w:t>
            </w:r>
          </w:p>
        </w:tc>
        <w:tc>
          <w:tcPr>
            <w:tcW w:type="dxa" w:w="2835"/>
            <w:shd w:val="clear" w:color="auto" w:fill="F2F5FA"/>
            <w:vAlign w:val="center"/>
          </w:tcPr>
          <w:p>
            <w:pPr>
              <w:spacing w:after="0"/>
              <w:jc w:val="center"/>
            </w:pPr>
            <w:r>
              <w:rPr>
                <w:rFonts w:ascii="游ゴシック" w:hAnsi="游ゴシック" w:eastAsia="游ゴシック"/>
                <w:b w:val="0"/>
                <w:sz w:val="18"/>
              </w:rPr>
              <w:t>11.2</w:t>
            </w:r>
          </w:p>
        </w:tc>
      </w:tr>
    </w:tbl>
    <w:p>
      <w:pPr>
        <w:spacing w:after="80"/>
      </w:pPr>
      <w:r>
        <w:rPr>
          <w:rFonts w:ascii="游ゴシック" w:hAnsi="游ゴシック" w:eastAsia="游ゴシック"/>
          <w:b/>
          <w:sz w:val="21"/>
        </w:rPr>
        <w:t>介護老人保健施設だけが在籍が受給を上回ります。</w:t>
      </w:r>
      <w:r>
        <w:rPr>
          <w:rFonts w:ascii="游ゴシック" w:hAnsi="游ゴシック" w:eastAsia="游ゴシック"/>
          <w:b w:val="0"/>
          <w:sz w:val="21"/>
        </w:rPr>
        <w:t>他保険者の被保険者を受け入れているためです（新規205人・退去213人で回転が速いことも確かめました）。特別養護老人ホーム等は逆に受給が回答施設の定員を上回ります（区域外の施設の利用と、未回答13施設によるものです）。</w:t>
      </w:r>
    </w:p>
    <w:p>
      <w:pPr>
        <w:spacing w:after="80"/>
      </w:pPr>
      <w:r>
        <w:rPr>
          <w:rFonts w:ascii="游ゴシック" w:hAnsi="游ゴシック" w:eastAsia="游ゴシック"/>
          <w:b w:val="0"/>
          <w:sz w:val="21"/>
        </w:rPr>
        <w:t>このことから、</w:t>
      </w:r>
      <w:r>
        <w:rPr>
          <w:rFonts w:ascii="游ゴシック" w:hAnsi="游ゴシック" w:eastAsia="游ゴシック"/>
          <w:b/>
          <w:sz w:val="21"/>
        </w:rPr>
        <w:t>必要利用定員総数は区域内の施設の定員とは別に整理する必要があります</w:t>
      </w:r>
      <w:r>
        <w:rPr>
          <w:rFonts w:ascii="游ゴシック" w:hAnsi="游ゴシック" w:eastAsia="游ゴシック"/>
          <w:b w:val="0"/>
          <w:sz w:val="21"/>
        </w:rPr>
        <w:t>（確認事項No.88・No.141）。区域内の定員は当広域連合の被保険者にとっての上限ではありません。</w:t>
      </w:r>
    </w:p>
    <w:p>
      <w:pPr>
        <w:keepNext/>
        <w:spacing w:before="180" w:after="60"/>
      </w:pPr>
      <w:r>
        <w:rPr>
          <w:rFonts w:ascii="游ゴシック" w:hAnsi="游ゴシック" w:eastAsia="游ゴシック"/>
          <w:b/>
          <w:sz w:val="22"/>
        </w:rPr>
        <w:t>3　施設・居住系サービスの見込量</w:t>
      </w:r>
    </w:p>
    <w:p>
      <w:pPr>
        <w:spacing w:after="80"/>
      </w:pPr>
      <w:r>
        <w:rPr>
          <w:rFonts w:ascii="游ゴシック" w:hAnsi="游ゴシック" w:eastAsia="游ゴシック"/>
          <w:b w:val="0"/>
          <w:sz w:val="21"/>
        </w:rPr>
        <w:t>令和8年9月17日に、報告書に載せていた見込量を計画素案 第6章（サービス見込量の算定 第1次概算）の値に改めました。</w:t>
      </w:r>
      <w:r>
        <w:rPr>
          <w:rFonts w:ascii="游ゴシック" w:hAnsi="游ゴシック" w:eastAsia="游ゴシック"/>
          <w:b/>
          <w:sz w:val="21"/>
        </w:rPr>
        <w:t>従前は将来推計 第2段階の値のままで、素案と別の答えが並んでいました。</w:t>
      </w:r>
      <w:r>
        <w:rPr>
          <w:rFonts w:ascii="游ゴシック" w:hAnsi="游ゴシック" w:eastAsia="游ゴシック"/>
          <w:b w:val="0"/>
          <w:sz w:val="21"/>
        </w:rPr>
        <w:t>現在は報告書が算定を直接読む形にしており、算定を改めれば報告書も追随します。</w:t>
      </w:r>
    </w:p>
    <w:p>
      <w:pPr>
        <w:keepNext/>
        <w:spacing w:before="160" w:after="40"/>
      </w:pPr>
      <w:r>
        <w:rPr>
          <w:rFonts w:ascii="游ゴシック" w:hAnsi="游ゴシック" w:eastAsia="游ゴシック"/>
          <w:b/>
          <w:sz w:val="20"/>
        </w:rPr>
        <w:t>表5　施設・居住系サービスの見込量（人／月）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区分</w:t>
            </w:r>
          </w:p>
        </w:tc>
        <w:tc>
          <w:tcPr>
            <w:tcW w:type="dxa" w:w="2268"/>
            <w:shd w:val="clear" w:color="auto" w:fill="1F3864"/>
            <w:vAlign w:val="center"/>
          </w:tcPr>
          <w:p>
            <w:pPr>
              <w:spacing w:after="0"/>
              <w:jc w:val="center"/>
            </w:pPr>
            <w:r>
              <w:rPr>
                <w:rFonts w:ascii="游ゴシック" w:hAnsi="游ゴシック" w:eastAsia="游ゴシック"/>
                <w:b/>
                <w:color w:val="FFFFFF"/>
                <w:sz w:val="18"/>
              </w:rPr>
              <w:t>令和7年度（実績）</w:t>
            </w:r>
          </w:p>
        </w:tc>
        <w:tc>
          <w:tcPr>
            <w:tcW w:type="dxa" w:w="2551"/>
            <w:shd w:val="clear" w:color="auto" w:fill="1F3864"/>
            <w:vAlign w:val="center"/>
          </w:tcPr>
          <w:p>
            <w:pPr>
              <w:spacing w:after="0"/>
              <w:jc w:val="center"/>
            </w:pPr>
            <w:r>
              <w:rPr>
                <w:rFonts w:ascii="游ゴシック" w:hAnsi="游ゴシック" w:eastAsia="游ゴシック"/>
                <w:b/>
                <w:color w:val="FFFFFF"/>
                <w:sz w:val="18"/>
              </w:rPr>
              <w:t>令和11年度（見込み）</w:t>
            </w:r>
          </w:p>
        </w:tc>
        <w:tc>
          <w:tcPr>
            <w:tcW w:type="dxa" w:w="2268"/>
            <w:shd w:val="clear" w:color="auto" w:fill="1F3864"/>
            <w:vAlign w:val="center"/>
          </w:tcPr>
          <w:p>
            <w:pPr>
              <w:spacing w:after="0"/>
              <w:jc w:val="center"/>
            </w:pPr>
            <w:r>
              <w:rPr>
                <w:rFonts w:ascii="游ゴシック" w:hAnsi="游ゴシック" w:eastAsia="游ゴシック"/>
                <w:b/>
                <w:color w:val="FFFFFF"/>
                <w:sz w:val="18"/>
              </w:rPr>
              <w:t>定員に対する率</w:t>
            </w:r>
          </w:p>
        </w:tc>
      </w:tr>
      <w:tr>
        <w:trPr>
          <w:cantSplit/>
        </w:trPr>
        <w:tc>
          <w:tcPr>
            <w:tcW w:type="dxa" w:w="2268"/>
            <w:vAlign w:val="center"/>
          </w:tcPr>
          <w:p>
            <w:pPr>
              <w:spacing w:after="0"/>
            </w:pPr>
            <w:r>
              <w:rPr>
                <w:rFonts w:ascii="游ゴシック" w:hAnsi="游ゴシック" w:eastAsia="游ゴシック"/>
                <w:b/>
                <w:sz w:val="18"/>
              </w:rPr>
              <w:t>施設サービス</w:t>
            </w:r>
          </w:p>
        </w:tc>
        <w:tc>
          <w:tcPr>
            <w:tcW w:type="dxa" w:w="2268"/>
            <w:vAlign w:val="center"/>
          </w:tcPr>
          <w:p>
            <w:pPr>
              <w:spacing w:after="0"/>
              <w:jc w:val="center"/>
            </w:pPr>
            <w:r>
              <w:rPr>
                <w:rFonts w:ascii="游ゴシック" w:hAnsi="游ゴシック" w:eastAsia="游ゴシック"/>
                <w:b w:val="0"/>
                <w:sz w:val="18"/>
              </w:rPr>
              <w:t>337.1</w:t>
            </w:r>
          </w:p>
        </w:tc>
        <w:tc>
          <w:tcPr>
            <w:tcW w:type="dxa" w:w="2551"/>
            <w:vAlign w:val="center"/>
          </w:tcPr>
          <w:p>
            <w:pPr>
              <w:spacing w:after="0"/>
              <w:jc w:val="center"/>
            </w:pPr>
            <w:r>
              <w:rPr>
                <w:rFonts w:ascii="游ゴシック" w:hAnsi="游ゴシック" w:eastAsia="游ゴシック"/>
                <w:b w:val="0"/>
                <w:sz w:val="18"/>
              </w:rPr>
              <w:t>352.3</w:t>
            </w:r>
          </w:p>
        </w:tc>
        <w:tc>
          <w:tcPr>
            <w:tcW w:type="dxa" w:w="2268"/>
            <w:vAlign w:val="center"/>
          </w:tcPr>
          <w:p>
            <w:pPr>
              <w:spacing w:after="0"/>
              <w:jc w:val="center"/>
            </w:pPr>
            <w:r>
              <w:rPr>
                <w:rFonts w:ascii="游ゴシック" w:hAnsi="游ゴシック" w:eastAsia="游ゴシック"/>
                <w:b w:val="0"/>
                <w:sz w:val="18"/>
              </w:rPr>
              <w:t>―</w:t>
            </w:r>
          </w:p>
        </w:tc>
      </w:tr>
      <w:tr>
        <w:trPr>
          <w:cantSplit/>
        </w:trPr>
        <w:tc>
          <w:tcPr>
            <w:tcW w:type="dxa" w:w="2268"/>
            <w:shd w:val="clear" w:color="auto" w:fill="F2F5FA"/>
            <w:vAlign w:val="center"/>
          </w:tcPr>
          <w:p>
            <w:pPr>
              <w:spacing w:after="0"/>
            </w:pPr>
            <w:r>
              <w:rPr>
                <w:rFonts w:ascii="游ゴシック" w:hAnsi="游ゴシック" w:eastAsia="游ゴシック"/>
                <w:b/>
                <w:sz w:val="18"/>
              </w:rPr>
              <w:t>居住系サービス</w:t>
            </w:r>
          </w:p>
        </w:tc>
        <w:tc>
          <w:tcPr>
            <w:tcW w:type="dxa" w:w="2268"/>
            <w:shd w:val="clear" w:color="auto" w:fill="F2F5FA"/>
            <w:vAlign w:val="center"/>
          </w:tcPr>
          <w:p>
            <w:pPr>
              <w:spacing w:after="0"/>
              <w:jc w:val="center"/>
            </w:pPr>
            <w:r>
              <w:rPr>
                <w:rFonts w:ascii="游ゴシック" w:hAnsi="游ゴシック" w:eastAsia="游ゴシック"/>
                <w:b w:val="0"/>
                <w:sz w:val="18"/>
              </w:rPr>
              <w:t>143.1</w:t>
            </w:r>
          </w:p>
        </w:tc>
        <w:tc>
          <w:tcPr>
            <w:tcW w:type="dxa" w:w="2551"/>
            <w:shd w:val="clear" w:color="auto" w:fill="F2F5FA"/>
            <w:vAlign w:val="center"/>
          </w:tcPr>
          <w:p>
            <w:pPr>
              <w:spacing w:after="0"/>
              <w:jc w:val="center"/>
            </w:pPr>
            <w:r>
              <w:rPr>
                <w:rFonts w:ascii="游ゴシック" w:hAnsi="游ゴシック" w:eastAsia="游ゴシック"/>
                <w:b w:val="0"/>
                <w:sz w:val="18"/>
              </w:rPr>
              <w:t>149.4</w:t>
            </w:r>
          </w:p>
        </w:tc>
        <w:tc>
          <w:tcPr>
            <w:tcW w:type="dxa" w:w="2268"/>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2268"/>
            <w:vAlign w:val="center"/>
          </w:tcPr>
          <w:p>
            <w:pPr>
              <w:spacing w:after="0"/>
            </w:pPr>
            <w:r>
              <w:rPr>
                <w:rFonts w:ascii="游ゴシック" w:hAnsi="游ゴシック" w:eastAsia="游ゴシック"/>
                <w:b/>
                <w:sz w:val="18"/>
              </w:rPr>
              <w:t>施設・居住系　計</w:t>
            </w:r>
          </w:p>
        </w:tc>
        <w:tc>
          <w:tcPr>
            <w:tcW w:type="dxa" w:w="2268"/>
            <w:vAlign w:val="center"/>
          </w:tcPr>
          <w:p>
            <w:pPr>
              <w:spacing w:after="0"/>
              <w:jc w:val="center"/>
            </w:pPr>
            <w:r>
              <w:rPr>
                <w:rFonts w:ascii="游ゴシック" w:hAnsi="游ゴシック" w:eastAsia="游ゴシック"/>
                <w:b w:val="0"/>
                <w:sz w:val="18"/>
              </w:rPr>
              <w:t>480.2</w:t>
            </w:r>
          </w:p>
        </w:tc>
        <w:tc>
          <w:tcPr>
            <w:tcW w:type="dxa" w:w="2551"/>
            <w:vAlign w:val="center"/>
          </w:tcPr>
          <w:p>
            <w:pPr>
              <w:spacing w:after="0"/>
              <w:jc w:val="center"/>
            </w:pPr>
            <w:r>
              <w:rPr>
                <w:rFonts w:ascii="游ゴシック" w:hAnsi="游ゴシック" w:eastAsia="游ゴシック"/>
                <w:b w:val="0"/>
                <w:sz w:val="18"/>
              </w:rPr>
              <w:t>501.7</w:t>
            </w:r>
          </w:p>
        </w:tc>
        <w:tc>
          <w:tcPr>
            <w:tcW w:type="dxa" w:w="2268"/>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xml:space="preserve">※ </w:t>
      </w:r>
      <w:r>
        <w:rPr>
          <w:rFonts w:ascii="游ゴシック" w:hAnsi="游ゴシック" w:eastAsia="游ゴシック"/>
          <w:b/>
          <w:sz w:val="18"/>
        </w:rPr>
        <w:t>地域密着型介護老人福祉施設入所者生活介護は令和11年度に定員62人の99.9％に達します。</w:t>
      </w:r>
      <w:r>
        <w:rPr>
          <w:rFonts w:ascii="游ゴシック" w:hAnsi="游ゴシック" w:eastAsia="游ゴシック"/>
          <w:b w:val="0"/>
          <w:sz w:val="18"/>
        </w:rPr>
        <w:t>合計では定員に収まりますが、この区分だけは余裕がありません。令和8年9月24日に中長期の年次を広げたところ、定員を超えるのは令和12年度であることが分かりました。</w:t>
      </w:r>
    </w:p>
    <w:p>
      <w:pPr>
        <w:keepNext/>
        <w:spacing w:before="280" w:after="120"/>
      </w:pPr>
      <w:r>
        <w:rPr>
          <w:rFonts w:ascii="游ゴシック" w:hAnsi="游ゴシック" w:eastAsia="游ゴシック"/>
          <w:b/>
          <w:color w:val="1F3864"/>
          <w:sz w:val="26"/>
        </w:rPr>
        <w:t>第5節　主要所見と計画素案への反映状況</w:t>
      </w:r>
    </w:p>
    <w:p>
      <w:pPr>
        <w:spacing w:after="80"/>
      </w:pPr>
      <w:r>
        <w:rPr>
          <w:rFonts w:ascii="游ゴシック" w:hAnsi="游ゴシック" w:eastAsia="游ゴシック"/>
          <w:b w:val="0"/>
          <w:sz w:val="21"/>
        </w:rPr>
        <w:t>調査から得た主要所見は20件です。計画素案への反映状況は次のとおりです。</w:t>
      </w:r>
      <w:r>
        <w:rPr>
          <w:rFonts w:ascii="游ゴシック" w:hAnsi="游ゴシック" w:eastAsia="游ゴシック"/>
          <w:b/>
          <w:sz w:val="21"/>
        </w:rPr>
        <w:t>反映済みかどうかは、計画素案の本文と表を章節ごとに実際に読んで判定しています。</w:t>
      </w:r>
      <w:r>
        <w:rPr>
          <w:rFonts w:ascii="游ゴシック" w:hAnsi="游ゴシック" w:eastAsia="游ゴシック"/>
          <w:b w:val="0"/>
          <w:sz w:val="21"/>
        </w:rPr>
        <w:t>固定値では書いていません。</w:t>
      </w:r>
    </w:p>
    <w:p>
      <w:pPr>
        <w:keepNext/>
        <w:spacing w:before="160" w:after="40"/>
      </w:pPr>
      <w:r>
        <w:rPr>
          <w:rFonts w:ascii="游ゴシック" w:hAnsi="游ゴシック" w:eastAsia="游ゴシック"/>
          <w:b/>
          <w:sz w:val="20"/>
        </w:rPr>
        <w:t>表6　主要所見の反映状況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247"/>
            <w:shd w:val="clear" w:color="auto" w:fill="1F3864"/>
            <w:vAlign w:val="center"/>
          </w:tcPr>
          <w:p>
            <w:pPr>
              <w:spacing w:after="0"/>
              <w:jc w:val="center"/>
            </w:pPr>
            <w:r>
              <w:rPr>
                <w:rFonts w:ascii="游ゴシック" w:hAnsi="游ゴシック" w:eastAsia="游ゴシック"/>
                <w:b/>
                <w:color w:val="FFFFFF"/>
                <w:sz w:val="18"/>
              </w:rPr>
              <w:t>状態</w:t>
            </w:r>
          </w:p>
        </w:tc>
        <w:tc>
          <w:tcPr>
            <w:tcW w:type="dxa" w:w="1134"/>
            <w:shd w:val="clear" w:color="auto" w:fill="1F3864"/>
            <w:vAlign w:val="center"/>
          </w:tcPr>
          <w:p>
            <w:pPr>
              <w:spacing w:after="0"/>
              <w:jc w:val="center"/>
            </w:pPr>
            <w:r>
              <w:rPr>
                <w:rFonts w:ascii="游ゴシック" w:hAnsi="游ゴシック" w:eastAsia="游ゴシック"/>
                <w:b/>
                <w:color w:val="FFFFFF"/>
                <w:sz w:val="18"/>
              </w:rPr>
              <w:t>件数</w:t>
            </w:r>
          </w:p>
        </w:tc>
        <w:tc>
          <w:tcPr>
            <w:tcW w:type="dxa" w:w="6236"/>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247"/>
            <w:vAlign w:val="center"/>
          </w:tcPr>
          <w:p>
            <w:pPr>
              <w:spacing w:after="0"/>
              <w:jc w:val="center"/>
            </w:pPr>
            <w:r>
              <w:rPr>
                <w:rFonts w:ascii="游ゴシック" w:hAnsi="游ゴシック" w:eastAsia="游ゴシック"/>
                <w:b/>
                <w:sz w:val="18"/>
              </w:rPr>
              <w:t>反映済</w:t>
            </w:r>
          </w:p>
        </w:tc>
        <w:tc>
          <w:tcPr>
            <w:tcW w:type="dxa" w:w="1134"/>
            <w:vAlign w:val="center"/>
          </w:tcPr>
          <w:p>
            <w:pPr>
              <w:spacing w:after="0"/>
              <w:jc w:val="center"/>
            </w:pPr>
            <w:r>
              <w:rPr>
                <w:rFonts w:ascii="游ゴシック" w:hAnsi="游ゴシック" w:eastAsia="游ゴシック"/>
                <w:b w:val="0"/>
                <w:sz w:val="18"/>
              </w:rPr>
              <w:t>5件</w:t>
            </w:r>
          </w:p>
        </w:tc>
        <w:tc>
          <w:tcPr>
            <w:tcW w:type="dxa" w:w="6236"/>
            <w:vAlign w:val="center"/>
          </w:tcPr>
          <w:p>
            <w:pPr>
              <w:spacing w:after="0"/>
            </w:pPr>
            <w:r>
              <w:rPr>
                <w:rFonts w:ascii="游ゴシック" w:hAnsi="游ゴシック" w:eastAsia="游ゴシック"/>
                <w:b w:val="0"/>
                <w:sz w:val="18"/>
              </w:rPr>
              <w:t>計画素案の本文に反映済みであることを素案の実物で確認したもの。第2章第4節（高齢者の生活実態）は令和8年9月15日、第2章第5節・第6章第2節は既に反映している</w:t>
            </w:r>
          </w:p>
        </w:tc>
      </w:tr>
      <w:tr>
        <w:trPr>
          <w:cantSplit/>
        </w:trPr>
        <w:tc>
          <w:tcPr>
            <w:tcW w:type="dxa" w:w="1247"/>
            <w:shd w:val="clear" w:color="auto" w:fill="F2F5FA"/>
            <w:vAlign w:val="center"/>
          </w:tcPr>
          <w:p>
            <w:pPr>
              <w:spacing w:after="0"/>
              <w:jc w:val="center"/>
            </w:pPr>
            <w:r>
              <w:rPr>
                <w:rFonts w:ascii="游ゴシック" w:hAnsi="游ゴシック" w:eastAsia="游ゴシック"/>
                <w:b/>
                <w:sz w:val="18"/>
              </w:rPr>
              <w:t>着手可</w:t>
            </w:r>
          </w:p>
        </w:tc>
        <w:tc>
          <w:tcPr>
            <w:tcW w:type="dxa" w:w="1134"/>
            <w:shd w:val="clear" w:color="auto" w:fill="F2F5FA"/>
            <w:vAlign w:val="center"/>
          </w:tcPr>
          <w:p>
            <w:pPr>
              <w:spacing w:after="0"/>
              <w:jc w:val="center"/>
            </w:pPr>
            <w:r>
              <w:rPr>
                <w:rFonts w:ascii="游ゴシック" w:hAnsi="游ゴシック" w:eastAsia="游ゴシック"/>
                <w:b w:val="0"/>
                <w:sz w:val="18"/>
              </w:rPr>
              <w:t>6件</w:t>
            </w:r>
          </w:p>
        </w:tc>
        <w:tc>
          <w:tcPr>
            <w:tcW w:type="dxa" w:w="6236"/>
            <w:shd w:val="clear" w:color="auto" w:fill="F2F5FA"/>
            <w:vAlign w:val="center"/>
          </w:tcPr>
          <w:p>
            <w:pPr>
              <w:spacing w:after="0"/>
            </w:pPr>
            <w:r>
              <w:rPr>
                <w:rFonts w:ascii="游ゴシック" w:hAnsi="游ゴシック" w:eastAsia="游ゴシック"/>
                <w:b w:val="0"/>
                <w:sz w:val="18"/>
              </w:rPr>
              <w:t>点検事項の取扱いの決定を要しない。第1章第7節・第2章第3節・第2章第6節・第3章第5節・第5章・第6章第5節へ反映する（令和8年10月）</w:t>
            </w:r>
          </w:p>
        </w:tc>
      </w:tr>
      <w:tr>
        <w:trPr>
          <w:cantSplit/>
        </w:trPr>
        <w:tc>
          <w:tcPr>
            <w:tcW w:type="dxa" w:w="1247"/>
            <w:vAlign w:val="center"/>
          </w:tcPr>
          <w:p>
            <w:pPr>
              <w:spacing w:after="0"/>
              <w:jc w:val="center"/>
            </w:pPr>
            <w:r>
              <w:rPr>
                <w:rFonts w:ascii="游ゴシック" w:hAnsi="游ゴシック" w:eastAsia="游ゴシック"/>
                <w:b/>
                <w:sz w:val="18"/>
              </w:rPr>
              <w:t>決定待ち</w:t>
            </w:r>
          </w:p>
        </w:tc>
        <w:tc>
          <w:tcPr>
            <w:tcW w:type="dxa" w:w="1134"/>
            <w:vAlign w:val="center"/>
          </w:tcPr>
          <w:p>
            <w:pPr>
              <w:spacing w:after="0"/>
              <w:jc w:val="center"/>
            </w:pPr>
            <w:r>
              <w:rPr>
                <w:rFonts w:ascii="游ゴシック" w:hAnsi="游ゴシック" w:eastAsia="游ゴシック"/>
                <w:b w:val="0"/>
                <w:sz w:val="18"/>
              </w:rPr>
              <w:t>9件</w:t>
            </w:r>
          </w:p>
        </w:tc>
        <w:tc>
          <w:tcPr>
            <w:tcW w:type="dxa" w:w="6236"/>
            <w:vAlign w:val="center"/>
          </w:tcPr>
          <w:p>
            <w:pPr>
              <w:spacing w:after="0"/>
            </w:pPr>
            <w:r>
              <w:rPr>
                <w:rFonts w:ascii="游ゴシック" w:hAnsi="游ゴシック" w:eastAsia="游ゴシック"/>
                <w:b w:val="0"/>
                <w:sz w:val="18"/>
              </w:rPr>
              <w:t>点検事項No.1・No.2・No.13・No.25・No.31・No.32の取扱いが決まってから反映する（確認事項No.8）</w:t>
            </w:r>
          </w:p>
        </w:tc>
      </w:tr>
    </w:tbl>
    <w:p>
      <w:pPr>
        <w:keepNext/>
        <w:spacing w:before="180" w:after="60"/>
      </w:pPr>
      <w:r>
        <w:rPr>
          <w:rFonts w:ascii="游ゴシック" w:hAnsi="游ゴシック" w:eastAsia="游ゴシック"/>
          <w:b/>
          <w:sz w:val="22"/>
        </w:rPr>
        <w:t>反映済みの所見</w:t>
      </w:r>
    </w:p>
    <w:p>
      <w:pPr>
        <w:spacing w:after="60"/>
        <w:ind w:left="340" w:hanging="340"/>
      </w:pPr>
      <w:r>
        <w:rPr>
          <w:rFonts w:ascii="游ゴシック" w:hAnsi="游ゴシック" w:eastAsia="游ゴシック"/>
          <w:b w:val="0"/>
          <w:sz w:val="21"/>
        </w:rPr>
        <w:t>・所見3　24時間対応の3サービスが区域内に存在しない（反映先　第6章第4節）</w:t>
      </w:r>
    </w:p>
    <w:p>
      <w:pPr>
        <w:spacing w:after="60"/>
        <w:ind w:left="340" w:hanging="340"/>
      </w:pPr>
      <w:r>
        <w:rPr>
          <w:rFonts w:ascii="游ゴシック" w:hAnsi="游ゴシック" w:eastAsia="游ゴシック"/>
          <w:b w:val="0"/>
          <w:sz w:val="21"/>
        </w:rPr>
        <w:t>・所見7　外出同行が最も必要とされる生活支援である（反映先　第2章第5節・第5章 基本目標2）</w:t>
      </w:r>
    </w:p>
    <w:p>
      <w:pPr>
        <w:spacing w:after="60"/>
        <w:ind w:left="340" w:hanging="340"/>
      </w:pPr>
      <w:r>
        <w:rPr>
          <w:rFonts w:ascii="游ゴシック" w:hAnsi="游ゴシック" w:eastAsia="游ゴシック"/>
          <w:b w:val="0"/>
          <w:sz w:val="21"/>
        </w:rPr>
        <w:t>・所見8　除雪が生活動作の困りごとの最上位である（反映先　第2章第4節・第5章 基本目標2）</w:t>
      </w:r>
    </w:p>
    <w:p>
      <w:pPr>
        <w:spacing w:after="60"/>
        <w:ind w:left="340" w:hanging="340"/>
      </w:pPr>
      <w:r>
        <w:rPr>
          <w:rFonts w:ascii="游ゴシック" w:hAnsi="游ゴシック" w:eastAsia="游ゴシック"/>
          <w:b w:val="0"/>
          <w:sz w:val="21"/>
        </w:rPr>
        <w:t>・所見9　外出と社会参加が同規模保険者との比較で最大の課題である（反映先　第2章第4節・第5章 基本目標1・2）</w:t>
      </w:r>
    </w:p>
    <w:p>
      <w:pPr>
        <w:spacing w:after="60"/>
        <w:ind w:left="340" w:hanging="340"/>
      </w:pPr>
      <w:r>
        <w:rPr>
          <w:rFonts w:ascii="游ゴシック" w:hAnsi="游ゴシック" w:eastAsia="游ゴシック"/>
          <w:b w:val="0"/>
          <w:sz w:val="21"/>
        </w:rPr>
        <w:t>・所見18　地区別・圏域別の分析（反映先　第1章第7節・第2章第4節）</w:t>
      </w:r>
    </w:p>
    <w:p>
      <w:pPr>
        <w:keepNext/>
        <w:spacing w:before="180" w:after="60"/>
      </w:pPr>
      <w:r>
        <w:rPr>
          <w:rFonts w:ascii="游ゴシック" w:hAnsi="游ゴシック" w:eastAsia="游ゴシック"/>
          <w:b/>
          <w:sz w:val="22"/>
        </w:rPr>
        <w:t>着手できる所見</w:t>
      </w:r>
    </w:p>
    <w:p>
      <w:pPr>
        <w:spacing w:after="60"/>
        <w:ind w:left="340" w:hanging="340"/>
      </w:pPr>
      <w:r>
        <w:rPr>
          <w:rFonts w:ascii="游ゴシック" w:hAnsi="游ゴシック" w:eastAsia="游ゴシック"/>
          <w:b w:val="0"/>
          <w:sz w:val="21"/>
        </w:rPr>
        <w:t>・所見1　医療機関からの入所が施設入所の主要な経路である（反映先　第2章第6節・第6章第5節）</w:t>
      </w:r>
    </w:p>
    <w:p>
      <w:pPr>
        <w:spacing w:after="60"/>
        <w:ind w:left="340" w:hanging="340"/>
      </w:pPr>
      <w:r>
        <w:rPr>
          <w:rFonts w:ascii="游ゴシック" w:hAnsi="游ゴシック" w:eastAsia="游ゴシック"/>
          <w:b w:val="0"/>
          <w:sz w:val="21"/>
        </w:rPr>
        <w:t>・所見2　施設・住まいの供給量が確定した（反映先　第2章第3節）</w:t>
      </w:r>
    </w:p>
    <w:p>
      <w:pPr>
        <w:spacing w:after="60"/>
        <w:ind w:left="340" w:hanging="340"/>
      </w:pPr>
      <w:r>
        <w:rPr>
          <w:rFonts w:ascii="游ゴシック" w:hAnsi="游ゴシック" w:eastAsia="游ゴシック"/>
          <w:b w:val="0"/>
          <w:sz w:val="21"/>
        </w:rPr>
        <w:t>・所見4　訪問・通所困難地域の判定材料がそろった（反映先　第1章第7節）</w:t>
      </w:r>
    </w:p>
    <w:p>
      <w:pPr>
        <w:spacing w:after="60"/>
        <w:ind w:left="340" w:hanging="340"/>
      </w:pPr>
      <w:r>
        <w:rPr>
          <w:rFonts w:ascii="游ゴシック" w:hAnsi="游ゴシック" w:eastAsia="游ゴシック"/>
          <w:b w:val="0"/>
          <w:sz w:val="21"/>
        </w:rPr>
        <w:t>・所見5　運営法人の集中が供給構造の特徴である（反映先　第2章第3節・第6章第4節）</w:t>
      </w:r>
    </w:p>
    <w:p>
      <w:pPr>
        <w:spacing w:after="60"/>
        <w:ind w:left="340" w:hanging="340"/>
      </w:pPr>
      <w:r>
        <w:rPr>
          <w:rFonts w:ascii="游ゴシック" w:hAnsi="游ゴシック" w:eastAsia="游ゴシック"/>
          <w:b w:val="0"/>
          <w:sz w:val="21"/>
        </w:rPr>
        <w:t>・所見6　介護職員の33.3％は見える化で把握できないサービスに従事している（反映先　第3章第5節）</w:t>
      </w:r>
    </w:p>
    <w:p>
      <w:pPr>
        <w:spacing w:after="60"/>
        <w:ind w:left="340" w:hanging="340"/>
      </w:pPr>
      <w:r>
        <w:rPr>
          <w:rFonts w:ascii="游ゴシック" w:hAnsi="游ゴシック" w:eastAsia="游ゴシック"/>
          <w:b w:val="0"/>
          <w:sz w:val="21"/>
        </w:rPr>
        <w:t>・所見20　特定施設は区域内でほぼ満室である（反映先　第2章第3節・第6章第4節）</w:t>
      </w:r>
    </w:p>
    <w:p>
      <w:pPr>
        <w:ind w:left="227"/>
      </w:pPr>
      <w:r>
        <w:rPr>
          <w:rFonts w:ascii="游ゴシック" w:hAnsi="游ゴシック" w:eastAsia="游ゴシック"/>
          <w:b w:val="0"/>
          <w:sz w:val="18"/>
        </w:rPr>
        <w:t>※ 計画本文には確認事項の注記を書きません（発注者のご指示）。反映の管理は計画素案の別管理表と業務工程管理表で行います。</w:t>
      </w:r>
    </w:p>
    <w:p>
      <w:pPr>
        <w:keepNext/>
        <w:spacing w:before="280" w:after="120"/>
      </w:pPr>
      <w:r>
        <w:rPr>
          <w:rFonts w:ascii="游ゴシック" w:hAnsi="游ゴシック" w:eastAsia="游ゴシック"/>
          <w:b/>
          <w:color w:val="1F3864"/>
          <w:sz w:val="26"/>
        </w:rPr>
        <w:t>第6節　調査結果の限界と留保</w:t>
      </w:r>
    </w:p>
    <w:p>
      <w:pPr>
        <w:spacing w:after="80"/>
      </w:pPr>
      <w:r>
        <w:rPr>
          <w:rFonts w:ascii="游ゴシック" w:hAnsi="游ゴシック" w:eastAsia="游ゴシック"/>
          <w:b w:val="0"/>
          <w:sz w:val="21"/>
        </w:rPr>
        <w:t>本報告書の数値を計画本文に用いる際の留保は16件です。うち11件は計画本文に数値を載せる際に必ず付すもの（必須）、4件は点検事項の取扱いの決定を待つものです。</w:t>
      </w:r>
    </w:p>
    <w:p>
      <w:pPr>
        <w:keepNext/>
        <w:spacing w:before="160" w:after="40"/>
      </w:pPr>
      <w:r>
        <w:rPr>
          <w:rFonts w:ascii="游ゴシック" w:hAnsi="游ゴシック" w:eastAsia="游ゴシック"/>
          <w:b/>
          <w:sz w:val="20"/>
        </w:rPr>
        <w:t>表7　留保の区分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区分</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意味</w:t>
            </w:r>
          </w:p>
        </w:tc>
      </w:tr>
      <w:tr>
        <w:trPr>
          <w:cantSplit/>
        </w:trPr>
        <w:tc>
          <w:tcPr>
            <w:tcW w:type="dxa" w:w="1701"/>
            <w:vAlign w:val="center"/>
          </w:tcPr>
          <w:p>
            <w:pPr>
              <w:spacing w:after="0"/>
              <w:jc w:val="center"/>
            </w:pPr>
            <w:r>
              <w:rPr>
                <w:rFonts w:ascii="游ゴシック" w:hAnsi="游ゴシック" w:eastAsia="游ゴシック"/>
                <w:b/>
                <w:sz w:val="18"/>
              </w:rPr>
              <w:t>必須</w:t>
            </w:r>
          </w:p>
        </w:tc>
        <w:tc>
          <w:tcPr>
            <w:tcW w:type="dxa" w:w="1247"/>
            <w:vAlign w:val="center"/>
          </w:tcPr>
          <w:p>
            <w:pPr>
              <w:spacing w:after="0"/>
              <w:jc w:val="center"/>
            </w:pPr>
            <w:r>
              <w:rPr>
                <w:rFonts w:ascii="游ゴシック" w:hAnsi="游ゴシック" w:eastAsia="游ゴシック"/>
                <w:b w:val="0"/>
                <w:sz w:val="18"/>
              </w:rPr>
              <w:t>11件</w:t>
            </w:r>
          </w:p>
        </w:tc>
        <w:tc>
          <w:tcPr>
            <w:tcW w:type="dxa" w:w="5102"/>
            <w:vAlign w:val="center"/>
          </w:tcPr>
          <w:p>
            <w:pPr>
              <w:spacing w:after="0"/>
            </w:pPr>
            <w:r>
              <w:rPr>
                <w:rFonts w:ascii="游ゴシック" w:hAnsi="游ゴシック" w:eastAsia="游ゴシック"/>
                <w:b w:val="0"/>
                <w:sz w:val="18"/>
              </w:rPr>
              <w:t>計画本文に数値を載せる際に必ず付す</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4件</w:t>
            </w:r>
          </w:p>
        </w:tc>
        <w:tc>
          <w:tcPr>
            <w:tcW w:type="dxa" w:w="5102"/>
            <w:shd w:val="clear" w:color="auto" w:fill="F2F5FA"/>
            <w:vAlign w:val="center"/>
          </w:tcPr>
          <w:p>
            <w:pPr>
              <w:spacing w:after="0"/>
            </w:pPr>
            <w:r>
              <w:rPr>
                <w:rFonts w:ascii="游ゴシック" w:hAnsi="游ゴシック" w:eastAsia="游ゴシック"/>
                <w:b w:val="0"/>
                <w:sz w:val="18"/>
              </w:rPr>
              <w:t>点検事項の取扱いの決定による</w:t>
            </w:r>
          </w:p>
        </w:tc>
      </w:tr>
      <w:tr>
        <w:trPr>
          <w:cantSplit/>
        </w:trPr>
        <w:tc>
          <w:tcPr>
            <w:tcW w:type="dxa" w:w="1701"/>
            <w:vAlign w:val="center"/>
          </w:tcPr>
          <w:p>
            <w:pPr>
              <w:spacing w:after="0"/>
              <w:jc w:val="center"/>
            </w:pPr>
            <w:r>
              <w:rPr>
                <w:rFonts w:ascii="游ゴシック" w:hAnsi="游ゴシック" w:eastAsia="游ゴシック"/>
                <w:b/>
                <w:sz w:val="18"/>
              </w:rPr>
              <w:t>決定済</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取扱いが決まっており記述しない</w:t>
            </w:r>
          </w:p>
        </w:tc>
      </w:tr>
    </w:tbl>
    <w:p>
      <w:pPr>
        <w:keepNext/>
        <w:spacing w:before="180" w:after="60"/>
      </w:pPr>
      <w:r>
        <w:rPr>
          <w:rFonts w:ascii="游ゴシック" w:hAnsi="游ゴシック" w:eastAsia="游ゴシック"/>
          <w:b/>
          <w:sz w:val="22"/>
        </w:rPr>
        <w:t>公表データにより解消した留保と、測定できた留保</w:t>
      </w:r>
    </w:p>
    <w:p>
      <w:pPr>
        <w:spacing w:after="80"/>
      </w:pPr>
      <w:r>
        <w:rPr>
          <w:rFonts w:ascii="游ゴシック" w:hAnsi="游ゴシック" w:eastAsia="游ゴシック"/>
          <w:b w:val="0"/>
          <w:sz w:val="21"/>
        </w:rPr>
        <w:t>介護サービス情報公表システム・国勢調査・北海道の名簿・年報（令和7年度）の要介護度別の明細により、留保の一部を解消し、又は大きさを測定しました。</w:t>
      </w:r>
    </w:p>
    <w:p>
      <w:pPr>
        <w:keepNext/>
        <w:spacing w:before="160" w:after="40"/>
      </w:pPr>
      <w:r>
        <w:rPr>
          <w:rFonts w:ascii="游ゴシック" w:hAnsi="游ゴシック" w:eastAsia="游ゴシック"/>
          <w:b/>
          <w:sz w:val="20"/>
        </w:rPr>
        <w:t>表8　留保の解消と測定の状況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状態</w:t>
            </w:r>
          </w:p>
        </w:tc>
        <w:tc>
          <w:tcPr>
            <w:tcW w:type="dxa" w:w="1247"/>
            <w:shd w:val="clear" w:color="auto" w:fill="1F3864"/>
            <w:vAlign w:val="center"/>
          </w:tcPr>
          <w:p>
            <w:pPr>
              <w:spacing w:after="0"/>
              <w:jc w:val="center"/>
            </w:pPr>
            <w:r>
              <w:rPr>
                <w:rFonts w:ascii="游ゴシック" w:hAnsi="游ゴシック" w:eastAsia="游ゴシック"/>
                <w:b/>
                <w:color w:val="FFFFFF"/>
                <w:sz w:val="18"/>
              </w:rPr>
              <w:t>件数</w:t>
            </w:r>
          </w:p>
        </w:tc>
        <w:tc>
          <w:tcPr>
            <w:tcW w:type="dxa" w:w="5102"/>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1701"/>
            <w:vAlign w:val="center"/>
          </w:tcPr>
          <w:p>
            <w:pPr>
              <w:spacing w:after="0"/>
              <w:jc w:val="center"/>
            </w:pPr>
            <w:r>
              <w:rPr>
                <w:rFonts w:ascii="游ゴシック" w:hAnsi="游ゴシック" w:eastAsia="游ゴシック"/>
                <w:b/>
                <w:sz w:val="18"/>
              </w:rPr>
              <w:t>解消</w:t>
            </w:r>
          </w:p>
        </w:tc>
        <w:tc>
          <w:tcPr>
            <w:tcW w:type="dxa" w:w="1247"/>
            <w:vAlign w:val="center"/>
          </w:tcPr>
          <w:p>
            <w:pPr>
              <w:spacing w:after="0"/>
              <w:jc w:val="center"/>
            </w:pPr>
            <w:r>
              <w:rPr>
                <w:rFonts w:ascii="游ゴシック" w:hAnsi="游ゴシック" w:eastAsia="游ゴシック"/>
                <w:b w:val="0"/>
                <w:sz w:val="18"/>
              </w:rPr>
              <w:t>6件</w:t>
            </w:r>
          </w:p>
        </w:tc>
        <w:tc>
          <w:tcPr>
            <w:tcW w:type="dxa" w:w="5102"/>
            <w:vAlign w:val="center"/>
          </w:tcPr>
          <w:p>
            <w:pPr>
              <w:spacing w:after="0"/>
            </w:pPr>
            <w:r>
              <w:rPr>
                <w:rFonts w:ascii="游ゴシック" w:hAnsi="游ゴシック" w:eastAsia="游ゴシック"/>
                <w:b w:val="0"/>
                <w:sz w:val="18"/>
              </w:rPr>
              <w:t>公表データにより母数又は数値が確定した</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測定済み</w:t>
            </w:r>
          </w:p>
        </w:tc>
        <w:tc>
          <w:tcPr>
            <w:tcW w:type="dxa" w:w="1247"/>
            <w:shd w:val="clear" w:color="auto" w:fill="F2F5FA"/>
            <w:vAlign w:val="center"/>
          </w:tcPr>
          <w:p>
            <w:pPr>
              <w:spacing w:after="0"/>
              <w:jc w:val="center"/>
            </w:pPr>
            <w:r>
              <w:rPr>
                <w:rFonts w:ascii="游ゴシック" w:hAnsi="游ゴシック" w:eastAsia="游ゴシック"/>
                <w:b w:val="0"/>
                <w:sz w:val="18"/>
              </w:rPr>
              <w:t>3件</w:t>
            </w:r>
          </w:p>
        </w:tc>
        <w:tc>
          <w:tcPr>
            <w:tcW w:type="dxa" w:w="5102"/>
            <w:shd w:val="clear" w:color="auto" w:fill="F2F5FA"/>
            <w:vAlign w:val="center"/>
          </w:tcPr>
          <w:p>
            <w:pPr>
              <w:spacing w:after="0"/>
            </w:pPr>
            <w:r>
              <w:rPr>
                <w:rFonts w:ascii="游ゴシック" w:hAnsi="游ゴシック" w:eastAsia="游ゴシック"/>
                <w:b w:val="0"/>
                <w:sz w:val="18"/>
              </w:rPr>
              <w:t>留保そのものは残るが、大きさと向きを数値で示せる</w:t>
            </w:r>
          </w:p>
        </w:tc>
      </w:tr>
      <w:tr>
        <w:trPr>
          <w:cantSplit/>
        </w:trPr>
        <w:tc>
          <w:tcPr>
            <w:tcW w:type="dxa" w:w="1701"/>
            <w:vAlign w:val="center"/>
          </w:tcPr>
          <w:p>
            <w:pPr>
              <w:spacing w:after="0"/>
              <w:jc w:val="center"/>
            </w:pPr>
            <w:r>
              <w:rPr>
                <w:rFonts w:ascii="游ゴシック" w:hAnsi="游ゴシック" w:eastAsia="游ゴシック"/>
                <w:b/>
                <w:sz w:val="18"/>
              </w:rPr>
              <w:t>未解消</w:t>
            </w:r>
          </w:p>
        </w:tc>
        <w:tc>
          <w:tcPr>
            <w:tcW w:type="dxa" w:w="1247"/>
            <w:vAlign w:val="center"/>
          </w:tcPr>
          <w:p>
            <w:pPr>
              <w:spacing w:after="0"/>
              <w:jc w:val="center"/>
            </w:pPr>
            <w:r>
              <w:rPr>
                <w:rFonts w:ascii="游ゴシック" w:hAnsi="游ゴシック" w:eastAsia="游ゴシック"/>
                <w:b w:val="0"/>
                <w:sz w:val="18"/>
              </w:rPr>
              <w:t>2件</w:t>
            </w:r>
          </w:p>
        </w:tc>
        <w:tc>
          <w:tcPr>
            <w:tcW w:type="dxa" w:w="5102"/>
            <w:vAlign w:val="center"/>
          </w:tcPr>
          <w:p>
            <w:pPr>
              <w:spacing w:after="0"/>
            </w:pPr>
            <w:r>
              <w:rPr>
                <w:rFonts w:ascii="游ゴシック" w:hAnsi="游ゴシック" w:eastAsia="游ゴシック"/>
                <w:b w:val="0"/>
                <w:sz w:val="18"/>
              </w:rPr>
              <w:t>解消できない</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一部解消</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一部のサービスのみ解消した</w:t>
            </w:r>
          </w:p>
        </w:tc>
      </w:tr>
      <w:tr>
        <w:trPr>
          <w:cantSplit/>
        </w:trPr>
        <w:tc>
          <w:tcPr>
            <w:tcW w:type="dxa" w:w="1701"/>
            <w:vAlign w:val="center"/>
          </w:tcPr>
          <w:p>
            <w:pPr>
              <w:spacing w:after="0"/>
              <w:jc w:val="center"/>
            </w:pPr>
            <w:r>
              <w:rPr>
                <w:rFonts w:ascii="游ゴシック" w:hAnsi="游ゴシック" w:eastAsia="游ゴシック"/>
                <w:b/>
                <w:sz w:val="18"/>
              </w:rPr>
              <w:t>公表待ち</w:t>
            </w:r>
          </w:p>
        </w:tc>
        <w:tc>
          <w:tcPr>
            <w:tcW w:type="dxa" w:w="1247"/>
            <w:vAlign w:val="center"/>
          </w:tcPr>
          <w:p>
            <w:pPr>
              <w:spacing w:after="0"/>
              <w:jc w:val="center"/>
            </w:pPr>
            <w:r>
              <w:rPr>
                <w:rFonts w:ascii="游ゴシック" w:hAnsi="游ゴシック" w:eastAsia="游ゴシック"/>
                <w:b w:val="0"/>
                <w:sz w:val="18"/>
              </w:rPr>
              <w:t>1件</w:t>
            </w:r>
          </w:p>
        </w:tc>
        <w:tc>
          <w:tcPr>
            <w:tcW w:type="dxa" w:w="5102"/>
            <w:vAlign w:val="center"/>
          </w:tcPr>
          <w:p>
            <w:pPr>
              <w:spacing w:after="0"/>
            </w:pPr>
            <w:r>
              <w:rPr>
                <w:rFonts w:ascii="游ゴシック" w:hAnsi="游ゴシック" w:eastAsia="游ゴシック"/>
                <w:b w:val="0"/>
                <w:sz w:val="18"/>
              </w:rPr>
              <w:t>公表を待つ</w:t>
            </w:r>
          </w:p>
        </w:tc>
      </w:tr>
      <w:tr>
        <w:trPr>
          <w:cantSplit/>
        </w:trPr>
        <w:tc>
          <w:tcPr>
            <w:tcW w:type="dxa" w:w="1701"/>
            <w:shd w:val="clear" w:color="auto" w:fill="F2F5FA"/>
            <w:vAlign w:val="center"/>
          </w:tcPr>
          <w:p>
            <w:pPr>
              <w:spacing w:after="0"/>
              <w:jc w:val="center"/>
            </w:pPr>
            <w:r>
              <w:rPr>
                <w:rFonts w:ascii="游ゴシック" w:hAnsi="游ゴシック" w:eastAsia="游ゴシック"/>
                <w:b/>
                <w:sz w:val="18"/>
              </w:rPr>
              <w:t>決定待ち</w:t>
            </w:r>
          </w:p>
        </w:tc>
        <w:tc>
          <w:tcPr>
            <w:tcW w:type="dxa" w:w="1247"/>
            <w:shd w:val="clear" w:color="auto" w:fill="F2F5FA"/>
            <w:vAlign w:val="center"/>
          </w:tcPr>
          <w:p>
            <w:pPr>
              <w:spacing w:after="0"/>
              <w:jc w:val="center"/>
            </w:pPr>
            <w:r>
              <w:rPr>
                <w:rFonts w:ascii="游ゴシック" w:hAnsi="游ゴシック" w:eastAsia="游ゴシック"/>
                <w:b w:val="0"/>
                <w:sz w:val="18"/>
              </w:rPr>
              <w:t>1件</w:t>
            </w:r>
          </w:p>
        </w:tc>
        <w:tc>
          <w:tcPr>
            <w:tcW w:type="dxa" w:w="5102"/>
            <w:shd w:val="clear" w:color="auto" w:fill="F2F5FA"/>
            <w:vAlign w:val="center"/>
          </w:tcPr>
          <w:p>
            <w:pPr>
              <w:spacing w:after="0"/>
            </w:pPr>
            <w:r>
              <w:rPr>
                <w:rFonts w:ascii="游ゴシック" w:hAnsi="游ゴシック" w:eastAsia="游ゴシック"/>
                <w:b w:val="0"/>
                <w:sz w:val="18"/>
              </w:rPr>
              <w:t>取扱いの決定を待つ</w:t>
            </w:r>
          </w:p>
        </w:tc>
      </w:tr>
    </w:tbl>
    <w:p>
      <w:pPr>
        <w:spacing w:after="80"/>
      </w:pPr>
      <w:r>
        <w:rPr>
          <w:rFonts w:ascii="游ゴシック" w:hAnsi="游ゴシック" w:eastAsia="游ゴシック"/>
          <w:b/>
          <w:sz w:val="21"/>
        </w:rPr>
        <w:t>「測定済み」は令和8年9月に新たに設けた区分です。</w:t>
      </w:r>
      <w:r>
        <w:rPr>
          <w:rFonts w:ascii="游ゴシック" w:hAnsi="游ゴシック" w:eastAsia="游ゴシック"/>
          <w:b w:val="0"/>
          <w:sz w:val="21"/>
        </w:rPr>
        <w:t>留保そのものは残りますが、どちらへどれだけ偏っているかを数値で示せるようになったものです。調査①の代表性（χ²＝43.5）と、在籍と受給の差がこれに当たります。</w:t>
      </w:r>
    </w:p>
    <w:p>
      <w:pPr>
        <w:ind w:left="227"/>
      </w:pPr>
      <w:r>
        <w:rPr>
          <w:rFonts w:ascii="游ゴシック" w:hAnsi="游ゴシック" w:eastAsia="游ゴシック"/>
          <w:b w:val="0"/>
          <w:sz w:val="18"/>
        </w:rPr>
        <w:t>※ 最も重い留保は、調査①の利用者票が課題のある利用者を抽出する設計であることです（留保No.2・No.7）。母集団が「在宅で困難を抱える方」であることを記述のたびに明示します。</w:t>
      </w:r>
    </w:p>
    <w:p>
      <w:pPr>
        <w:keepNext/>
        <w:spacing w:before="280" w:after="120"/>
      </w:pPr>
      <w:r>
        <w:rPr>
          <w:rFonts w:ascii="游ゴシック" w:hAnsi="游ゴシック" w:eastAsia="游ゴシック"/>
          <w:b/>
          <w:color w:val="1F3864"/>
          <w:sz w:val="26"/>
        </w:rPr>
        <w:t>第7節　ご判断をお願いする事項</w:t>
      </w:r>
    </w:p>
    <w:p>
      <w:pPr>
        <w:spacing w:after="80"/>
      </w:pPr>
      <w:r>
        <w:rPr>
          <w:rFonts w:ascii="游ゴシック" w:hAnsi="游ゴシック" w:eastAsia="游ゴシック"/>
          <w:b w:val="0"/>
          <w:sz w:val="21"/>
        </w:rPr>
        <w:t>アンケート分析で残っているのは、点検事項の取扱いのご決定1件です。</w:t>
      </w:r>
      <w:r>
        <w:rPr>
          <w:rFonts w:ascii="游ゴシック" w:hAnsi="游ゴシック" w:eastAsia="游ゴシック"/>
          <w:b/>
          <w:sz w:val="21"/>
        </w:rPr>
        <w:t>この1件により、所見9件の反映と成果品の確定値化が動きます。</w:t>
      </w:r>
    </w:p>
    <w:p>
      <w:pPr>
        <w:keepNext/>
        <w:spacing w:before="160" w:after="40"/>
      </w:pPr>
      <w:r>
        <w:rPr>
          <w:rFonts w:ascii="游ゴシック" w:hAnsi="游ゴシック" w:eastAsia="游ゴシック"/>
          <w:b/>
          <w:sz w:val="20"/>
        </w:rPr>
        <w:t>表9　ご判断をお願いする事項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1928"/>
            <w:shd w:val="clear" w:color="auto" w:fill="1F3864"/>
            <w:vAlign w:val="center"/>
          </w:tcPr>
          <w:p>
            <w:pPr>
              <w:spacing w:after="0"/>
              <w:jc w:val="center"/>
            </w:pPr>
            <w:r>
              <w:rPr>
                <w:rFonts w:ascii="游ゴシック" w:hAnsi="游ゴシック" w:eastAsia="游ゴシック"/>
                <w:b/>
                <w:color w:val="FFFFFF"/>
                <w:sz w:val="18"/>
              </w:rPr>
              <w:t>件名</w:t>
            </w:r>
          </w:p>
        </w:tc>
        <w:tc>
          <w:tcPr>
            <w:tcW w:type="dxa" w:w="3628"/>
            <w:shd w:val="clear" w:color="auto" w:fill="1F3864"/>
            <w:vAlign w:val="center"/>
          </w:tcPr>
          <w:p>
            <w:pPr>
              <w:spacing w:after="0"/>
              <w:jc w:val="center"/>
            </w:pPr>
            <w:r>
              <w:rPr>
                <w:rFonts w:ascii="游ゴシック" w:hAnsi="游ゴシック" w:eastAsia="游ゴシック"/>
                <w:b/>
                <w:color w:val="FFFFFF"/>
                <w:sz w:val="18"/>
              </w:rPr>
              <w:t>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決着しない場合の扱い</w:t>
            </w:r>
          </w:p>
        </w:tc>
      </w:tr>
      <w:tr>
        <w:trPr>
          <w:cantSplit/>
        </w:trPr>
        <w:tc>
          <w:tcPr>
            <w:tcW w:type="dxa" w:w="1134"/>
            <w:vAlign w:val="center"/>
          </w:tcPr>
          <w:p>
            <w:pPr>
              <w:spacing w:after="0"/>
            </w:pPr>
            <w:r>
              <w:rPr>
                <w:rFonts w:ascii="游ゴシック" w:hAnsi="游ゴシック" w:eastAsia="游ゴシック"/>
                <w:b/>
                <w:sz w:val="18"/>
              </w:rPr>
              <w:t>No.8</w:t>
            </w:r>
          </w:p>
        </w:tc>
        <w:tc>
          <w:tcPr>
            <w:tcW w:type="dxa" w:w="1928"/>
            <w:vAlign w:val="center"/>
          </w:tcPr>
          <w:p>
            <w:pPr>
              <w:spacing w:after="0"/>
            </w:pPr>
            <w:r>
              <w:rPr>
                <w:rFonts w:ascii="游ゴシック" w:hAnsi="游ゴシック" w:eastAsia="游ゴシック"/>
                <w:b w:val="0"/>
                <w:sz w:val="18"/>
              </w:rPr>
              <w:t>3調査の点検事項の重大6件の取扱い</w:t>
            </w:r>
          </w:p>
        </w:tc>
        <w:tc>
          <w:tcPr>
            <w:tcW w:type="dxa" w:w="3628"/>
            <w:vAlign w:val="center"/>
          </w:tcPr>
          <w:p>
            <w:pPr>
              <w:spacing w:after="0"/>
            </w:pPr>
            <w:r>
              <w:rPr>
                <w:rFonts w:ascii="游ゴシック" w:hAnsi="游ゴシック" w:eastAsia="游ゴシック"/>
                <w:b w:val="0"/>
                <w:sz w:val="18"/>
              </w:rPr>
              <w:t>①職員数の二重計上（No.1）②利用者票の回答の偏り（No.2）③所在地区の記入形式（No.3）④老健・通所リハと見える化の乖離（No.31）⑤区域内最大の特定施設の未回答（No.32）⑥特別養護老人ホームの待機者の重複（No.13）。いずれも計画本文へ反映する数値の確定に必要である</w:t>
            </w:r>
          </w:p>
        </w:tc>
        <w:tc>
          <w:tcPr>
            <w:tcW w:type="dxa" w:w="2835"/>
            <w:vAlign w:val="center"/>
          </w:tcPr>
          <w:p>
            <w:pPr>
              <w:spacing w:after="0"/>
            </w:pPr>
            <w:r>
              <w:rPr>
                <w:rFonts w:ascii="游ゴシック" w:hAnsi="游ゴシック" w:eastAsia="游ゴシック"/>
                <w:b w:val="0"/>
                <w:sz w:val="18"/>
              </w:rPr>
              <w:t>受託者の案（介護職員348人・偏りを明記して実数で記述するなど）により記述し、その旨を注記する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No.9</w:t>
            </w:r>
          </w:p>
        </w:tc>
        <w:tc>
          <w:tcPr>
            <w:tcW w:type="dxa" w:w="1928"/>
            <w:shd w:val="clear" w:color="auto" w:fill="F2F5FA"/>
            <w:vAlign w:val="center"/>
          </w:tcPr>
          <w:p>
            <w:pPr>
              <w:spacing w:after="0"/>
            </w:pPr>
            <w:r>
              <w:rPr>
                <w:rFonts w:ascii="游ゴシック" w:hAnsi="游ゴシック" w:eastAsia="游ゴシック"/>
                <w:b w:val="0"/>
                <w:sz w:val="18"/>
              </w:rPr>
              <w:t>地区の定義（小学校区とするか）</w:t>
            </w:r>
          </w:p>
        </w:tc>
        <w:tc>
          <w:tcPr>
            <w:tcW w:type="dxa" w:w="3628"/>
            <w:shd w:val="clear" w:color="auto" w:fill="F2F5FA"/>
            <w:vAlign w:val="center"/>
          </w:tcPr>
          <w:p>
            <w:pPr>
              <w:spacing w:after="0"/>
            </w:pPr>
            <w:r>
              <w:rPr>
                <w:rFonts w:ascii="游ゴシック" w:hAnsi="游ゴシック" w:eastAsia="游ゴシック"/>
                <w:b w:val="0"/>
                <w:sz w:val="18"/>
              </w:rPr>
              <w:t>健康とくらしの調査は小学校区12地区別に集計できる。計画の日常生活圏域との対応が定まらない</w:t>
            </w:r>
          </w:p>
        </w:tc>
        <w:tc>
          <w:tcPr>
            <w:tcW w:type="dxa" w:w="2835"/>
            <w:shd w:val="clear" w:color="auto" w:fill="F2F5FA"/>
            <w:vAlign w:val="center"/>
          </w:tcPr>
          <w:p>
            <w:pPr>
              <w:spacing w:after="0"/>
            </w:pPr>
            <w:r>
              <w:rPr>
                <w:rFonts w:ascii="游ゴシック" w:hAnsi="游ゴシック" w:eastAsia="游ゴシック"/>
                <w:b w:val="0"/>
                <w:sz w:val="18"/>
              </w:rPr>
              <w:t>［要確認］のまま残し、地区別の記述は調査の区分のままとする</w:t>
            </w:r>
          </w:p>
        </w:tc>
      </w:tr>
      <w:tr>
        <w:trPr>
          <w:cantSplit/>
        </w:trPr>
        <w:tc>
          <w:tcPr>
            <w:tcW w:type="dxa" w:w="1134"/>
            <w:vAlign w:val="center"/>
          </w:tcPr>
          <w:p>
            <w:pPr>
              <w:spacing w:after="0"/>
            </w:pPr>
            <w:r>
              <w:rPr>
                <w:rFonts w:ascii="游ゴシック" w:hAnsi="游ゴシック" w:eastAsia="游ゴシック"/>
                <w:b/>
                <w:sz w:val="18"/>
              </w:rPr>
              <w:t>No.139</w:t>
            </w:r>
          </w:p>
        </w:tc>
        <w:tc>
          <w:tcPr>
            <w:tcW w:type="dxa" w:w="1928"/>
            <w:vAlign w:val="center"/>
          </w:tcPr>
          <w:p>
            <w:pPr>
              <w:spacing w:after="0"/>
            </w:pPr>
            <w:r>
              <w:rPr>
                <w:rFonts w:ascii="游ゴシック" w:hAnsi="游ゴシック" w:eastAsia="游ゴシック"/>
                <w:b w:val="0"/>
                <w:sz w:val="18"/>
              </w:rPr>
              <w:t>健康とくらしの調査の個票の再提供の要否</w:t>
            </w:r>
          </w:p>
        </w:tc>
        <w:tc>
          <w:tcPr>
            <w:tcW w:type="dxa" w:w="3628"/>
            <w:vAlign w:val="center"/>
          </w:tcPr>
          <w:p>
            <w:pPr>
              <w:spacing w:after="0"/>
            </w:pPr>
            <w:r>
              <w:rPr>
                <w:rFonts w:ascii="游ゴシック" w:hAnsi="游ゴシック" w:eastAsia="游ゴシック"/>
                <w:b w:val="0"/>
                <w:sz w:val="18"/>
              </w:rPr>
              <w:t>個票はご指示により格納しておらず作業領域にも残っていない。成果品は収録済みで内容は確定しており、現時点で不足はない</w:t>
            </w:r>
          </w:p>
        </w:tc>
        <w:tc>
          <w:tcPr>
            <w:tcW w:type="dxa" w:w="2835"/>
            <w:vAlign w:val="center"/>
          </w:tcPr>
          <w:p>
            <w:pPr>
              <w:spacing w:after="0"/>
            </w:pPr>
            <w:r>
              <w:rPr>
                <w:rFonts w:ascii="游ゴシック" w:hAnsi="游ゴシック" w:eastAsia="游ゴシック"/>
                <w:b w:val="0"/>
                <w:sz w:val="18"/>
              </w:rPr>
              <w:t>再提供は依頼しない。作り直しが要るときだけ依頼する</w:t>
            </w:r>
          </w:p>
        </w:tc>
      </w:tr>
    </w:tbl>
    <w:p>
      <w:pPr>
        <w:keepNext/>
        <w:spacing w:before="280" w:after="120"/>
      </w:pPr>
      <w:r>
        <w:rPr>
          <w:rFonts w:ascii="游ゴシック" w:hAnsi="游ゴシック" w:eastAsia="游ゴシック"/>
          <w:b/>
          <w:color w:val="1F3864"/>
          <w:sz w:val="26"/>
        </w:rPr>
        <w:t>第8節　成果品</w:t>
      </w:r>
    </w:p>
    <w:p>
      <w:pPr>
        <w:keepNext/>
        <w:spacing w:before="160" w:after="40"/>
      </w:pPr>
      <w:r>
        <w:rPr>
          <w:rFonts w:ascii="游ゴシック" w:hAnsi="游ゴシック" w:eastAsia="游ゴシック"/>
          <w:b/>
          <w:sz w:val="20"/>
        </w:rPr>
        <w:t>表10　アンケート分析に係る成果品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4649"/>
            <w:shd w:val="clear" w:color="auto" w:fill="1F3864"/>
            <w:vAlign w:val="center"/>
          </w:tcPr>
          <w:p>
            <w:pPr>
              <w:spacing w:after="0"/>
              <w:jc w:val="center"/>
            </w:pPr>
            <w:r>
              <w:rPr>
                <w:rFonts w:ascii="游ゴシック" w:hAnsi="游ゴシック" w:eastAsia="游ゴシック"/>
                <w:b/>
                <w:color w:val="FFFFFF"/>
                <w:sz w:val="18"/>
              </w:rPr>
              <w:t>内容</w:t>
            </w:r>
          </w:p>
        </w:tc>
      </w:tr>
      <w:tr>
        <w:trPr>
          <w:cantSplit/>
        </w:trPr>
        <w:tc>
          <w:tcPr>
            <w:tcW w:type="dxa" w:w="2948"/>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4649"/>
            <w:vAlign w:val="center"/>
          </w:tcPr>
          <w:p>
            <w:pPr>
              <w:spacing w:after="0"/>
            </w:pPr>
            <w:r>
              <w:rPr>
                <w:rFonts w:ascii="游ゴシック" w:hAnsi="游ゴシック" w:eastAsia="游ゴシック"/>
                <w:b w:val="0"/>
                <w:sz w:val="18"/>
              </w:rPr>
              <w:t>4調査の結果、供給構造の分析、限界と留保、主要所見と反映、横断クロス集計を行わないことの整理、公表データによる補完</w:t>
            </w:r>
          </w:p>
        </w:tc>
      </w:tr>
      <w:tr>
        <w:trPr>
          <w:cantSplit/>
        </w:trPr>
        <w:tc>
          <w:tcPr>
            <w:tcW w:type="dxa" w:w="2948"/>
            <w:shd w:val="clear" w:color="auto" w:fill="F2F5FA"/>
            <w:vAlign w:val="center"/>
          </w:tcPr>
          <w:p>
            <w:pPr>
              <w:spacing w:after="0"/>
            </w:pPr>
            <w:r>
              <w:rPr>
                <w:rFonts w:ascii="游ゴシック" w:hAnsi="游ゴシック" w:eastAsia="游ゴシック"/>
                <w:b/>
                <w:sz w:val="18"/>
              </w:rPr>
              <w:t>実施済み調査 結果報告書（Word）</w:t>
            </w:r>
          </w:p>
        </w:tc>
        <w:tc>
          <w:tcPr>
            <w:tcW w:type="dxa" w:w="1361"/>
            <w:shd w:val="clear" w:color="auto" w:fill="F2F5FA"/>
            <w:vAlign w:val="center"/>
          </w:tcPr>
          <w:p>
            <w:pPr>
              <w:spacing w:after="0"/>
            </w:pPr>
            <w:r>
              <w:rPr>
                <w:rFonts w:ascii="游ゴシック" w:hAnsi="游ゴシック" w:eastAsia="游ゴシック"/>
                <w:b w:val="0"/>
                <w:sz w:val="18"/>
              </w:rPr>
              <w:t>発注者様式</w:t>
            </w:r>
          </w:p>
        </w:tc>
        <w:tc>
          <w:tcPr>
            <w:tcW w:type="dxa" w:w="4649"/>
            <w:shd w:val="clear" w:color="auto" w:fill="F2F5FA"/>
            <w:vAlign w:val="center"/>
          </w:tcPr>
          <w:p>
            <w:pPr>
              <w:spacing w:after="0"/>
            </w:pPr>
            <w:r>
              <w:rPr>
                <w:rFonts w:ascii="游ゴシック" w:hAnsi="游ゴシック" w:eastAsia="游ゴシック"/>
                <w:b w:val="0"/>
                <w:sz w:val="18"/>
              </w:rPr>
              <w:t>上記を発注者からご提示のあった様式に合わせたもの</w:t>
            </w:r>
          </w:p>
        </w:tc>
      </w:tr>
      <w:tr>
        <w:trPr>
          <w:cantSplit/>
        </w:trPr>
        <w:tc>
          <w:tcPr>
            <w:tcW w:type="dxa" w:w="2948"/>
            <w:vAlign w:val="center"/>
          </w:tcPr>
          <w:p>
            <w:pPr>
              <w:spacing w:after="0"/>
            </w:pPr>
            <w:r>
              <w:rPr>
                <w:rFonts w:ascii="游ゴシック" w:hAnsi="游ゴシック" w:eastAsia="游ゴシック"/>
                <w:b/>
                <w:sz w:val="18"/>
              </w:rPr>
              <w:t>調査クロス集計・分析</w:t>
            </w:r>
          </w:p>
        </w:tc>
        <w:tc>
          <w:tcPr>
            <w:tcW w:type="dxa" w:w="1361"/>
            <w:vAlign w:val="center"/>
          </w:tcPr>
          <w:p>
            <w:pPr>
              <w:spacing w:after="0"/>
            </w:pPr>
            <w:r>
              <w:rPr>
                <w:rFonts w:ascii="游ゴシック" w:hAnsi="游ゴシック" w:eastAsia="游ゴシック"/>
                <w:b w:val="0"/>
                <w:sz w:val="18"/>
              </w:rPr>
              <w:t>24シート</w:t>
            </w:r>
          </w:p>
        </w:tc>
        <w:tc>
          <w:tcPr>
            <w:tcW w:type="dxa" w:w="4649"/>
            <w:vAlign w:val="center"/>
          </w:tcPr>
          <w:p>
            <w:pPr>
              <w:spacing w:after="0"/>
            </w:pPr>
            <w:r>
              <w:rPr>
                <w:rFonts w:ascii="游ゴシック" w:hAnsi="游ゴシック" w:eastAsia="游ゴシック"/>
                <w:b w:val="0"/>
                <w:sz w:val="18"/>
              </w:rPr>
              <w:t>健康とくらしの調査（個票4,729票）の集計・分析</w:t>
            </w:r>
          </w:p>
        </w:tc>
      </w:tr>
      <w:tr>
        <w:trPr>
          <w:cantSplit/>
        </w:trPr>
        <w:tc>
          <w:tcPr>
            <w:tcW w:type="dxa" w:w="2948"/>
            <w:shd w:val="clear" w:color="auto" w:fill="F2F5FA"/>
            <w:vAlign w:val="center"/>
          </w:tcPr>
          <w:p>
            <w:pPr>
              <w:spacing w:after="0"/>
            </w:pPr>
            <w:r>
              <w:rPr>
                <w:rFonts w:ascii="游ゴシック" w:hAnsi="游ゴシック" w:eastAsia="游ゴシック"/>
                <w:b/>
                <w:sz w:val="18"/>
              </w:rPr>
              <w:t>調査結果と年報実績の突合クロス集計</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本報告 第4節の測定の記録</w:t>
            </w:r>
          </w:p>
        </w:tc>
      </w:tr>
      <w:tr>
        <w:trPr>
          <w:cantSplit/>
        </w:trPr>
        <w:tc>
          <w:tcPr>
            <w:tcW w:type="dxa" w:w="2948"/>
            <w:vAlign w:val="center"/>
          </w:tcPr>
          <w:p>
            <w:pPr>
              <w:spacing w:after="0"/>
            </w:pPr>
            <w:r>
              <w:rPr>
                <w:rFonts w:ascii="游ゴシック" w:hAnsi="游ゴシック" w:eastAsia="游ゴシック"/>
                <w:b/>
                <w:sz w:val="18"/>
              </w:rPr>
              <w:t>実施済み3調査の受領点検と集計</w:t>
            </w:r>
          </w:p>
        </w:tc>
        <w:tc>
          <w:tcPr>
            <w:tcW w:type="dxa" w:w="1361"/>
            <w:vAlign w:val="center"/>
          </w:tcPr>
          <w:p>
            <w:pPr>
              <w:spacing w:after="0"/>
            </w:pPr>
            <w:r>
              <w:rPr>
                <w:rFonts w:ascii="游ゴシック" w:hAnsi="游ゴシック" w:eastAsia="游ゴシック"/>
                <w:b w:val="0"/>
                <w:sz w:val="18"/>
              </w:rPr>
              <w:t>11シート</w:t>
            </w:r>
          </w:p>
        </w:tc>
        <w:tc>
          <w:tcPr>
            <w:tcW w:type="dxa" w:w="4649"/>
            <w:vAlign w:val="center"/>
          </w:tcPr>
          <w:p>
            <w:pPr>
              <w:spacing w:after="0"/>
            </w:pPr>
            <w:r>
              <w:rPr>
                <w:rFonts w:ascii="游ゴシック" w:hAnsi="游ゴシック" w:eastAsia="游ゴシック"/>
                <w:b w:val="0"/>
                <w:sz w:val="18"/>
              </w:rPr>
              <w:t>①②③の受領点検と集計。点検事項35件</w:t>
            </w:r>
          </w:p>
        </w:tc>
      </w:tr>
      <w:tr>
        <w:trPr>
          <w:cantSplit/>
        </w:trPr>
        <w:tc>
          <w:tcPr>
            <w:tcW w:type="dxa" w:w="2948"/>
            <w:shd w:val="clear" w:color="auto" w:fill="F2F5FA"/>
            <w:vAlign w:val="center"/>
          </w:tcPr>
          <w:p>
            <w:pPr>
              <w:spacing w:after="0"/>
            </w:pPr>
            <w:r>
              <w:rPr>
                <w:rFonts w:ascii="游ゴシック" w:hAnsi="游ゴシック" w:eastAsia="游ゴシック"/>
                <w:b/>
                <w:sz w:val="18"/>
              </w:rPr>
              <w:t>9月作業_アンケート分析の作業状況</w:t>
            </w:r>
          </w:p>
        </w:tc>
        <w:tc>
          <w:tcPr>
            <w:tcW w:type="dxa" w:w="1361"/>
            <w:shd w:val="clear" w:color="auto" w:fill="F2F5FA"/>
            <w:vAlign w:val="center"/>
          </w:tcPr>
          <w:p>
            <w:pPr>
              <w:spacing w:after="0"/>
            </w:pPr>
            <w:r>
              <w:rPr>
                <w:rFonts w:ascii="游ゴシック" w:hAnsi="游ゴシック" w:eastAsia="游ゴシック"/>
                <w:b w:val="0"/>
                <w:sz w:val="18"/>
              </w:rPr>
              <w:t>10シート</w:t>
            </w:r>
          </w:p>
        </w:tc>
        <w:tc>
          <w:tcPr>
            <w:tcW w:type="dxa" w:w="4649"/>
            <w:shd w:val="clear" w:color="auto" w:fill="F2F5FA"/>
            <w:vAlign w:val="center"/>
          </w:tcPr>
          <w:p>
            <w:pPr>
              <w:spacing w:after="0"/>
            </w:pPr>
            <w:r>
              <w:rPr>
                <w:rFonts w:ascii="游ゴシック" w:hAnsi="游ゴシック" w:eastAsia="游ゴシック"/>
                <w:b w:val="0"/>
                <w:sz w:val="18"/>
              </w:rPr>
              <w:t>令和8年9月の作業工程</w:t>
            </w:r>
          </w:p>
        </w:tc>
      </w:tr>
      <w:tr>
        <w:trPr>
          <w:cantSplit/>
        </w:trPr>
        <w:tc>
          <w:tcPr>
            <w:tcW w:type="dxa" w:w="2948"/>
            <w:vAlign w:val="center"/>
          </w:tcPr>
          <w:p>
            <w:pPr>
              <w:spacing w:after="0"/>
            </w:pPr>
            <w:r>
              <w:rPr>
                <w:rFonts w:ascii="游ゴシック" w:hAnsi="游ゴシック" w:eastAsia="游ゴシック"/>
                <w:b/>
                <w:sz w:val="18"/>
              </w:rPr>
              <w:t>本報告書</w:t>
            </w:r>
          </w:p>
        </w:tc>
        <w:tc>
          <w:tcPr>
            <w:tcW w:type="dxa" w:w="1361"/>
            <w:vAlign w:val="center"/>
          </w:tcPr>
          <w:p>
            <w:pPr>
              <w:spacing w:after="0"/>
            </w:pPr>
            <w:r>
              <w:rPr>
                <w:rFonts w:ascii="游ゴシック" w:hAnsi="游ゴシック" w:eastAsia="游ゴシック"/>
                <w:b w:val="0"/>
                <w:sz w:val="18"/>
              </w:rPr>
              <w:t>全8節</w:t>
            </w:r>
          </w:p>
        </w:tc>
        <w:tc>
          <w:tcPr>
            <w:tcW w:type="dxa" w:w="4649"/>
            <w:vAlign w:val="center"/>
          </w:tcPr>
          <w:p>
            <w:pPr>
              <w:spacing w:after="0"/>
            </w:pPr>
            <w:r>
              <w:rPr>
                <w:rFonts w:ascii="游ゴシック" w:hAnsi="游ゴシック" w:eastAsia="游ゴシック"/>
                <w:b w:val="0"/>
                <w:sz w:val="18"/>
              </w:rPr>
              <w:t>令和8年9月の業務報告</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本報告についてのお尋ねは、受託者までお願いします。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