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素案（第15版）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地域分析の指標（国の基本指針の案の別表1）</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3">
        <w:r>
          <w:rPr>
            <w:rFonts w:ascii="游ゴシック" w:hAnsi="游ゴシック" w:eastAsia="游ゴシック"/>
            <w:sz w:val="20"/>
          </w:rPr>
          <w:t xml:space="preserve">13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4">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8"/>
        <w:gridCol w:w="7983"/>
      </w:tblGrid>
      <w:tr>
        <w:tc>
          <w:tcPr>
            <w:tcW w:type="dxa" w:w="17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8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68"/>
            <w:vAlign w:val="center"/>
          </w:tcPr>
          <w:p>
            <w:pPr>
              <w:spacing w:before="20" w:after="20"/>
            </w:pPr>
            <w:r>
              <w:rPr>
                <w:rFonts w:ascii="游ゴシック" w:hAnsi="游ゴシック" w:eastAsia="游ゴシック"/>
                <w:b w:val="0"/>
                <w:i w:val="0"/>
                <w:sz w:val="17"/>
              </w:rPr>
              <w:t>計画期間</w:t>
            </w:r>
          </w:p>
        </w:tc>
        <w:tc>
          <w:tcPr>
            <w:tcW w:type="dxa" w:w="7983"/>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68"/>
            <w:vAlign w:val="center"/>
          </w:tcPr>
          <w:p>
            <w:pPr>
              <w:spacing w:before="20" w:after="20"/>
            </w:pPr>
            <w:r>
              <w:rPr>
                <w:rFonts w:ascii="游ゴシック" w:hAnsi="游ゴシック" w:eastAsia="游ゴシック"/>
                <w:b w:val="0"/>
                <w:i w:val="0"/>
                <w:sz w:val="17"/>
              </w:rPr>
              <w:t>位置づけ</w:t>
            </w:r>
          </w:p>
        </w:tc>
        <w:tc>
          <w:tcPr>
            <w:tcW w:type="dxa" w:w="7983"/>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68"/>
            <w:vAlign w:val="center"/>
          </w:tcPr>
          <w:p>
            <w:pPr>
              <w:spacing w:before="20" w:after="20"/>
            </w:pPr>
            <w:r>
              <w:rPr>
                <w:rFonts w:ascii="游ゴシック" w:hAnsi="游ゴシック" w:eastAsia="游ゴシック"/>
                <w:b w:val="0"/>
                <w:i w:val="0"/>
                <w:sz w:val="17"/>
              </w:rPr>
              <w:t>第1版からの変更</w:t>
            </w:r>
          </w:p>
        </w:tc>
        <w:tc>
          <w:tcPr>
            <w:tcW w:type="dxa" w:w="7983"/>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68"/>
            <w:vAlign w:val="center"/>
          </w:tcPr>
          <w:p>
            <w:pPr>
              <w:spacing w:before="20" w:after="20"/>
            </w:pPr>
            <w:r>
              <w:rPr>
                <w:rFonts w:ascii="游ゴシック" w:hAnsi="游ゴシック" w:eastAsia="游ゴシック"/>
                <w:b w:val="0"/>
                <w:i w:val="0"/>
                <w:sz w:val="17"/>
              </w:rPr>
              <w:t>第7版（令和8年9月29日）の変更</w:t>
            </w:r>
          </w:p>
        </w:tc>
        <w:tc>
          <w:tcPr>
            <w:tcW w:type="dxa" w:w="7983"/>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の認知症の設問の項目名を原本に合わせている（54.1％は「地域での見守りや声掛け」）。その他の値はすべて原本と一致した</w:t>
            </w:r>
          </w:p>
        </w:tc>
      </w:tr>
      <w:tr>
        <w:tc>
          <w:tcPr>
            <w:tcW w:type="dxa" w:w="1768"/>
            <w:vAlign w:val="center"/>
          </w:tcPr>
          <w:p>
            <w:pPr>
              <w:spacing w:before="20" w:after="20"/>
            </w:pPr>
            <w:r>
              <w:rPr>
                <w:rFonts w:ascii="游ゴシック" w:hAnsi="游ゴシック" w:eastAsia="游ゴシック"/>
                <w:b w:val="0"/>
                <w:i w:val="0"/>
                <w:sz w:val="17"/>
              </w:rPr>
              <w:t>第8版（令和8年10月4日）の変更</w:t>
            </w:r>
          </w:p>
        </w:tc>
        <w:tc>
          <w:tcPr>
            <w:tcW w:type="dxa" w:w="7983"/>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68"/>
            <w:vAlign w:val="center"/>
          </w:tcPr>
          <w:p>
            <w:pPr>
              <w:spacing w:before="20" w:after="20"/>
            </w:pPr>
            <w:r>
              <w:rPr>
                <w:rFonts w:ascii="游ゴシック" w:hAnsi="游ゴシック" w:eastAsia="游ゴシック"/>
                <w:b w:val="0"/>
                <w:i w:val="0"/>
                <w:sz w:val="17"/>
              </w:rPr>
              <w:t>第9版（令和8年10月5日）の変更</w:t>
            </w:r>
          </w:p>
        </w:tc>
        <w:tc>
          <w:tcPr>
            <w:tcW w:type="dxa" w:w="7983"/>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68"/>
            <w:vAlign w:val="center"/>
          </w:tcPr>
          <w:p>
            <w:pPr>
              <w:spacing w:before="20" w:after="20"/>
            </w:pPr>
            <w:r>
              <w:rPr>
                <w:rFonts w:ascii="游ゴシック" w:hAnsi="游ゴシック" w:eastAsia="游ゴシック"/>
                <w:b/>
                <w:i w:val="0"/>
                <w:sz w:val="17"/>
              </w:rPr>
              <w:t>第10版（令和8年10月14日）の変更</w:t>
            </w:r>
          </w:p>
        </w:tc>
        <w:tc>
          <w:tcPr>
            <w:tcW w:type="dxa" w:w="7983"/>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68"/>
            <w:vAlign w:val="center"/>
          </w:tcPr>
          <w:p>
            <w:pPr>
              <w:spacing w:before="20" w:after="20"/>
            </w:pPr>
            <w:r>
              <w:rPr>
                <w:rFonts w:ascii="游ゴシック" w:hAnsi="游ゴシック" w:eastAsia="游ゴシック"/>
                <w:b/>
                <w:i w:val="0"/>
                <w:sz w:val="17"/>
              </w:rPr>
              <w:t>第11版（令和8年10月15日）の変更</w:t>
            </w:r>
          </w:p>
        </w:tc>
        <w:tc>
          <w:tcPr>
            <w:tcW w:type="dxa" w:w="7983"/>
            <w:vAlign w:val="center"/>
          </w:tcPr>
          <w:p>
            <w:pPr>
              <w:spacing w:before="20" w:after="20"/>
            </w:pPr>
            <w:r>
              <w:rPr>
                <w:rFonts w:ascii="游ゴシック" w:hAnsi="游ゴシック" w:eastAsia="游ゴシック"/>
                <w:b/>
                <w:i w:val="0"/>
                <w:sz w:val="17"/>
              </w:rPr>
              <w:t>新旧対照条文（厚生労働省・全353頁）を入手し、記載を条・項・号の単位で条文にそろえた。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68"/>
            <w:vAlign w:val="center"/>
          </w:tcPr>
          <w:p>
            <w:pPr>
              <w:spacing w:before="20" w:after="20"/>
            </w:pPr>
            <w:r>
              <w:rPr>
                <w:rFonts w:ascii="游ゴシック" w:hAnsi="游ゴシック" w:eastAsia="游ゴシック"/>
                <w:b/>
                <w:i w:val="0"/>
                <w:sz w:val="17"/>
              </w:rPr>
              <w:t>第11版の追記（同日）</w:t>
            </w:r>
          </w:p>
        </w:tc>
        <w:tc>
          <w:tcPr>
            <w:tcW w:type="dxa" w:w="7983"/>
            <w:vAlign w:val="center"/>
          </w:tcPr>
          <w:p>
            <w:pPr>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68"/>
            <w:vAlign w:val="center"/>
          </w:tcPr>
          <w:p>
            <w:pPr>
              <w:spacing w:before="20" w:after="20"/>
            </w:pPr>
            <w:r>
              <w:rPr>
                <w:rFonts w:ascii="游ゴシック" w:hAnsi="游ゴシック" w:eastAsia="游ゴシック"/>
                <w:b/>
                <w:i w:val="0"/>
                <w:sz w:val="17"/>
              </w:rPr>
              <w:t>第12版（令和8年10月20日）の変更</w:t>
            </w:r>
          </w:p>
        </w:tc>
        <w:tc>
          <w:tcPr>
            <w:tcW w:type="dxa" w:w="7983"/>
            <w:vAlign w:val="center"/>
          </w:tcPr>
          <w:p>
            <w:pPr>
              <w:spacing w:before="20" w:after="20"/>
            </w:pPr>
            <w:r>
              <w:rPr>
                <w:rFonts w:ascii="游ゴシック" w:hAnsi="游ゴシック" w:eastAsia="游ゴシック"/>
                <w:b/>
                <w:i w:val="0"/>
                <w:sz w:val="17"/>
              </w:rPr>
              <w:t>策定チェックリスト（手引き目次対応・176項目）で第11版を確かめ、素案の修正が要るとした17件を反映した。</w:t>
            </w:r>
            <w:r>
              <w:rPr>
                <w:rFonts w:ascii="游ゴシック" w:hAnsi="游ゴシック" w:eastAsia="游ゴシック"/>
                <w:b w:val="0"/>
                <w:i w:val="0"/>
                <w:sz w:val="17"/>
              </w:rPr>
              <w:t xml:space="preserve"> </w:t>
            </w:r>
            <w:r>
              <w:rPr>
                <w:rFonts w:ascii="游ゴシック" w:hAnsi="游ゴシック" w:eastAsia="游ゴシック"/>
                <w:b/>
                <w:i w:val="0"/>
                <w:sz w:val="17"/>
              </w:rPr>
              <w:t>①第4章1に「本町の地域包括ケアの姿」を定め、第6章11・12から参照した。</w:t>
            </w:r>
            <w:r>
              <w:rPr>
                <w:rFonts w:ascii="游ゴシック" w:hAnsi="游ゴシック" w:eastAsia="游ゴシック"/>
                <w:b w:val="0"/>
                <w:i w:val="0"/>
                <w:sz w:val="17"/>
              </w:rPr>
              <w:t>②第4章3に、保健・認知症の分野の関連計画との役割分担の表を加えた。③第1章7に庁内の検討体制を加え、住宅担当の関与を書いた。</w:t>
            </w:r>
            <w:r>
              <w:rPr>
                <w:rFonts w:ascii="游ゴシック" w:hAnsi="游ゴシック" w:eastAsia="游ゴシック"/>
                <w:b/>
                <w:i w:val="0"/>
                <w:sz w:val="17"/>
              </w:rPr>
              <w:t>④資料編8に成果指標の種類（アウトプット／アウトカム）の一覧を加え、第5章 基本目標2⑥に介護職員の定着の指標を加えた。</w:t>
            </w:r>
            <w:r>
              <w:rPr>
                <w:rFonts w:ascii="游ゴシック" w:hAnsi="游ゴシック" w:eastAsia="游ゴシック"/>
                <w:b w:val="0"/>
                <w:i w:val="0"/>
                <w:sz w:val="17"/>
              </w:rPr>
              <w:t>⑤第1章3に新たな地域医療構想を、第5章に総合事業のガイドライン・ケアプランデータ連携・地域医療介護総合確保基金・重層的支援体制整備事業の確認事項を加えた。</w:t>
            </w:r>
            <w:r>
              <w:rPr>
                <w:rFonts w:ascii="游ゴシック" w:hAnsi="游ゴシック" w:eastAsia="游ゴシック"/>
                <w:b/>
                <w:i w:val="0"/>
                <w:sz w:val="17"/>
              </w:rPr>
              <w:t>町・県の資料を受けて埋めるものは、未確定の印を付けて置いている</w:t>
            </w:r>
          </w:p>
        </w:tc>
      </w:tr>
      <w:tr>
        <w:tc>
          <w:tcPr>
            <w:tcW w:type="dxa" w:w="1768"/>
            <w:vAlign w:val="center"/>
          </w:tcPr>
          <w:p>
            <w:pPr>
              <w:spacing w:before="20" w:after="20"/>
            </w:pPr>
            <w:r>
              <w:rPr>
                <w:rFonts w:ascii="游ゴシック" w:hAnsi="游ゴシック" w:eastAsia="游ゴシック"/>
                <w:b/>
                <w:i w:val="0"/>
                <w:sz w:val="17"/>
              </w:rPr>
              <w:t>第13版（令和8年10月20日）の変更</w:t>
            </w:r>
          </w:p>
        </w:tc>
        <w:tc>
          <w:tcPr>
            <w:tcW w:type="dxa" w:w="7983"/>
            <w:vAlign w:val="center"/>
          </w:tcPr>
          <w:p>
            <w:pPr>
              <w:spacing w:before="20" w:after="20"/>
            </w:pPr>
            <w:r>
              <w:rPr>
                <w:rFonts w:ascii="游ゴシック" w:hAnsi="游ゴシック" w:eastAsia="游ゴシック"/>
                <w:b/>
                <w:i w:val="0"/>
                <w:sz w:val="17"/>
              </w:rPr>
              <w:t>国資料（令和8年3月・7月の全国課長会議資料、地域分析の手引き改訂版）と介護保険部会の資料に照らし、2件を最新の内容にそろえ、5件を書き足した。</w:t>
            </w:r>
            <w:r>
              <w:rPr>
                <w:rFonts w:ascii="游ゴシック" w:hAnsi="游ゴシック" w:eastAsia="游ゴシック"/>
                <w:b w:val="0"/>
                <w:i w:val="0"/>
                <w:sz w:val="17"/>
              </w:rPr>
              <w:t xml:space="preserve"> </w:t>
            </w:r>
            <w:r>
              <w:rPr>
                <w:rFonts w:ascii="游ゴシック" w:hAnsi="游ゴシック" w:eastAsia="游ゴシック"/>
                <w:b/>
                <w:i w:val="0"/>
                <w:sz w:val="17"/>
              </w:rPr>
              <w:t>①所得段階の年金収入等の基準額を82.65万円とした</w:t>
            </w:r>
            <w:r>
              <w:rPr>
                <w:rFonts w:ascii="游ゴシック" w:hAnsi="游ゴシック" w:eastAsia="游ゴシック"/>
                <w:b w:val="0"/>
                <w:i w:val="0"/>
                <w:sz w:val="17"/>
              </w:rPr>
              <w:t>（介護保険法施行令第38条。令和8年政令第274号による改正後）。</w:t>
            </w:r>
            <w:r>
              <w:rPr>
                <w:rFonts w:ascii="游ゴシック" w:hAnsi="游ゴシック" w:eastAsia="游ゴシック"/>
                <w:b/>
                <w:i w:val="0"/>
                <w:sz w:val="17"/>
              </w:rPr>
              <w:t>②基本指針の告示時期を、国のスケジュールどおり令和8年11月頃とした。</w:t>
            </w:r>
            <w:r>
              <w:rPr>
                <w:rFonts w:ascii="游ゴシック" w:hAnsi="游ゴシック" w:eastAsia="游ゴシック"/>
                <w:b w:val="0"/>
                <w:i w:val="0"/>
                <w:sz w:val="17"/>
              </w:rPr>
              <w:t xml:space="preserve"> 書き足し：③介護保険の特定地域について、本町は振興山村の一部指定として国の一覧に載っていること（第1章2・第6章12）、④地域の類型（中山間・人口減少地域）（第1章4）、⑤基本指針案の別表1の指標と本計画の対応（資料編12）、⑥介護予防支援拠点事業（第5章 基本目標1②）、⑦頼れる身寄りがいない高齢者等の相談（第5章 基本目標2②）</w:t>
            </w:r>
          </w:p>
        </w:tc>
      </w:tr>
      <w:tr>
        <w:tc>
          <w:tcPr>
            <w:tcW w:type="dxa" w:w="1768"/>
            <w:vAlign w:val="center"/>
          </w:tcPr>
          <w:p>
            <w:pPr>
              <w:spacing w:before="20" w:after="20"/>
            </w:pPr>
            <w:r>
              <w:rPr>
                <w:rFonts w:ascii="游ゴシック" w:hAnsi="游ゴシック" w:eastAsia="游ゴシック"/>
                <w:b/>
                <w:i w:val="0"/>
                <w:sz w:val="17"/>
              </w:rPr>
              <w:t>第14版（令和8年10月20日）の変更</w:t>
            </w:r>
          </w:p>
        </w:tc>
        <w:tc>
          <w:tcPr>
            <w:tcW w:type="dxa" w:w="7983"/>
            <w:vAlign w:val="center"/>
          </w:tcPr>
          <w:p>
            <w:pPr>
              <w:spacing w:before="20" w:after="20"/>
            </w:pPr>
            <w:r>
              <w:rPr>
                <w:rFonts w:ascii="游ゴシック" w:hAnsi="游ゴシック" w:eastAsia="游ゴシック"/>
                <w:b/>
                <w:i w:val="0"/>
                <w:sz w:val="17"/>
              </w:rPr>
              <w:t>介護SCR（厚生労働科学研究班のデータ）と、見える化システムの第1回出力を反映した。</w:t>
            </w:r>
            <w:r>
              <w:rPr>
                <w:rFonts w:ascii="游ゴシック" w:hAnsi="游ゴシック" w:eastAsia="游ゴシック"/>
                <w:b w:val="0"/>
                <w:i w:val="0"/>
                <w:sz w:val="17"/>
              </w:rPr>
              <w:t xml:space="preserve"> ①資料編12に介護SCRの表を加え、第6章2・第5章 基本目標2⑤⑦の現状に介護SCRを加えた。②第6章11に介護SCRの将来推計を並べ、2つの推計が同じ形（令和27年頃にピーク）を示すことを書いた。③第2章6の認知症高齢者数を、自立度Ⅲa・Ⅲbを含む完全な値（見える化Ｂ7）で置き直した。④成果指標の現状値（認定者に対する受給者の比率、認知症サポーター数、町内の事業所数）を埋めた。</w:t>
            </w:r>
            <w:r>
              <w:rPr>
                <w:rFonts w:ascii="游ゴシック" w:hAnsi="游ゴシック" w:eastAsia="游ゴシック"/>
                <w:b/>
                <w:i w:val="0"/>
                <w:sz w:val="17"/>
              </w:rPr>
              <w:t>見える化の未着分（施設の事業所数、退院退所加算の算定回数、協議体）は印を残した</w:t>
            </w:r>
          </w:p>
        </w:tc>
      </w:tr>
      <w:tr>
        <w:tc>
          <w:tcPr>
            <w:tcW w:type="dxa" w:w="1768"/>
            <w:vAlign w:val="center"/>
          </w:tcPr>
          <w:p>
            <w:pPr>
              <w:spacing w:before="20" w:after="20"/>
            </w:pPr>
            <w:r>
              <w:rPr>
                <w:rFonts w:ascii="游ゴシック" w:hAnsi="游ゴシック" w:eastAsia="游ゴシック"/>
                <w:b/>
                <w:i w:val="0"/>
                <w:sz w:val="17"/>
              </w:rPr>
              <w:t>本版（第15版・令和8年10月21日）の変更</w:t>
            </w:r>
          </w:p>
        </w:tc>
        <w:tc>
          <w:tcPr>
            <w:tcW w:type="dxa" w:w="7983"/>
            <w:vAlign w:val="center"/>
          </w:tcPr>
          <w:p>
            <w:pPr>
              <w:spacing w:before="20" w:after="20"/>
            </w:pPr>
            <w:r>
              <w:rPr>
                <w:rFonts w:ascii="游ゴシック" w:hAnsi="游ゴシック" w:eastAsia="游ゴシック"/>
                <w:b/>
                <w:i w:val="0"/>
                <w:sz w:val="17"/>
              </w:rPr>
              <w:t>介護給付費準備基金の残高を、町の公表資料で確かめて置き直した。</w:t>
            </w:r>
            <w:r>
              <w:rPr>
                <w:rFonts w:ascii="游ゴシック" w:hAnsi="游ゴシック" w:eastAsia="游ゴシック"/>
                <w:b w:val="0"/>
                <w:i w:val="0"/>
                <w:sz w:val="17"/>
              </w:rPr>
              <w:t xml:space="preserve"> 財務書類の附属明細書「基金の明細」で令和5年度末120,000千円、令和8年度予算（当初・9月補正）の積立を足して令和8年度末見込210,000千円とした。第2章4の財政の状況、第6章5の保険料の比較ケース（半分・全額の取崩し）を改めた。残高は年報 様式4ではなく、町の財務書類によった</w:t>
            </w:r>
          </w:p>
        </w:tc>
      </w:tr>
      <w:tr>
        <w:tc>
          <w:tcPr>
            <w:tcW w:type="dxa" w:w="1768"/>
            <w:vAlign w:val="center"/>
          </w:tcPr>
          <w:p>
            <w:pPr>
              <w:spacing w:before="20" w:after="20"/>
            </w:pPr>
            <w:r>
              <w:rPr>
                <w:rFonts w:ascii="游ゴシック" w:hAnsi="游ゴシック" w:eastAsia="游ゴシック"/>
                <w:b w:val="0"/>
                <w:i w:val="0"/>
                <w:sz w:val="17"/>
              </w:rPr>
              <w:t>確定していない事項の表示</w:t>
            </w:r>
          </w:p>
        </w:tc>
        <w:tc>
          <w:tcPr>
            <w:tcW w:type="dxa" w:w="7983"/>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本素案には確定していない箇所が185あります。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-27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町からのデータ受領を待っているのは102箇所（55.1％）で、最も多いのは協議会で設定する成果指標の目標値56箇所（30.3％）です。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9"/>
        <w:gridCol w:w="2224"/>
        <w:gridCol w:w="1222"/>
        <w:gridCol w:w="1311"/>
        <w:gridCol w:w="3496"/>
      </w:tblGrid>
      <w:tr>
        <w:tc>
          <w:tcPr>
            <w:tcW w:type="dxa" w:w="1499"/>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24"/>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22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1"/>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496"/>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499"/>
            <w:vAlign w:val="center"/>
          </w:tcPr>
          <w:p>
            <w:pPr>
              <w:spacing w:before="20" w:after="20"/>
            </w:pPr>
            <w:r>
              <w:rPr>
                <w:rFonts w:ascii="游ゴシック" w:hAnsi="游ゴシック" w:eastAsia="游ゴシック"/>
                <w:b w:val="0"/>
                <w:i w:val="0"/>
                <w:sz w:val="17"/>
              </w:rPr>
              <w:t>【協議会で設定】</w:t>
            </w:r>
          </w:p>
        </w:tc>
        <w:tc>
          <w:tcPr>
            <w:tcW w:type="dxa" w:w="2224"/>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222"/>
            <w:vAlign w:val="center"/>
          </w:tcPr>
          <w:p>
            <w:pPr>
              <w:spacing w:before="20" w:after="20"/>
            </w:pPr>
            <w:r>
              <w:rPr>
                <w:rFonts w:ascii="游ゴシック" w:hAnsi="游ゴシック" w:eastAsia="游ゴシック"/>
                <w:b w:val="0"/>
                <w:i w:val="0"/>
                <w:sz w:val="17"/>
              </w:rPr>
              <w:t>56</w:t>
            </w:r>
          </w:p>
        </w:tc>
        <w:tc>
          <w:tcPr>
            <w:tcW w:type="dxa" w:w="1311"/>
            <w:vAlign w:val="center"/>
          </w:tcPr>
          <w:p>
            <w:pPr>
              <w:spacing w:before="20" w:after="20"/>
            </w:pPr>
            <w:r>
              <w:rPr>
                <w:rFonts w:ascii="游ゴシック" w:hAnsi="游ゴシック" w:eastAsia="游ゴシック"/>
                <w:b w:val="0"/>
                <w:i w:val="0"/>
                <w:sz w:val="17"/>
              </w:rPr>
              <w:t>30.3％</w:t>
            </w:r>
          </w:p>
        </w:tc>
        <w:tc>
          <w:tcPr>
            <w:tcW w:type="dxa" w:w="3496"/>
            <w:vAlign w:val="center"/>
          </w:tcPr>
          <w:p>
            <w:pPr>
              <w:spacing w:before="20" w:after="20"/>
            </w:pPr>
            <w:r>
              <w:rPr>
                <w:rFonts w:ascii="游ゴシック" w:hAnsi="游ゴシック" w:eastAsia="游ゴシック"/>
                <w:b/>
                <w:i w:val="0"/>
                <w:sz w:val="17"/>
              </w:rPr>
              <w:t>協議会での議論により設定する</w:t>
            </w:r>
          </w:p>
        </w:tc>
      </w:tr>
      <w:tr>
        <w:tc>
          <w:tcPr>
            <w:tcW w:type="dxa" w:w="1499"/>
            <w:vAlign w:val="center"/>
          </w:tcPr>
          <w:p>
            <w:pPr>
              <w:spacing w:before="20" w:after="20"/>
            </w:pPr>
            <w:r>
              <w:rPr>
                <w:rFonts w:ascii="游ゴシック" w:hAnsi="游ゴシック" w:eastAsia="游ゴシック"/>
                <w:b/>
                <w:i w:val="0"/>
                <w:sz w:val="17"/>
              </w:rPr>
              <w:t>【町データ待ち】</w:t>
            </w:r>
          </w:p>
        </w:tc>
        <w:tc>
          <w:tcPr>
            <w:tcW w:type="dxa" w:w="2224"/>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222"/>
            <w:vAlign w:val="center"/>
          </w:tcPr>
          <w:p>
            <w:pPr>
              <w:spacing w:before="20" w:after="20"/>
            </w:pPr>
            <w:r>
              <w:rPr>
                <w:rFonts w:ascii="游ゴシック" w:hAnsi="游ゴシック" w:eastAsia="游ゴシック"/>
                <w:b/>
                <w:i w:val="0"/>
                <w:sz w:val="17"/>
              </w:rPr>
              <w:t>102</w:t>
            </w:r>
          </w:p>
        </w:tc>
        <w:tc>
          <w:tcPr>
            <w:tcW w:type="dxa" w:w="1311"/>
            <w:vAlign w:val="center"/>
          </w:tcPr>
          <w:p>
            <w:pPr>
              <w:spacing w:before="20" w:after="20"/>
            </w:pPr>
            <w:r>
              <w:rPr>
                <w:rFonts w:ascii="游ゴシック" w:hAnsi="游ゴシック" w:eastAsia="游ゴシック"/>
                <w:b/>
                <w:i w:val="0"/>
                <w:sz w:val="17"/>
              </w:rPr>
              <w:t>55.1％</w:t>
            </w:r>
          </w:p>
        </w:tc>
        <w:tc>
          <w:tcPr>
            <w:tcW w:type="dxa" w:w="3496"/>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9"/>
            <w:vAlign w:val="center"/>
          </w:tcPr>
          <w:p>
            <w:pPr>
              <w:spacing w:before="20" w:after="20"/>
            </w:pPr>
            <w:r>
              <w:rPr>
                <w:rFonts w:ascii="游ゴシック" w:hAnsi="游ゴシック" w:eastAsia="游ゴシック"/>
                <w:b/>
                <w:i w:val="0"/>
                <w:sz w:val="17"/>
              </w:rPr>
              <w:t>【算定後に記載】</w:t>
            </w:r>
          </w:p>
        </w:tc>
        <w:tc>
          <w:tcPr>
            <w:tcW w:type="dxa" w:w="2224"/>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222"/>
            <w:vAlign w:val="center"/>
          </w:tcPr>
          <w:p>
            <w:pPr>
              <w:spacing w:before="20" w:after="20"/>
            </w:pPr>
            <w:r>
              <w:rPr>
                <w:rFonts w:ascii="游ゴシック" w:hAnsi="游ゴシック" w:eastAsia="游ゴシック"/>
                <w:b w:val="0"/>
                <w:i w:val="0"/>
                <w:sz w:val="17"/>
              </w:rPr>
              <w:t>0</w:t>
            </w:r>
          </w:p>
        </w:tc>
        <w:tc>
          <w:tcPr>
            <w:tcW w:type="dxa" w:w="1311"/>
            <w:vAlign w:val="center"/>
          </w:tcPr>
          <w:p>
            <w:pPr>
              <w:spacing w:before="20" w:after="20"/>
            </w:pPr>
            <w:r>
              <w:rPr>
                <w:rFonts w:ascii="游ゴシック" w:hAnsi="游ゴシック" w:eastAsia="游ゴシック"/>
                <w:b w:val="0"/>
                <w:i w:val="0"/>
                <w:sz w:val="17"/>
              </w:rPr>
              <w:t>0.0％</w:t>
            </w:r>
          </w:p>
        </w:tc>
        <w:tc>
          <w:tcPr>
            <w:tcW w:type="dxa" w:w="3496"/>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499"/>
            <w:vAlign w:val="center"/>
          </w:tcPr>
          <w:p>
            <w:pPr>
              <w:keepNext/>
              <w:spacing w:before="20" w:after="20"/>
            </w:pPr>
            <w:r>
              <w:rPr>
                <w:rFonts w:ascii="游ゴシック" w:hAnsi="游ゴシック" w:eastAsia="游ゴシック"/>
                <w:b w:val="0"/>
                <w:i w:val="0"/>
                <w:sz w:val="17"/>
              </w:rPr>
              <w:t>【決定後に記載】</w:t>
            </w:r>
          </w:p>
        </w:tc>
        <w:tc>
          <w:tcPr>
            <w:tcW w:type="dxa" w:w="2224"/>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222"/>
            <w:vAlign w:val="center"/>
          </w:tcPr>
          <w:p>
            <w:pPr>
              <w:keepNext/>
              <w:spacing w:before="20" w:after="20"/>
            </w:pPr>
            <w:r>
              <w:rPr>
                <w:rFonts w:ascii="游ゴシック" w:hAnsi="游ゴシック" w:eastAsia="游ゴシック"/>
                <w:b w:val="0"/>
                <w:i w:val="0"/>
                <w:sz w:val="17"/>
              </w:rPr>
              <w:t>22</w:t>
            </w:r>
          </w:p>
        </w:tc>
        <w:tc>
          <w:tcPr>
            <w:tcW w:type="dxa" w:w="1311"/>
            <w:vAlign w:val="center"/>
          </w:tcPr>
          <w:p>
            <w:pPr>
              <w:keepNext/>
              <w:spacing w:before="20" w:after="20"/>
            </w:pPr>
            <w:r>
              <w:rPr>
                <w:rFonts w:ascii="游ゴシック" w:hAnsi="游ゴシック" w:eastAsia="游ゴシック"/>
                <w:b w:val="0"/>
                <w:i w:val="0"/>
                <w:sz w:val="17"/>
              </w:rPr>
              <w:t>11.9％</w:t>
            </w:r>
          </w:p>
        </w:tc>
        <w:tc>
          <w:tcPr>
            <w:tcW w:type="dxa" w:w="3496"/>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499"/>
            <w:vAlign w:val="center"/>
          </w:tcPr>
          <w:p>
            <w:pPr>
              <w:spacing w:before="20" w:after="20"/>
            </w:pPr>
            <w:r>
              <w:rPr>
                <w:rFonts w:ascii="游ゴシック" w:hAnsi="游ゴシック" w:eastAsia="游ゴシック"/>
                <w:b w:val="0"/>
                <w:i w:val="0"/>
                <w:sz w:val="17"/>
              </w:rPr>
              <w:t>【見える化出力待ち】</w:t>
            </w:r>
          </w:p>
        </w:tc>
        <w:tc>
          <w:tcPr>
            <w:tcW w:type="dxa" w:w="2224"/>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222"/>
            <w:vAlign w:val="center"/>
          </w:tcPr>
          <w:p>
            <w:pPr>
              <w:spacing w:before="20" w:after="20"/>
            </w:pPr>
            <w:r>
              <w:rPr>
                <w:rFonts w:ascii="游ゴシック" w:hAnsi="游ゴシック" w:eastAsia="游ゴシック"/>
                <w:b w:val="0"/>
                <w:i w:val="0"/>
                <w:sz w:val="17"/>
              </w:rPr>
              <w:t>5</w:t>
            </w:r>
          </w:p>
        </w:tc>
        <w:tc>
          <w:tcPr>
            <w:tcW w:type="dxa" w:w="1311"/>
            <w:vAlign w:val="center"/>
          </w:tcPr>
          <w:p>
            <w:pPr>
              <w:spacing w:before="20" w:after="20"/>
            </w:pPr>
            <w:r>
              <w:rPr>
                <w:rFonts w:ascii="游ゴシック" w:hAnsi="游ゴシック" w:eastAsia="游ゴシック"/>
                <w:b w:val="0"/>
                <w:i w:val="0"/>
                <w:sz w:val="17"/>
              </w:rPr>
              <w:t>2.7％</w:t>
            </w:r>
          </w:p>
        </w:tc>
        <w:tc>
          <w:tcPr>
            <w:tcW w:type="dxa" w:w="3496"/>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9"/>
        <w:gridCol w:w="3612"/>
        <w:gridCol w:w="3900"/>
      </w:tblGrid>
      <w:tr>
        <w:tc>
          <w:tcPr>
            <w:tcW w:type="dxa" w:w="223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61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0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23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3612"/>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900"/>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239"/>
            <w:vAlign w:val="center"/>
          </w:tcPr>
          <w:p>
            <w:pPr>
              <w:spacing w:before="20" w:after="20"/>
            </w:pPr>
            <w:r>
              <w:rPr>
                <w:rFonts w:ascii="游ゴシック" w:hAnsi="游ゴシック" w:eastAsia="游ゴシック"/>
                <w:b w:val="0"/>
                <w:i w:val="0"/>
                <w:sz w:val="17"/>
              </w:rPr>
              <w:t>地域包括ケアシステムの深化・推進</w:t>
            </w:r>
          </w:p>
        </w:tc>
        <w:tc>
          <w:tcPr>
            <w:tcW w:type="dxa" w:w="3612"/>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900"/>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239"/>
            <w:vAlign w:val="center"/>
          </w:tcPr>
          <w:p>
            <w:pPr>
              <w:spacing w:before="20" w:after="20"/>
            </w:pPr>
            <w:r>
              <w:rPr>
                <w:rFonts w:ascii="游ゴシック" w:hAnsi="游ゴシック" w:eastAsia="游ゴシック"/>
                <w:b w:val="0"/>
                <w:i w:val="0"/>
                <w:sz w:val="17"/>
              </w:rPr>
              <w:t>介護人材の確保と生産性の向上</w:t>
            </w:r>
          </w:p>
        </w:tc>
        <w:tc>
          <w:tcPr>
            <w:tcW w:type="dxa" w:w="3612"/>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900"/>
            <w:vAlign w:val="center"/>
          </w:tcPr>
          <w:p>
            <w:pPr>
              <w:spacing w:before="20" w:after="20"/>
            </w:pPr>
            <w:r>
              <w:rPr>
                <w:rFonts w:ascii="游ゴシック" w:hAnsi="游ゴシック" w:eastAsia="游ゴシック"/>
                <w:b w:val="0"/>
                <w:i w:val="0"/>
                <w:sz w:val="17"/>
              </w:rPr>
              <w:t>第5章 基本目標2⑥</w:t>
            </w:r>
          </w:p>
        </w:tc>
      </w:tr>
      <w:tr>
        <w:tc>
          <w:tcPr>
            <w:tcW w:type="dxa" w:w="2239"/>
            <w:vAlign w:val="center"/>
          </w:tcPr>
          <w:p>
            <w:pPr>
              <w:keepNext/>
              <w:spacing w:before="20" w:after="20"/>
            </w:pPr>
            <w:r>
              <w:rPr>
                <w:rFonts w:ascii="游ゴシック" w:hAnsi="游ゴシック" w:eastAsia="游ゴシック"/>
                <w:b w:val="0"/>
                <w:i w:val="0"/>
                <w:sz w:val="17"/>
              </w:rPr>
              <w:t>給付と負担の見直し</w:t>
            </w:r>
          </w:p>
        </w:tc>
        <w:tc>
          <w:tcPr>
            <w:tcW w:type="dxa" w:w="3612"/>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900"/>
            <w:vAlign w:val="center"/>
          </w:tcPr>
          <w:p>
            <w:pPr>
              <w:keepNext/>
              <w:spacing w:before="20" w:after="20"/>
            </w:pPr>
            <w:r>
              <w:rPr>
                <w:rFonts w:ascii="游ゴシック" w:hAnsi="游ゴシック" w:eastAsia="游ゴシック"/>
                <w:b w:val="0"/>
                <w:i w:val="0"/>
                <w:sz w:val="17"/>
              </w:rPr>
              <w:t>第5章 基本目標3③</w:t>
            </w:r>
          </w:p>
        </w:tc>
      </w:tr>
      <w:tr>
        <w:tc>
          <w:tcPr>
            <w:tcW w:type="dxa" w:w="2239"/>
            <w:vAlign w:val="center"/>
          </w:tcPr>
          <w:p>
            <w:pPr>
              <w:spacing w:before="20" w:after="20"/>
            </w:pPr>
            <w:r>
              <w:rPr>
                <w:rFonts w:ascii="游ゴシック" w:hAnsi="游ゴシック" w:eastAsia="游ゴシック"/>
                <w:b w:val="0"/>
                <w:i w:val="0"/>
                <w:sz w:val="17"/>
              </w:rPr>
              <w:t>地域共生社会の実現</w:t>
            </w:r>
          </w:p>
        </w:tc>
        <w:tc>
          <w:tcPr>
            <w:tcW w:type="dxa" w:w="3612"/>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900"/>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本計画は介護保険制度に基づく具体化に集中する。本町での重層的支援体制整備事業の実施の有無は【町データ待ち】</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0"/>
        <w:gridCol w:w="2975"/>
        <w:gridCol w:w="5026"/>
      </w:tblGrid>
      <w:tr>
        <w:tc>
          <w:tcPr>
            <w:tcW w:type="dxa" w:w="1750"/>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297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5026"/>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750"/>
            <w:vAlign w:val="center"/>
          </w:tcPr>
          <w:p>
            <w:pPr>
              <w:spacing w:before="20" w:after="20"/>
            </w:pPr>
            <w:r>
              <w:rPr>
                <w:rFonts w:ascii="游ゴシック" w:hAnsi="游ゴシック" w:eastAsia="游ゴシック"/>
                <w:b/>
                <w:i w:val="0"/>
                <w:sz w:val="17"/>
              </w:rPr>
              <w:t>第1号被保険者負担割合（政令）</w:t>
            </w:r>
          </w:p>
        </w:tc>
        <w:tc>
          <w:tcPr>
            <w:tcW w:type="dxa" w:w="2975"/>
            <w:vAlign w:val="center"/>
          </w:tcPr>
          <w:p>
            <w:pPr>
              <w:spacing w:before="20" w:after="20"/>
            </w:pPr>
            <w:r>
              <w:rPr>
                <w:rFonts w:ascii="游ゴシック" w:hAnsi="游ゴシック" w:eastAsia="游ゴシック"/>
                <w:b/>
                <w:i w:val="0"/>
                <w:sz w:val="17"/>
              </w:rPr>
              <w:t>保険料基準額。1ポイントで月額269円動く</w:t>
            </w:r>
          </w:p>
        </w:tc>
        <w:tc>
          <w:tcPr>
            <w:tcW w:type="dxa" w:w="5026"/>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750"/>
            <w:vAlign w:val="center"/>
          </w:tcPr>
          <w:p>
            <w:pPr>
              <w:spacing w:before="20" w:after="20"/>
            </w:pPr>
            <w:r>
              <w:rPr>
                <w:rFonts w:ascii="游ゴシック" w:hAnsi="游ゴシック" w:eastAsia="游ゴシック"/>
                <w:b/>
                <w:i w:val="0"/>
                <w:sz w:val="17"/>
              </w:rPr>
              <w:t>介護報酬の改定率</w:t>
            </w:r>
          </w:p>
        </w:tc>
        <w:tc>
          <w:tcPr>
            <w:tcW w:type="dxa" w:w="2975"/>
            <w:vAlign w:val="center"/>
          </w:tcPr>
          <w:p>
            <w:pPr>
              <w:spacing w:before="20" w:after="20"/>
            </w:pPr>
            <w:r>
              <w:rPr>
                <w:rFonts w:ascii="游ゴシック" w:hAnsi="游ゴシック" w:eastAsia="游ゴシック"/>
                <w:b/>
                <w:i w:val="0"/>
                <w:sz w:val="17"/>
              </w:rPr>
              <w:t>サービス単価、総給付費、保険料基準額</w:t>
            </w:r>
          </w:p>
        </w:tc>
        <w:tc>
          <w:tcPr>
            <w:tcW w:type="dxa" w:w="5026"/>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750"/>
            <w:vAlign w:val="center"/>
          </w:tcPr>
          <w:p>
            <w:pPr>
              <w:spacing w:before="20" w:after="20"/>
            </w:pPr>
            <w:r>
              <w:rPr>
                <w:rFonts w:ascii="游ゴシック" w:hAnsi="游ゴシック" w:eastAsia="游ゴシック"/>
                <w:b w:val="0"/>
                <w:i w:val="0"/>
                <w:sz w:val="17"/>
              </w:rPr>
              <w:t>給付と負担の見直し</w:t>
            </w:r>
          </w:p>
        </w:tc>
        <w:tc>
          <w:tcPr>
            <w:tcW w:type="dxa" w:w="297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5026"/>
            <w:vAlign w:val="center"/>
          </w:tcPr>
          <w:p>
            <w:pPr>
              <w:spacing w:before="20" w:after="20"/>
            </w:pPr>
            <w:r>
              <w:rPr>
                <w:rFonts w:ascii="游ゴシック" w:hAnsi="游ゴシック" w:eastAsia="游ゴシック"/>
                <w:b w:val="0"/>
                <w:i w:val="0"/>
                <w:sz w:val="17"/>
              </w:rPr>
              <w:t>【町データ待ち】</w:t>
            </w:r>
          </w:p>
        </w:tc>
      </w:tr>
      <w:tr>
        <w:tc>
          <w:tcPr>
            <w:tcW w:type="dxa" w:w="1750"/>
            <w:vAlign w:val="center"/>
          </w:tcPr>
          <w:p>
            <w:pPr>
              <w:spacing w:before="20" w:after="20"/>
            </w:pPr>
            <w:r>
              <w:rPr>
                <w:rFonts w:ascii="游ゴシック" w:hAnsi="游ゴシック" w:eastAsia="游ゴシック"/>
                <w:b w:val="0"/>
                <w:i w:val="0"/>
                <w:sz w:val="17"/>
              </w:rPr>
              <w:t>地域支援事業の見直し</w:t>
            </w:r>
          </w:p>
        </w:tc>
        <w:tc>
          <w:tcPr>
            <w:tcW w:type="dxa" w:w="297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5026"/>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750"/>
            <w:vAlign w:val="center"/>
          </w:tcPr>
          <w:p>
            <w:pPr>
              <w:spacing w:before="20" w:after="20"/>
            </w:pPr>
            <w:r>
              <w:rPr>
                <w:rFonts w:ascii="游ゴシック" w:hAnsi="游ゴシック" w:eastAsia="游ゴシック"/>
                <w:b/>
                <w:i w:val="0"/>
                <w:sz w:val="17"/>
              </w:rPr>
              <w:t>医療計画・医療介護総合確保の計画との整合</w:t>
            </w:r>
          </w:p>
        </w:tc>
        <w:tc>
          <w:tcPr>
            <w:tcW w:type="dxa" w:w="297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5026"/>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750"/>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297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5026"/>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750"/>
            <w:vAlign w:val="center"/>
          </w:tcPr>
          <w:p>
            <w:pPr>
              <w:spacing w:before="20" w:after="20"/>
            </w:pPr>
            <w:r>
              <w:rPr>
                <w:rFonts w:ascii="游ゴシック" w:hAnsi="游ゴシック" w:eastAsia="游ゴシック"/>
                <w:b w:val="0"/>
                <w:i w:val="0"/>
                <w:sz w:val="17"/>
              </w:rPr>
              <w:t>同（適用の可否を確かめるもの）</w:t>
            </w:r>
          </w:p>
        </w:tc>
        <w:tc>
          <w:tcPr>
            <w:tcW w:type="dxa" w:w="297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5026"/>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国の基準の素案では、特別地域加算等の対象地域（市町村の全部指定・一部指定とも）を基準に含めることとされている。</w:t>
            </w:r>
            <w:r>
              <w:rPr>
                <w:rFonts w:ascii="游ゴシック" w:hAnsi="游ゴシック" w:eastAsia="游ゴシック"/>
                <w:b/>
                <w:i w:val="0"/>
                <w:sz w:val="17"/>
              </w:rPr>
              <w:t>本町は、国の対象地域の一覧に「振興山村・一部指定」として載っている</w:t>
            </w:r>
            <w:r>
              <w:rPr>
                <w:rFonts w:ascii="游ゴシック" w:hAnsi="游ゴシック" w:eastAsia="游ゴシック"/>
                <w:b w:val="0"/>
                <w:i w:val="0"/>
                <w:sz w:val="17"/>
              </w:rPr>
              <w:t>（旧夏井村の区域。山村振興法第7条第1項）。</w:t>
            </w:r>
            <w:r>
              <w:rPr>
                <w:rFonts w:ascii="游ゴシック" w:hAnsi="游ゴシック" w:eastAsia="游ゴシック"/>
                <w:b/>
                <w:i w:val="0"/>
                <w:sz w:val="17"/>
              </w:rPr>
              <w:t>このため、旧夏井村の区域が対象となる見込みである。町全域ではない</w:t>
            </w:r>
            <w:r>
              <w:rPr>
                <w:rFonts w:ascii="游ゴシック" w:hAnsi="游ゴシック" w:eastAsia="游ゴシック"/>
                <w:b w:val="0"/>
                <w:i w:val="0"/>
                <w:sz w:val="17"/>
              </w:rPr>
              <w:t>（障がい福祉の特定地域は要件が異なり、過疎地域を含むため町全域が対象となる見込み。障がい福祉計画 第3部第3章）。基準は省令で定まり、指定は町の意向を踏まえて県が行う（【決定後に記載】）</w:t>
            </w:r>
          </w:p>
        </w:tc>
      </w:tr>
      <w:tr>
        <w:tc>
          <w:tcPr>
            <w:tcW w:type="dxa" w:w="1750"/>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297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5026"/>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750"/>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297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5026"/>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w:t>
      </w:r>
      <w:r>
        <w:rPr>
          <w:rFonts w:ascii="游ゴシック" w:hAnsi="游ゴシック" w:eastAsia="游ゴシック"/>
          <w:b/>
          <w:i w:val="0"/>
          <w:sz w:val="21"/>
        </w:rPr>
        <w:t>同条第7項（改正後第8項）</w:t>
      </w:r>
      <w:r>
        <w:rPr>
          <w:rFonts w:ascii="游ゴシック" w:hAnsi="游ゴシック" w:eastAsia="游ゴシック"/>
          <w:b w:val="0"/>
          <w:i w:val="0"/>
          <w:sz w:val="21"/>
        </w:rPr>
        <w:t>が、市町村老人福祉計画と一体のものとして作成することを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3"/>
        <w:gridCol w:w="1651"/>
        <w:gridCol w:w="5817"/>
      </w:tblGrid>
      <w:tr>
        <w:tc>
          <w:tcPr>
            <w:tcW w:type="dxa" w:w="2283"/>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51"/>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81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283"/>
            <w:vAlign w:val="center"/>
          </w:tcPr>
          <w:p>
            <w:pPr>
              <w:spacing w:before="20" w:after="20"/>
            </w:pPr>
            <w:r>
              <w:rPr>
                <w:rFonts w:ascii="游ゴシック" w:hAnsi="游ゴシック" w:eastAsia="游ゴシック"/>
                <w:b w:val="0"/>
                <w:i w:val="0"/>
                <w:sz w:val="17"/>
              </w:rPr>
              <w:t>小野町総合計画</w:t>
            </w:r>
          </w:p>
        </w:tc>
        <w:tc>
          <w:tcPr>
            <w:tcW w:type="dxa" w:w="1651"/>
            <w:vAlign w:val="center"/>
          </w:tcPr>
          <w:p>
            <w:pPr>
              <w:spacing w:before="20" w:after="20"/>
            </w:pPr>
            <w:r>
              <w:rPr>
                <w:rFonts w:ascii="游ゴシック" w:hAnsi="游ゴシック" w:eastAsia="游ゴシック"/>
                <w:b w:val="0"/>
                <w:i w:val="0"/>
                <w:sz w:val="17"/>
              </w:rPr>
              <w:t>町の最上位計画</w:t>
            </w:r>
          </w:p>
        </w:tc>
        <w:tc>
          <w:tcPr>
            <w:tcW w:type="dxa" w:w="581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283"/>
            <w:vAlign w:val="center"/>
          </w:tcPr>
          <w:p>
            <w:pPr>
              <w:spacing w:before="20" w:after="20"/>
            </w:pPr>
            <w:r>
              <w:rPr>
                <w:rFonts w:ascii="游ゴシック" w:hAnsi="游ゴシック" w:eastAsia="游ゴシック"/>
                <w:b/>
                <w:i w:val="0"/>
                <w:sz w:val="17"/>
              </w:rPr>
              <w:t>小野町第3期地域福祉計画</w:t>
            </w:r>
          </w:p>
        </w:tc>
        <w:tc>
          <w:tcPr>
            <w:tcW w:type="dxa" w:w="1651"/>
            <w:vAlign w:val="center"/>
          </w:tcPr>
          <w:p>
            <w:pPr>
              <w:spacing w:before="20" w:after="20"/>
            </w:pPr>
            <w:r>
              <w:rPr>
                <w:rFonts w:ascii="游ゴシック" w:hAnsi="游ゴシック" w:eastAsia="游ゴシック"/>
                <w:b w:val="0"/>
                <w:i w:val="0"/>
                <w:sz w:val="17"/>
              </w:rPr>
              <w:t>令和8〜12年度</w:t>
            </w:r>
          </w:p>
        </w:tc>
        <w:tc>
          <w:tcPr>
            <w:tcW w:type="dxa" w:w="581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283"/>
            <w:vAlign w:val="center"/>
          </w:tcPr>
          <w:p>
            <w:pPr>
              <w:spacing w:before="20" w:after="20"/>
            </w:pPr>
            <w:r>
              <w:rPr>
                <w:rFonts w:ascii="游ゴシック" w:hAnsi="游ゴシック" w:eastAsia="游ゴシック"/>
                <w:b w:val="0"/>
                <w:i w:val="0"/>
                <w:sz w:val="17"/>
              </w:rPr>
              <w:t>おのまち障がい者計画・障がい福祉計画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283"/>
            <w:vAlign w:val="center"/>
          </w:tcPr>
          <w:p>
            <w:pPr>
              <w:spacing w:before="20" w:after="20"/>
            </w:pPr>
            <w:r>
              <w:rPr>
                <w:rFonts w:ascii="游ゴシック" w:hAnsi="游ゴシック" w:eastAsia="游ゴシック"/>
                <w:b w:val="0"/>
                <w:i w:val="0"/>
                <w:sz w:val="17"/>
              </w:rPr>
              <w:t>小野町こども計画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283"/>
            <w:vAlign w:val="center"/>
          </w:tcPr>
          <w:p>
            <w:pPr>
              <w:spacing w:before="20" w:after="20"/>
            </w:pPr>
            <w:r>
              <w:rPr>
                <w:rFonts w:ascii="游ゴシック" w:hAnsi="游ゴシック" w:eastAsia="游ゴシック"/>
                <w:b w:val="0"/>
                <w:i w:val="0"/>
                <w:sz w:val="17"/>
              </w:rPr>
              <w:t>小野町地域公共交通計画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283"/>
            <w:vAlign w:val="center"/>
          </w:tcPr>
          <w:p>
            <w:pPr>
              <w:spacing w:before="20" w:after="20"/>
            </w:pPr>
            <w:r>
              <w:rPr>
                <w:rFonts w:ascii="游ゴシック" w:hAnsi="游ゴシック" w:eastAsia="游ゴシック"/>
                <w:b w:val="0"/>
                <w:i w:val="0"/>
                <w:sz w:val="17"/>
              </w:rPr>
              <w:t>小野町地域防災計画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283"/>
            <w:vAlign w:val="center"/>
          </w:tcPr>
          <w:p>
            <w:pPr>
              <w:spacing w:before="20" w:after="20"/>
            </w:pPr>
            <w:r>
              <w:rPr>
                <w:rFonts w:ascii="游ゴシック" w:hAnsi="游ゴシック" w:eastAsia="游ゴシック"/>
                <w:b w:val="0"/>
                <w:i w:val="0"/>
                <w:sz w:val="17"/>
              </w:rPr>
              <w:t>小野町過疎地域持続的発展計画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283"/>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283"/>
            <w:vAlign w:val="center"/>
          </w:tcPr>
          <w:p>
            <w:pPr>
              <w:spacing w:before="20" w:after="20"/>
            </w:pPr>
            <w:r>
              <w:rPr>
                <w:rFonts w:ascii="游ゴシック" w:hAnsi="游ゴシック" w:eastAsia="游ゴシック"/>
                <w:b/>
                <w:i w:val="0"/>
                <w:sz w:val="17"/>
              </w:rPr>
              <w:t>福島県高齢者居住安定確保計画</w:t>
            </w:r>
          </w:p>
        </w:tc>
        <w:tc>
          <w:tcPr>
            <w:tcW w:type="dxa" w:w="1651"/>
            <w:vAlign w:val="center"/>
          </w:tcPr>
          <w:p>
            <w:pPr>
              <w:spacing w:before="20" w:after="20"/>
            </w:pPr>
            <w:r>
              <w:rPr>
                <w:rFonts w:ascii="游ゴシック" w:hAnsi="游ゴシック" w:eastAsia="游ゴシック"/>
                <w:b/>
                <w:i w:val="0"/>
                <w:sz w:val="17"/>
              </w:rPr>
              <w:t>令和4〜8年度</w:t>
            </w:r>
          </w:p>
        </w:tc>
        <w:tc>
          <w:tcPr>
            <w:tcW w:type="dxa" w:w="5817"/>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283"/>
            <w:vAlign w:val="center"/>
          </w:tcPr>
          <w:p>
            <w:pPr>
              <w:spacing w:before="20" w:after="20"/>
            </w:pPr>
            <w:r>
              <w:rPr>
                <w:rFonts w:ascii="游ゴシック" w:hAnsi="游ゴシック" w:eastAsia="游ゴシック"/>
                <w:b w:val="0"/>
                <w:i w:val="0"/>
                <w:sz w:val="17"/>
              </w:rPr>
              <w:t>福島県住生活基本計画</w:t>
            </w:r>
          </w:p>
        </w:tc>
        <w:tc>
          <w:tcPr>
            <w:tcW w:type="dxa" w:w="1651"/>
            <w:vAlign w:val="center"/>
          </w:tcPr>
          <w:p>
            <w:pPr>
              <w:spacing w:before="20" w:after="20"/>
            </w:pPr>
            <w:r>
              <w:rPr>
                <w:rFonts w:ascii="游ゴシック" w:hAnsi="游ゴシック" w:eastAsia="游ゴシック"/>
                <w:b w:val="0"/>
                <w:i w:val="0"/>
                <w:sz w:val="17"/>
              </w:rPr>
              <w:t>令和4〜13年度</w:t>
            </w:r>
          </w:p>
        </w:tc>
        <w:tc>
          <w:tcPr>
            <w:tcW w:type="dxa" w:w="5817"/>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283"/>
            <w:vAlign w:val="center"/>
          </w:tcPr>
          <w:p>
            <w:pPr>
              <w:spacing w:before="20" w:after="20"/>
            </w:pPr>
            <w:r>
              <w:rPr>
                <w:rFonts w:ascii="游ゴシック" w:hAnsi="游ゴシック" w:eastAsia="游ゴシック"/>
                <w:b w:val="0"/>
                <w:i w:val="0"/>
                <w:sz w:val="17"/>
              </w:rPr>
              <w:t>福島県賃貸住宅供給促進計画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283"/>
            <w:vAlign w:val="center"/>
          </w:tcPr>
          <w:p>
            <w:pPr>
              <w:spacing w:before="20" w:after="20"/>
            </w:pPr>
            <w:r>
              <w:rPr>
                <w:rFonts w:ascii="游ゴシック" w:hAnsi="游ゴシック" w:eastAsia="游ゴシック"/>
                <w:b/>
                <w:i w:val="0"/>
                <w:sz w:val="17"/>
              </w:rPr>
              <w:t>福島県保健医療計画（第八次）・地域医療構想</w:t>
            </w:r>
          </w:p>
        </w:tc>
        <w:tc>
          <w:tcPr>
            <w:tcW w:type="dxa" w:w="1651"/>
            <w:vAlign w:val="center"/>
          </w:tcPr>
          <w:p>
            <w:pPr>
              <w:spacing w:before="20" w:after="20"/>
            </w:pPr>
            <w:r>
              <w:rPr>
                <w:rFonts w:ascii="游ゴシック" w:hAnsi="游ゴシック" w:eastAsia="游ゴシック"/>
                <w:b w:val="0"/>
                <w:i w:val="0"/>
                <w:sz w:val="17"/>
              </w:rPr>
              <w:t>令和6〜11年度</w:t>
            </w:r>
          </w:p>
        </w:tc>
        <w:tc>
          <w:tcPr>
            <w:tcW w:type="dxa" w:w="5817"/>
            <w:vAlign w:val="center"/>
          </w:tcPr>
          <w:p>
            <w:pPr>
              <w:spacing w:before="20" w:after="20"/>
            </w:pPr>
            <w:r>
              <w:rPr>
                <w:rFonts w:ascii="游ゴシック" w:hAnsi="游ゴシック" w:eastAsia="游ゴシック"/>
                <w:b/>
                <w:i w:val="0"/>
                <w:sz w:val="17"/>
              </w:rPr>
              <w:t>3課長連名通知が整合を求めるもの</w:t>
            </w:r>
            <w:r>
              <w:rPr>
                <w:rFonts w:ascii="游ゴシック" w:hAnsi="游ゴシック" w:eastAsia="游ゴシック"/>
                <w:b w:val="0"/>
                <w:i w:val="0"/>
                <w:sz w:val="17"/>
              </w:rPr>
              <w:t>（法律上の義務ではありません。下記の※を参照）。在宅医療の体制、病床の機能分化・連携（第5章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第117条第10項（改正後第11項）は、地域における医療及び介護の総合的な確保の促進に関する法律第5条第1項の市町村計画に対して整合性の確保を、同条第11項（改正後第12項）は、市町村地域福祉計画（社会福祉法第107条第1項）・市町村高齢者居住安定確保計画（高齢者住まい法第4条の2第1項）その他の計画に対して調和を求めています。</w:t>
      </w:r>
      <w:r>
        <w:rPr>
          <w:rFonts w:ascii="游ゴシック" w:hAnsi="游ゴシック" w:eastAsia="游ゴシック"/>
          <w:b/>
          <w:i w:val="0"/>
          <w:sz w:val="17"/>
        </w:rPr>
        <w:t>※ 医療計画（医療法第30条の4第1項）との整合性の確保は、第118条第10項が都道府県介護保険事業支援計画に求めるもので、市町村介護保険事業計画の法律上の義務ではありません。</w:t>
      </w:r>
      <w:r>
        <w:rPr>
          <w:rFonts w:ascii="游ゴシック" w:hAnsi="游ゴシック" w:eastAsia="游ゴシック"/>
          <w:b/>
          <w:i w:val="0"/>
          <w:sz w:val="17"/>
        </w:rPr>
        <w:t>第117条には「医療計画」の語が1度も現れません</w:t>
      </w:r>
      <w:r>
        <w:rPr>
          <w:rFonts w:ascii="游ゴシック" w:hAnsi="游ゴシック" w:eastAsia="游ゴシック"/>
          <w:b w:val="0"/>
          <w:i w:val="0"/>
          <w:sz w:val="17"/>
        </w:rPr>
        <w:t>（現行条文・e-Gov 法令API 令和8年10月19日取得で確認）。</w:t>
      </w:r>
      <w:r>
        <w:rPr>
          <w:rFonts w:ascii="游ゴシック" w:hAnsi="游ゴシック" w:eastAsia="游ゴシック"/>
          <w:b/>
          <w:i w:val="0"/>
          <w:sz w:val="17"/>
        </w:rPr>
        <w:t>本計画が県保健医療計画との整合を図るのは、下記の3課長連名通知によるものです。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地域医療構想は、現行では医療計画の一部ですが（医療法第30条の4第2項第7号）、令和9年4月1日からは県が医療計画とは別に定める「将来の医療提供体制に関する構想」に改まります（改正後の同法第30条の3の3第1項）。</w:t>
      </w:r>
      <w:r>
        <w:rPr>
          <w:rFonts w:ascii="游ゴシック" w:hAnsi="游ゴシック" w:eastAsia="游ゴシック"/>
          <w:b w:val="0"/>
          <w:i w:val="0"/>
          <w:sz w:val="17"/>
        </w:rPr>
        <w:t>県の新たな地域医療構想が示された段階で第5章 基本目標2⑦に反映します（【決定後に記載】）。</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1"/>
        <w:gridCol w:w="7790"/>
      </w:tblGrid>
      <w:tr>
        <w:tc>
          <w:tcPr>
            <w:tcW w:type="dxa" w:w="1961"/>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79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61"/>
            <w:vAlign w:val="center"/>
          </w:tcPr>
          <w:p>
            <w:pPr>
              <w:spacing w:before="20" w:after="20"/>
            </w:pPr>
            <w:r>
              <w:rPr>
                <w:rFonts w:ascii="游ゴシック" w:hAnsi="游ゴシック" w:eastAsia="游ゴシック"/>
                <w:b/>
                <w:i w:val="0"/>
                <w:sz w:val="17"/>
              </w:rPr>
              <w:t>① 中長期の時間軸</w:t>
            </w:r>
          </w:p>
        </w:tc>
        <w:tc>
          <w:tcPr>
            <w:tcW w:type="dxa" w:w="7790"/>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1961"/>
            <w:vAlign w:val="center"/>
          </w:tcPr>
          <w:p>
            <w:pPr>
              <w:spacing w:before="20" w:after="20"/>
            </w:pPr>
            <w:r>
              <w:rPr>
                <w:rFonts w:ascii="游ゴシック" w:hAnsi="游ゴシック" w:eastAsia="游ゴシック"/>
                <w:b/>
                <w:i w:val="0"/>
                <w:sz w:val="17"/>
              </w:rPr>
              <w:t>② 需要と供給の分離</w:t>
            </w:r>
          </w:p>
        </w:tc>
        <w:tc>
          <w:tcPr>
            <w:tcW w:type="dxa" w:w="7790"/>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1961"/>
            <w:vAlign w:val="center"/>
          </w:tcPr>
          <w:p>
            <w:pPr>
              <w:spacing w:before="20" w:after="20"/>
            </w:pPr>
            <w:r>
              <w:rPr>
                <w:rFonts w:ascii="游ゴシック" w:hAnsi="游ゴシック" w:eastAsia="游ゴシック"/>
                <w:b/>
                <w:i w:val="0"/>
                <w:sz w:val="17"/>
              </w:rPr>
              <w:t>③ 供給の空白の可視化</w:t>
            </w:r>
          </w:p>
        </w:tc>
        <w:tc>
          <w:tcPr>
            <w:tcW w:type="dxa" w:w="7790"/>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1961"/>
            <w:vAlign w:val="center"/>
          </w:tcPr>
          <w:p>
            <w:pPr>
              <w:spacing w:before="20" w:after="20"/>
            </w:pPr>
            <w:r>
              <w:rPr>
                <w:rFonts w:ascii="游ゴシック" w:hAnsi="游ゴシック" w:eastAsia="游ゴシック"/>
                <w:b/>
                <w:i w:val="0"/>
                <w:sz w:val="17"/>
              </w:rPr>
              <w:t>④ 本人・家族の生活成果</w:t>
            </w:r>
          </w:p>
        </w:tc>
        <w:tc>
          <w:tcPr>
            <w:tcW w:type="dxa" w:w="7790"/>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1961"/>
            <w:vAlign w:val="center"/>
          </w:tcPr>
          <w:p>
            <w:pPr>
              <w:spacing w:before="20" w:after="20"/>
            </w:pPr>
            <w:r>
              <w:rPr>
                <w:rFonts w:ascii="游ゴシック" w:hAnsi="游ゴシック" w:eastAsia="游ゴシック"/>
                <w:b/>
                <w:i w:val="0"/>
                <w:sz w:val="17"/>
              </w:rPr>
              <w:t>⑤ 活動と成果の対応</w:t>
            </w:r>
          </w:p>
        </w:tc>
        <w:tc>
          <w:tcPr>
            <w:tcW w:type="dxa" w:w="7790"/>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1961"/>
            <w:vAlign w:val="center"/>
          </w:tcPr>
          <w:p>
            <w:pPr>
              <w:keepNext/>
              <w:spacing w:before="20" w:after="20"/>
            </w:pPr>
            <w:r>
              <w:rPr>
                <w:rFonts w:ascii="游ゴシック" w:hAnsi="游ゴシック" w:eastAsia="游ゴシック"/>
                <w:b/>
                <w:i w:val="0"/>
                <w:sz w:val="17"/>
              </w:rPr>
              <w:t>⑥ 実行可能性</w:t>
            </w:r>
          </w:p>
        </w:tc>
        <w:tc>
          <w:tcPr>
            <w:tcW w:type="dxa" w:w="7790"/>
            <w:vAlign w:val="center"/>
          </w:tcPr>
          <w:p>
            <w:pPr>
              <w:keepNext/>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r>
        <w:tc>
          <w:tcPr>
            <w:tcW w:type="dxa" w:w="1961"/>
            <w:vAlign w:val="center"/>
          </w:tcPr>
          <w:p>
            <w:pPr>
              <w:spacing w:before="20" w:after="20"/>
            </w:pPr>
            <w:r>
              <w:rPr>
                <w:rFonts w:ascii="游ゴシック" w:hAnsi="游ゴシック" w:eastAsia="游ゴシック"/>
                <w:b/>
                <w:i w:val="0"/>
                <w:sz w:val="17"/>
              </w:rPr>
              <w:t>⑦ 地域の類型</w:t>
            </w:r>
          </w:p>
        </w:tc>
        <w:tc>
          <w:tcPr>
            <w:tcW w:type="dxa" w:w="7790"/>
            <w:vAlign w:val="center"/>
          </w:tcPr>
          <w:p>
            <w:pPr>
              <w:spacing w:before="20" w:after="20"/>
            </w:pPr>
            <w:r>
              <w:rPr>
                <w:rFonts w:ascii="游ゴシック" w:hAnsi="游ゴシック" w:eastAsia="游ゴシック"/>
                <w:b/>
                <w:i w:val="0"/>
                <w:sz w:val="17"/>
              </w:rPr>
              <w:t>国の基本指針の案は、「大都市部」「中山間・人口減少地域」「一般市等」の地域の類型を念頭に、「時間軸」「地域軸」の両面から計画を立てることを求めています。</w:t>
            </w:r>
            <w:r>
              <w:rPr>
                <w:rFonts w:ascii="游ゴシック" w:hAnsi="游ゴシック" w:eastAsia="游ゴシック"/>
                <w:b w:val="0"/>
                <w:i w:val="0"/>
                <w:sz w:val="17"/>
              </w:rPr>
              <w:t xml:space="preserve"> 本町は、総人口8千人台で人口の減少が続き、町全域が過疎地域、旧夏井村の区域が振興山村であることから、</w:t>
            </w:r>
            <w:r>
              <w:rPr>
                <w:rFonts w:ascii="游ゴシック" w:hAnsi="游ゴシック" w:eastAsia="游ゴシック"/>
                <w:b/>
                <w:i w:val="0"/>
                <w:sz w:val="17"/>
              </w:rPr>
              <w:t>「中山間・人口減少地域」の類型に当たります。</w:t>
            </w:r>
            <w:r>
              <w:rPr>
                <w:rFonts w:ascii="游ゴシック" w:hAnsi="游ゴシック" w:eastAsia="游ゴシック"/>
                <w:b w:val="0"/>
                <w:i w:val="0"/>
                <w:sz w:val="17"/>
              </w:rPr>
              <w:t xml:space="preserve"> 地域の現状は、基本指針の案の別表1の指標を参考に把握します（資料編12）</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庁内では、介護保険・高齢者福祉の担当を事務局とし、関係する担当と連携して検討します。</w:t>
      </w:r>
      <w:r>
        <w:rPr>
          <w:rFonts w:ascii="游ゴシック" w:hAnsi="游ゴシック" w:eastAsia="游ゴシック"/>
          <w:b w:val="0"/>
          <w:i w:val="0"/>
          <w:sz w:val="21"/>
        </w:rPr>
        <w:t>関係する担当と、それぞれが関わる事項は下表のとおりです。庁内の会議の名称・構成・開催予定は【決定後に記載】。</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14"/>
        <w:gridCol w:w="4888"/>
        <w:gridCol w:w="2749"/>
      </w:tblGrid>
      <w:tr>
        <w:tc>
          <w:tcPr>
            <w:tcW w:type="dxa" w:w="2114"/>
            <w:shd w:val="clear" w:fill="1F3864"/>
            <w:vAlign w:val="center"/>
          </w:tcPr>
          <w:p>
            <w:pPr>
              <w:spacing w:before="20" w:after="20"/>
              <w:jc w:val="center"/>
            </w:pPr>
            <w:r>
              <w:rPr>
                <w:rFonts w:ascii="游ゴシック" w:hAnsi="游ゴシック" w:eastAsia="游ゴシック"/>
                <w:b/>
                <w:i w:val="0"/>
                <w:color w:val="FFFFFF"/>
                <w:sz w:val="17"/>
              </w:rPr>
              <w:t>関係する担当</w:t>
            </w:r>
          </w:p>
        </w:tc>
        <w:tc>
          <w:tcPr>
            <w:tcW w:type="dxa" w:w="4888"/>
            <w:shd w:val="clear" w:fill="1F3864"/>
            <w:vAlign w:val="center"/>
          </w:tcPr>
          <w:p>
            <w:pPr>
              <w:spacing w:before="20" w:after="20"/>
              <w:jc w:val="center"/>
            </w:pPr>
            <w:r>
              <w:rPr>
                <w:rFonts w:ascii="游ゴシック" w:hAnsi="游ゴシック" w:eastAsia="游ゴシック"/>
                <w:b/>
                <w:i w:val="0"/>
                <w:color w:val="FFFFFF"/>
                <w:sz w:val="17"/>
              </w:rPr>
              <w:t>関わる事項</w:t>
            </w:r>
          </w:p>
        </w:tc>
        <w:tc>
          <w:tcPr>
            <w:tcW w:type="dxa" w:w="2749"/>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2114"/>
            <w:vAlign w:val="center"/>
          </w:tcPr>
          <w:p>
            <w:pPr>
              <w:spacing w:before="20" w:after="20"/>
            </w:pPr>
            <w:r>
              <w:rPr>
                <w:rFonts w:ascii="游ゴシック" w:hAnsi="游ゴシック" w:eastAsia="游ゴシック"/>
                <w:b w:val="0"/>
                <w:i w:val="0"/>
                <w:sz w:val="17"/>
              </w:rPr>
              <w:t>保健（健康づくり）</w:t>
            </w:r>
          </w:p>
        </w:tc>
        <w:tc>
          <w:tcPr>
            <w:tcW w:type="dxa" w:w="4888"/>
            <w:vAlign w:val="center"/>
          </w:tcPr>
          <w:p>
            <w:pPr>
              <w:spacing w:before="20" w:after="20"/>
            </w:pPr>
            <w:r>
              <w:rPr>
                <w:rFonts w:ascii="游ゴシック" w:hAnsi="游ゴシック" w:eastAsia="游ゴシック"/>
                <w:b w:val="0"/>
                <w:i w:val="0"/>
                <w:sz w:val="17"/>
              </w:rPr>
              <w:t>健康増進計画、特定健診、一体的実施</w:t>
            </w:r>
          </w:p>
        </w:tc>
        <w:tc>
          <w:tcPr>
            <w:tcW w:type="dxa" w:w="2749"/>
            <w:vAlign w:val="center"/>
          </w:tcPr>
          <w:p>
            <w:pPr>
              <w:spacing w:before="20" w:after="20"/>
            </w:pPr>
            <w:r>
              <w:rPr>
                <w:rFonts w:ascii="游ゴシック" w:hAnsi="游ゴシック" w:eastAsia="游ゴシック"/>
                <w:b w:val="0"/>
                <w:i w:val="0"/>
                <w:sz w:val="17"/>
              </w:rPr>
              <w:t>第4章3、第5章 基本目標1①・②</w:t>
            </w:r>
          </w:p>
        </w:tc>
      </w:tr>
      <w:tr>
        <w:tc>
          <w:tcPr>
            <w:tcW w:type="dxa" w:w="2114"/>
            <w:vAlign w:val="center"/>
          </w:tcPr>
          <w:p>
            <w:pPr>
              <w:spacing w:before="20" w:after="20"/>
            </w:pPr>
            <w:r>
              <w:rPr>
                <w:rFonts w:ascii="游ゴシック" w:hAnsi="游ゴシック" w:eastAsia="游ゴシック"/>
                <w:b w:val="0"/>
                <w:i w:val="0"/>
                <w:sz w:val="17"/>
              </w:rPr>
              <w:t>障がい福祉</w:t>
            </w:r>
          </w:p>
        </w:tc>
        <w:tc>
          <w:tcPr>
            <w:tcW w:type="dxa" w:w="4888"/>
            <w:vAlign w:val="center"/>
          </w:tcPr>
          <w:p>
            <w:pPr>
              <w:spacing w:before="20" w:after="20"/>
            </w:pPr>
            <w:r>
              <w:rPr>
                <w:rFonts w:ascii="游ゴシック" w:hAnsi="游ゴシック" w:eastAsia="游ゴシック"/>
                <w:b w:val="0"/>
                <w:i w:val="0"/>
                <w:sz w:val="17"/>
              </w:rPr>
              <w:t>障がい福祉計画との接点、共生型サービス</w:t>
            </w:r>
          </w:p>
        </w:tc>
        <w:tc>
          <w:tcPr>
            <w:tcW w:type="dxa" w:w="2749"/>
            <w:vAlign w:val="center"/>
          </w:tcPr>
          <w:p>
            <w:pPr>
              <w:spacing w:before="20" w:after="20"/>
            </w:pPr>
            <w:r>
              <w:rPr>
                <w:rFonts w:ascii="游ゴシック" w:hAnsi="游ゴシック" w:eastAsia="游ゴシック"/>
                <w:b w:val="0"/>
                <w:i w:val="0"/>
                <w:sz w:val="17"/>
              </w:rPr>
              <w:t>第4章4</w:t>
            </w:r>
          </w:p>
        </w:tc>
      </w:tr>
      <w:tr>
        <w:tc>
          <w:tcPr>
            <w:tcW w:type="dxa" w:w="2114"/>
            <w:vAlign w:val="center"/>
          </w:tcPr>
          <w:p>
            <w:pPr>
              <w:spacing w:before="20" w:after="20"/>
            </w:pPr>
            <w:r>
              <w:rPr>
                <w:rFonts w:ascii="游ゴシック" w:hAnsi="游ゴシック" w:eastAsia="游ゴシック"/>
                <w:b w:val="0"/>
                <w:i w:val="0"/>
                <w:sz w:val="17"/>
              </w:rPr>
              <w:t>地域福祉</w:t>
            </w:r>
          </w:p>
        </w:tc>
        <w:tc>
          <w:tcPr>
            <w:tcW w:type="dxa" w:w="4888"/>
            <w:vAlign w:val="center"/>
          </w:tcPr>
          <w:p>
            <w:pPr>
              <w:spacing w:before="20" w:after="20"/>
            </w:pPr>
            <w:r>
              <w:rPr>
                <w:rFonts w:ascii="游ゴシック" w:hAnsi="游ゴシック" w:eastAsia="游ゴシック"/>
                <w:b w:val="0"/>
                <w:i w:val="0"/>
                <w:sz w:val="17"/>
              </w:rPr>
              <w:t>第3期地域福祉計画、重層的支援体制整備事業</w:t>
            </w:r>
          </w:p>
        </w:tc>
        <w:tc>
          <w:tcPr>
            <w:tcW w:type="dxa" w:w="2749"/>
            <w:vAlign w:val="center"/>
          </w:tcPr>
          <w:p>
            <w:pPr>
              <w:spacing w:before="20" w:after="20"/>
            </w:pPr>
            <w:r>
              <w:rPr>
                <w:rFonts w:ascii="游ゴシック" w:hAnsi="游ゴシック" w:eastAsia="游ゴシック"/>
                <w:b w:val="0"/>
                <w:i w:val="0"/>
                <w:sz w:val="17"/>
              </w:rPr>
              <w:t>第4章3</w:t>
            </w:r>
          </w:p>
        </w:tc>
      </w:tr>
      <w:tr>
        <w:tc>
          <w:tcPr>
            <w:tcW w:type="dxa" w:w="2114"/>
            <w:vAlign w:val="center"/>
          </w:tcPr>
          <w:p>
            <w:pPr>
              <w:spacing w:before="20" w:after="20"/>
            </w:pPr>
            <w:r>
              <w:rPr>
                <w:rFonts w:ascii="游ゴシック" w:hAnsi="游ゴシック" w:eastAsia="游ゴシック"/>
                <w:b/>
                <w:i w:val="0"/>
                <w:sz w:val="17"/>
              </w:rPr>
              <w:t>住宅</w:t>
            </w:r>
          </w:p>
        </w:tc>
        <w:tc>
          <w:tcPr>
            <w:tcW w:type="dxa" w:w="4888"/>
            <w:vAlign w:val="center"/>
          </w:tcPr>
          <w:p>
            <w:pPr>
              <w:spacing w:before="20" w:after="20"/>
            </w:pPr>
            <w:r>
              <w:rPr>
                <w:rFonts w:ascii="游ゴシック" w:hAnsi="游ゴシック" w:eastAsia="游ゴシック"/>
                <w:b/>
                <w:i w:val="0"/>
                <w:sz w:val="17"/>
              </w:rPr>
              <w:t>有料老人ホーム・サービス付き高齢者向け住宅の入居定員の把握、県の高齢者居住安定確保計画との調和、公営住宅</w:t>
            </w:r>
          </w:p>
        </w:tc>
        <w:tc>
          <w:tcPr>
            <w:tcW w:type="dxa" w:w="2749"/>
            <w:vAlign w:val="center"/>
          </w:tcPr>
          <w:p>
            <w:pPr>
              <w:spacing w:before="20" w:after="20"/>
            </w:pPr>
            <w:r>
              <w:rPr>
                <w:rFonts w:ascii="游ゴシック" w:hAnsi="游ゴシック" w:eastAsia="游ゴシック"/>
                <w:b w:val="0"/>
                <w:i w:val="0"/>
                <w:sz w:val="17"/>
              </w:rPr>
              <w:t>第1章3、第2章5、第6章2</w:t>
            </w:r>
          </w:p>
        </w:tc>
      </w:tr>
      <w:tr>
        <w:tc>
          <w:tcPr>
            <w:tcW w:type="dxa" w:w="2114"/>
            <w:vAlign w:val="center"/>
          </w:tcPr>
          <w:p>
            <w:pPr>
              <w:keepNext/>
              <w:spacing w:before="20" w:after="20"/>
            </w:pPr>
            <w:r>
              <w:rPr>
                <w:rFonts w:ascii="游ゴシック" w:hAnsi="游ゴシック" w:eastAsia="游ゴシック"/>
                <w:b w:val="0"/>
                <w:i w:val="0"/>
                <w:sz w:val="17"/>
              </w:rPr>
              <w:t>防災</w:t>
            </w:r>
          </w:p>
        </w:tc>
        <w:tc>
          <w:tcPr>
            <w:tcW w:type="dxa" w:w="4888"/>
            <w:vAlign w:val="center"/>
          </w:tcPr>
          <w:p>
            <w:pPr>
              <w:keepNext/>
              <w:spacing w:before="20" w:after="20"/>
            </w:pPr>
            <w:r>
              <w:rPr>
                <w:rFonts w:ascii="游ゴシック" w:hAnsi="游ゴシック" w:eastAsia="游ゴシック"/>
                <w:b w:val="0"/>
                <w:i w:val="0"/>
                <w:sz w:val="17"/>
              </w:rPr>
              <w:t>避難行動要支援者名簿、個別避難計画、福祉避難所</w:t>
            </w:r>
          </w:p>
        </w:tc>
        <w:tc>
          <w:tcPr>
            <w:tcW w:type="dxa" w:w="2749"/>
            <w:vAlign w:val="center"/>
          </w:tcPr>
          <w:p>
            <w:pPr>
              <w:keepNext/>
              <w:spacing w:before="20" w:after="20"/>
            </w:pPr>
            <w:r>
              <w:rPr>
                <w:rFonts w:ascii="游ゴシック" w:hAnsi="游ゴシック" w:eastAsia="游ゴシック"/>
                <w:b w:val="0"/>
                <w:i w:val="0"/>
                <w:sz w:val="17"/>
              </w:rPr>
              <w:t>第5章 基本目標2④</w:t>
            </w:r>
          </w:p>
        </w:tc>
      </w:tr>
      <w:tr>
        <w:tc>
          <w:tcPr>
            <w:tcW w:type="dxa" w:w="2114"/>
            <w:vAlign w:val="center"/>
          </w:tcPr>
          <w:p>
            <w:pPr>
              <w:spacing w:before="20" w:after="20"/>
            </w:pPr>
            <w:r>
              <w:rPr>
                <w:rFonts w:ascii="游ゴシック" w:hAnsi="游ゴシック" w:eastAsia="游ゴシック"/>
                <w:b w:val="0"/>
                <w:i w:val="0"/>
                <w:sz w:val="17"/>
              </w:rPr>
              <w:t>企画（公共交通）</w:t>
            </w:r>
          </w:p>
        </w:tc>
        <w:tc>
          <w:tcPr>
            <w:tcW w:type="dxa" w:w="4888"/>
            <w:vAlign w:val="center"/>
          </w:tcPr>
          <w:p>
            <w:pPr>
              <w:spacing w:before="20" w:after="20"/>
            </w:pPr>
            <w:r>
              <w:rPr>
                <w:rFonts w:ascii="游ゴシック" w:hAnsi="游ゴシック" w:eastAsia="游ゴシック"/>
                <w:b w:val="0"/>
                <w:i w:val="0"/>
                <w:sz w:val="17"/>
              </w:rPr>
              <w:t>町営バス・デマンド型交通、移送・外出支援</w:t>
            </w:r>
          </w:p>
        </w:tc>
        <w:tc>
          <w:tcPr>
            <w:tcW w:type="dxa" w:w="2749"/>
            <w:vAlign w:val="center"/>
          </w:tcPr>
          <w:p>
            <w:pPr>
              <w:spacing w:before="20" w:after="20"/>
            </w:pPr>
            <w:r>
              <w:rPr>
                <w:rFonts w:ascii="游ゴシック" w:hAnsi="游ゴシック" w:eastAsia="游ゴシック"/>
                <w:b w:val="0"/>
                <w:i w:val="0"/>
                <w:sz w:val="17"/>
              </w:rPr>
              <w:t>第1章5、第5章 基本目標2⑤</w:t>
            </w:r>
          </w:p>
        </w:tc>
      </w:tr>
    </w:tbl>
    <w:p>
      <w:pPr>
        <w:spacing w:after="40"/>
      </w:pP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【表15】第1章7　計画の策定体制（2）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val="0"/>
                <w:i w:val="0"/>
                <w:sz w:val="17"/>
              </w:rPr>
              <w:t>庁内の検討体制</w:t>
            </w:r>
          </w:p>
        </w:tc>
        <w:tc>
          <w:tcPr>
            <w:tcW w:type="dxa" w:w="6665"/>
            <w:vAlign w:val="center"/>
          </w:tcPr>
          <w:p>
            <w:pPr>
              <w:spacing w:before="20" w:after="20"/>
            </w:pPr>
            <w:r>
              <w:rPr>
                <w:rFonts w:ascii="游ゴシック" w:hAnsi="游ゴシック" w:eastAsia="游ゴシック"/>
                <w:b w:val="0"/>
                <w:i w:val="0"/>
                <w:sz w:val="17"/>
              </w:rPr>
              <w:t>会議の名称・構成・開催予定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【表16】第2章1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【表17】第2章1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【表18】第2章2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【表19】第2章2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【表20】第2章2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【表21】第2章3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【表22】第2章3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【表23】第2章3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【表24】第2章3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【表25】第2章3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【表26】第2章3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【表27】第2章3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【表28】第2章4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この差が繰越金と基金に蓄積しています。</w:t>
      </w:r>
      <w:r>
        <w:rPr>
          <w:rFonts w:ascii="游ゴシック" w:hAnsi="游ゴシック" w:eastAsia="游ゴシック"/>
          <w:b/>
          <w:i w:val="0"/>
          <w:sz w:val="21"/>
        </w:rPr>
        <w:t>令和5年度末の基金残高は120.0百万円（町の財務書類）で、繰越金と合わせて300百万円程度の財政的な余力があります。</w:t>
      </w:r>
    </w:p>
    <w:p>
      <w:pPr>
        <w:keepNext/>
        <w:spacing w:before="200" w:after="40"/>
      </w:pPr>
      <w:r>
        <w:rPr>
          <w:rFonts w:ascii="游ゴシック" w:hAnsi="游ゴシック" w:eastAsia="游ゴシック"/>
          <w:b/>
          <w:i w:val="0"/>
          <w:color w:val="1F4D78"/>
          <w:sz w:val="22"/>
        </w:rPr>
        <w:t>【表29】第2章4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基金の残高は、町の財務書類で令和5年度末120,000千円と確かめられます。</w:t>
      </w:r>
      <w:r>
        <w:rPr>
          <w:rFonts w:ascii="游ゴシック" w:hAnsi="游ゴシック" w:eastAsia="游ゴシック"/>
          <w:b w:val="0"/>
          <w:i w:val="0"/>
          <w:sz w:val="17"/>
        </w:rPr>
        <w:t xml:space="preserve"> 以後の積立と令和8年度予算の積立（当初30,000千円、9月補正30,000千円）を足すと、</w:t>
      </w:r>
      <w:r>
        <w:rPr>
          <w:rFonts w:ascii="游ゴシック" w:hAnsi="游ゴシック" w:eastAsia="游ゴシック"/>
          <w:b/>
          <w:i w:val="0"/>
          <w:sz w:val="17"/>
        </w:rPr>
        <w:t>令和8年度末は210,000千円の見込みです</w:t>
      </w:r>
      <w:r>
        <w:rPr>
          <w:rFonts w:ascii="游ゴシック" w:hAnsi="游ゴシック" w:eastAsia="游ゴシック"/>
          <w:b w:val="0"/>
          <w:i w:val="0"/>
          <w:sz w:val="17"/>
        </w:rPr>
        <w:t>（令和7年度末の残高は【町データ待ち】）。年報 様式4の保有額（令和5・6年度末12,000千円）は、財務書類と合いません。</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spacing w:before="40" w:after="160"/>
        <w:ind w:left="113"/>
      </w:pPr>
      <w:r>
        <w:rPr>
          <w:rFonts w:ascii="游ゴシック" w:hAnsi="游ゴシック" w:eastAsia="游ゴシック"/>
          <w:b/>
          <w:i w:val="0"/>
          <w:sz w:val="17"/>
        </w:rPr>
        <w:t>※ 第9期計画（令和6年3月）第4章（１）③は、「老人ホームやサービス付き高齢者向け住宅は…町では県や近隣市町村との連携を強化し、施設の設置状況や介護サービスの提供状況などの把握に努めます」としていました。</w:t>
      </w:r>
      <w:r>
        <w:rPr>
          <w:rFonts w:ascii="游ゴシック" w:hAnsi="游ゴシック" w:eastAsia="游ゴシック"/>
          <w:b/>
          <w:i w:val="0"/>
          <w:sz w:val="17"/>
        </w:rPr>
        <w:t>把握に努める段階であったものが、改正により勘案しなければならないものになります。</w:t>
      </w:r>
      <w:r>
        <w:rPr>
          <w:rFonts w:ascii="游ゴシック" w:hAnsi="游ゴシック" w:eastAsia="游ゴシック"/>
          <w:b w:val="0"/>
          <w:i w:val="0"/>
          <w:sz w:val="17"/>
        </w:rPr>
        <w:t>入居定員総数は、老人福祉法第29条第1項の届出と高齢者住まい法の登録をいずれも</w:t>
      </w:r>
      <w:r>
        <w:rPr>
          <w:rFonts w:ascii="游ゴシック" w:hAnsi="游ゴシック" w:eastAsia="游ゴシック"/>
          <w:b/>
          <w:i w:val="0"/>
          <w:sz w:val="17"/>
        </w:rPr>
        <w:t>県</w:t>
      </w:r>
      <w:r>
        <w:rPr>
          <w:rFonts w:ascii="游ゴシック" w:hAnsi="游ゴシック" w:eastAsia="游ゴシック"/>
          <w:b w:val="0"/>
          <w:i w:val="0"/>
          <w:sz w:val="17"/>
        </w:rPr>
        <w:t>が受けるため、県への照会が要ります（【町データ待ち】）。</w:t>
      </w:r>
    </w:p>
    <w:p>
      <w:pPr>
        <w:keepNext/>
        <w:spacing w:before="200" w:after="40"/>
      </w:pPr>
      <w:r>
        <w:rPr>
          <w:rFonts w:ascii="游ゴシック" w:hAnsi="游ゴシック" w:eastAsia="游ゴシック"/>
          <w:b/>
          <w:i w:val="0"/>
          <w:color w:val="1F4D78"/>
          <w:sz w:val="22"/>
        </w:rPr>
        <w:t>【表30】第2章5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【表31】第2章5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【表32】第2章5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【表33】第2章5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【表34】第2章5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【表35】第2章6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【表36】第2章6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認知症高齢者数の見込みは次のとおりです。認定者に占める認知症高齢者（日常生活自立度Ⅱ以上）の割合（令和8年4月末実績）を認定者数の見込みに乗じたものです。</w:t>
      </w:r>
    </w:p>
    <w:p>
      <w:pPr>
        <w:keepNext/>
        <w:spacing w:before="200" w:after="40"/>
      </w:pPr>
      <w:r>
        <w:rPr>
          <w:rFonts w:ascii="游ゴシック" w:hAnsi="游ゴシック" w:eastAsia="游ゴシック"/>
          <w:b/>
          <w:i w:val="0"/>
          <w:color w:val="1F4D78"/>
          <w:sz w:val="22"/>
        </w:rPr>
        <w:t>【表37】第2章6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445</w:t>
            </w:r>
          </w:p>
        </w:tc>
        <w:tc>
          <w:tcPr>
            <w:tcW w:type="dxa" w:w="1756"/>
            <w:vAlign w:val="center"/>
          </w:tcPr>
          <w:p>
            <w:pPr>
              <w:keepNext/>
              <w:spacing w:before="20" w:after="20"/>
            </w:pPr>
            <w:r>
              <w:rPr>
                <w:rFonts w:ascii="游ゴシック" w:hAnsi="游ゴシック" w:eastAsia="游ゴシック"/>
                <w:b/>
                <w:i w:val="0"/>
                <w:sz w:val="17"/>
              </w:rPr>
              <w:t>445</w:t>
            </w:r>
          </w:p>
        </w:tc>
        <w:tc>
          <w:tcPr>
            <w:tcW w:type="dxa" w:w="1859"/>
            <w:vAlign w:val="center"/>
          </w:tcPr>
          <w:p>
            <w:pPr>
              <w:keepNext/>
              <w:spacing w:before="20" w:after="20"/>
            </w:pPr>
            <w:r>
              <w:rPr>
                <w:rFonts w:ascii="游ゴシック" w:hAnsi="游ゴシック" w:eastAsia="游ゴシック"/>
                <w:b/>
                <w:i w:val="0"/>
                <w:sz w:val="17"/>
              </w:rPr>
              <w:t>442</w:t>
            </w:r>
          </w:p>
        </w:tc>
        <w:tc>
          <w:tcPr>
            <w:tcW w:type="dxa" w:w="1859"/>
            <w:vAlign w:val="center"/>
          </w:tcPr>
          <w:p>
            <w:pPr>
              <w:keepNext/>
              <w:spacing w:before="20" w:after="20"/>
            </w:pPr>
            <w:r>
              <w:rPr>
                <w:rFonts w:ascii="游ゴシック" w:hAnsi="游ゴシック" w:eastAsia="游ゴシック"/>
                <w:b/>
                <w:i w:val="0"/>
                <w:sz w:val="17"/>
              </w:rPr>
              <w:t>439</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56.9％</w:t>
            </w:r>
          </w:p>
        </w:tc>
        <w:tc>
          <w:tcPr>
            <w:tcW w:type="dxa" w:w="1756"/>
            <w:vAlign w:val="center"/>
          </w:tcPr>
          <w:p>
            <w:pPr>
              <w:spacing w:before="20" w:after="20"/>
            </w:pPr>
            <w:r>
              <w:rPr>
                <w:rFonts w:ascii="游ゴシック" w:hAnsi="游ゴシック" w:eastAsia="游ゴシック"/>
                <w:b w:val="0"/>
                <w:i w:val="0"/>
                <w:sz w:val="17"/>
              </w:rPr>
              <w:t>56.9％</w:t>
            </w:r>
          </w:p>
        </w:tc>
        <w:tc>
          <w:tcPr>
            <w:tcW w:type="dxa" w:w="1859"/>
            <w:vAlign w:val="center"/>
          </w:tcPr>
          <w:p>
            <w:pPr>
              <w:spacing w:before="20" w:after="20"/>
            </w:pPr>
            <w:r>
              <w:rPr>
                <w:rFonts w:ascii="游ゴシック" w:hAnsi="游ゴシック" w:eastAsia="游ゴシック"/>
                <w:b w:val="0"/>
                <w:i w:val="0"/>
                <w:sz w:val="17"/>
              </w:rPr>
              <w:t>56.9％</w:t>
            </w:r>
          </w:p>
        </w:tc>
        <w:tc>
          <w:tcPr>
            <w:tcW w:type="dxa" w:w="1859"/>
            <w:vAlign w:val="center"/>
          </w:tcPr>
          <w:p>
            <w:pPr>
              <w:spacing w:before="20" w:after="20"/>
            </w:pPr>
            <w:r>
              <w:rPr>
                <w:rFonts w:ascii="游ゴシック" w:hAnsi="游ゴシック" w:eastAsia="游ゴシック"/>
                <w:b w:val="0"/>
                <w:i w:val="0"/>
                <w:sz w:val="17"/>
              </w:rPr>
              <w:t>56.9％</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 Ｂ7（認知症高齢者自立度の状況）。</w:t>
      </w:r>
      <w:r>
        <w:rPr>
          <w:rFonts w:ascii="游ゴシック" w:hAnsi="游ゴシック" w:eastAsia="游ゴシック"/>
          <w:b/>
          <w:i w:val="0"/>
          <w:sz w:val="17"/>
        </w:rPr>
        <w:t>令和8年4月末の認知症高齢者の日常生活自立度は、Ⅱａ 140人、Ⅱｂ 174人、Ⅲa 117人、Ⅲb 28人、Ⅳ 43人、Ｍ 18人で、自立度Ⅱ以上は計520人。認定者914人に対し56.9％です。</w:t>
      </w:r>
      <w:r>
        <w:rPr>
          <w:rFonts w:ascii="游ゴシック" w:hAnsi="游ゴシック" w:eastAsia="游ゴシック"/>
          <w:b/>
          <w:i w:val="0"/>
          <w:sz w:val="17"/>
        </w:rPr>
        <w:t>※ 第13版までは自立度Ⅲa・Ⅲbの値がなく、下限の値を示していました。</w:t>
      </w:r>
      <w:r>
        <w:rPr>
          <w:rFonts w:ascii="游ゴシック" w:hAnsi="游ゴシック" w:eastAsia="游ゴシック"/>
          <w:b/>
          <w:i w:val="0"/>
          <w:sz w:val="17"/>
        </w:rPr>
        <w:t>※ Ｂ7の認定者数（914人）は介護保険総合データベースによるもので、令和7年9月に生じた認定者数の断層（本章1）が現れていません。そのため人数ではなく割合を用い、令和8年3月末の認定者数に乗じています。</w:t>
      </w:r>
      <w:r>
        <w:rPr>
          <w:rFonts w:ascii="游ゴシック" w:hAnsi="游ゴシック" w:eastAsia="游ゴシック"/>
          <w:b w:val="0"/>
          <w:i w:val="0"/>
          <w:sz w:val="17"/>
        </w:rPr>
        <w:t>断層では重度ほど減少幅が大きい傾向が現れており、自立度の構成も変わっている可能性があります。このため上表は実態把握の目安であり、サービス見込量の算定には用いていません（第5章③）。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【表38】第2章7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【表39】第2章7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【表40】第2章7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繰越金182.0百万円（保険給付費の16.5％）、介護給付費準備基金の残高120.0百万円（令和5年度末）。合わせて300百万円程度の財政的な余力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【表41】第3章1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【表42】第3章2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【表43】第3章3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【表44】第3章3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【表45】第3章3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【表46】第3章4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【表47】第4章1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spacing w:before="60" w:after="60"/>
      </w:pPr>
      <w:r>
        <w:rPr>
          <w:rFonts w:ascii="游ゴシック" w:hAnsi="游ゴシック" w:eastAsia="游ゴシック"/>
          <w:b/>
          <w:i w:val="0"/>
          <w:sz w:val="21"/>
        </w:rPr>
        <w:t>本計画が目指す「本町の地域包括ケアの姿」は、次のとおりです。</w:t>
      </w:r>
    </w:p>
    <w:p>
      <w:pPr>
        <w:spacing w:before="60" w:after="60"/>
      </w:pPr>
      <w:r>
        <w:rPr>
          <w:rFonts w:ascii="游ゴシック" w:hAnsi="游ゴシック" w:eastAsia="游ゴシック"/>
          <w:b w:val="0"/>
          <w:i w:val="0"/>
          <w:sz w:val="21"/>
        </w:rPr>
        <w:t>町全域を1つの日常生活圏域として（第1章5）、医療、介護、介護予防、住まい及び自立した日常生活の支援が包括的に確保され、高齢者が要介護状態や認知症になっても、住み慣れた地域でその有する能力に応じて自分らしい暮らしを続けられる状態をいいます。</w:t>
      </w:r>
      <w:r>
        <w:rPr>
          <w:rFonts w:ascii="游ゴシック" w:hAnsi="游ゴシック" w:eastAsia="游ゴシック"/>
          <w:b/>
          <w:i w:val="0"/>
          <w:sz w:val="21"/>
        </w:rPr>
        <w:t>令和22年に向けて支える人の数が減るなかで、少ない担い手で必要なサービスを届けられる体制を保つことを含みます。</w:t>
      </w:r>
      <w:r>
        <w:rPr>
          <w:rFonts w:ascii="游ゴシック" w:hAnsi="游ゴシック" w:eastAsia="游ゴシック"/>
          <w:b w:val="0"/>
          <w:i w:val="0"/>
          <w:sz w:val="21"/>
        </w:rPr>
        <w:t>その見通しを第6章11に、体制を確保する施策を第6章12に示します。</w:t>
      </w:r>
    </w:p>
    <w:p>
      <w:pPr>
        <w:spacing w:before="40" w:after="160"/>
        <w:ind w:left="113"/>
      </w:pPr>
      <w:r>
        <w:rPr>
          <w:rFonts w:ascii="游ゴシック" w:hAnsi="游ゴシック" w:eastAsia="游ゴシック"/>
          <w:b w:val="0"/>
          <w:i w:val="0"/>
          <w:sz w:val="17"/>
        </w:rPr>
        <w:t>※ 地域包括ケアシステムの定義は、地域における医療及び介護の総合的な確保の促進に関する法律第2条第1項による（e-Gov 法令API 令和8年10月20日取得で確認）。</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【表48】第4章2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【表49】第4章2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【表50】第4章3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【表51】第4章3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spacing w:before="60" w:after="60"/>
      </w:pPr>
      <w:r>
        <w:rPr>
          <w:rFonts w:ascii="游ゴシック" w:hAnsi="游ゴシック" w:eastAsia="游ゴシック"/>
          <w:b/>
          <w:i w:val="0"/>
          <w:sz w:val="21"/>
        </w:rPr>
        <w:t>保健・認知症の分野の関連計画との役割分担は、次のとおりです。</w:t>
      </w:r>
    </w:p>
    <w:p>
      <w:pPr>
        <w:keepNext/>
        <w:spacing w:before="200" w:after="40"/>
      </w:pPr>
      <w:r>
        <w:rPr>
          <w:rFonts w:ascii="游ゴシック" w:hAnsi="游ゴシック" w:eastAsia="游ゴシック"/>
          <w:b/>
          <w:i w:val="0"/>
          <w:color w:val="1F4D78"/>
          <w:sz w:val="22"/>
        </w:rPr>
        <w:t>【表52】第4章3　関連計画との役割分担（3）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92"/>
        <w:gridCol w:w="3161"/>
        <w:gridCol w:w="3998"/>
      </w:tblGrid>
      <w:tr>
        <w:tc>
          <w:tcPr>
            <w:tcW w:type="dxa" w:w="2592"/>
            <w:shd w:val="clear" w:fill="1F3864"/>
            <w:vAlign w:val="center"/>
          </w:tcPr>
          <w:p>
            <w:pPr>
              <w:spacing w:before="20" w:after="20"/>
              <w:jc w:val="center"/>
            </w:pPr>
            <w:r>
              <w:rPr>
                <w:rFonts w:ascii="游ゴシック" w:hAnsi="游ゴシック" w:eastAsia="游ゴシック"/>
                <w:b/>
                <w:i w:val="0"/>
                <w:color w:val="FFFFFF"/>
                <w:sz w:val="17"/>
              </w:rPr>
              <w:t>関連計画・事業</w:t>
            </w:r>
          </w:p>
        </w:tc>
        <w:tc>
          <w:tcPr>
            <w:tcW w:type="dxa" w:w="31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99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592"/>
            <w:vAlign w:val="center"/>
          </w:tcPr>
          <w:p>
            <w:pPr>
              <w:spacing w:before="20" w:after="20"/>
            </w:pPr>
            <w:r>
              <w:rPr>
                <w:rFonts w:ascii="游ゴシック" w:hAnsi="游ゴシック" w:eastAsia="游ゴシック"/>
                <w:b w:val="0"/>
                <w:i w:val="0"/>
                <w:sz w:val="17"/>
              </w:rPr>
              <w:t>市町村健康増進計画</w:t>
            </w:r>
          </w:p>
        </w:tc>
        <w:tc>
          <w:tcPr>
            <w:tcW w:type="dxa" w:w="3161"/>
            <w:vAlign w:val="center"/>
          </w:tcPr>
          <w:p>
            <w:pPr>
              <w:spacing w:before="20" w:after="20"/>
            </w:pPr>
            <w:r>
              <w:rPr>
                <w:rFonts w:ascii="游ゴシック" w:hAnsi="游ゴシック" w:eastAsia="游ゴシック"/>
                <w:b w:val="0"/>
                <w:i w:val="0"/>
                <w:sz w:val="17"/>
              </w:rPr>
              <w:t>健康増進法第8条第2項（努力義務）</w:t>
            </w:r>
          </w:p>
        </w:tc>
        <w:tc>
          <w:tcPr>
            <w:tcW w:type="dxa" w:w="3998"/>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生活習慣病の予防と健康づくりの全般は同計画が担う。本計画は、フレイル予防・介護予防につながる部分に絞る（第5章 基本目標1①・②）</w:t>
            </w:r>
          </w:p>
        </w:tc>
      </w:tr>
      <w:tr>
        <w:tc>
          <w:tcPr>
            <w:tcW w:type="dxa" w:w="2592"/>
            <w:vAlign w:val="center"/>
          </w:tcPr>
          <w:p>
            <w:pPr>
              <w:spacing w:before="20" w:after="20"/>
            </w:pPr>
            <w:r>
              <w:rPr>
                <w:rFonts w:ascii="游ゴシック" w:hAnsi="游ゴシック" w:eastAsia="游ゴシック"/>
                <w:b w:val="0"/>
                <w:i w:val="0"/>
                <w:sz w:val="17"/>
              </w:rPr>
              <w:t>特定健康診査等実施計画・データヘルス計画（国民健康保険）</w:t>
            </w:r>
          </w:p>
        </w:tc>
        <w:tc>
          <w:tcPr>
            <w:tcW w:type="dxa" w:w="3161"/>
            <w:vAlign w:val="center"/>
          </w:tcPr>
          <w:p>
            <w:pPr>
              <w:spacing w:before="20" w:after="20"/>
            </w:pPr>
            <w:r>
              <w:rPr>
                <w:rFonts w:ascii="游ゴシック" w:hAnsi="游ゴシック" w:eastAsia="游ゴシック"/>
                <w:b w:val="0"/>
                <w:i w:val="0"/>
                <w:sz w:val="17"/>
              </w:rPr>
              <w:t>高齢者の医療の確保に関する法律第19条第1項、国民健康保険法第82条第1項</w:t>
            </w:r>
          </w:p>
        </w:tc>
        <w:tc>
          <w:tcPr>
            <w:tcW w:type="dxa" w:w="3998"/>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特定健診の受診勧奨と生活習慣病の重症化予防は同計画が担う。本計画は、受診率を成果指標として参照する（第5章 基本目標1①）</w:t>
            </w:r>
          </w:p>
        </w:tc>
      </w:tr>
      <w:tr>
        <w:tc>
          <w:tcPr>
            <w:tcW w:type="dxa" w:w="2592"/>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3161"/>
            <w:vAlign w:val="center"/>
          </w:tcPr>
          <w:p>
            <w:pPr>
              <w:keepNext/>
              <w:spacing w:before="20" w:after="20"/>
            </w:pPr>
            <w:r>
              <w:rPr>
                <w:rFonts w:ascii="游ゴシック" w:hAnsi="游ゴシック" w:eastAsia="游ゴシック"/>
                <w:b w:val="0"/>
                <w:i w:val="0"/>
                <w:sz w:val="17"/>
              </w:rPr>
              <w:t>高齢者の医療の確保に関する法律第125条の2第1項（後期高齢者医療広域連合からの委託）</w:t>
            </w:r>
          </w:p>
        </w:tc>
        <w:tc>
          <w:tcPr>
            <w:tcW w:type="dxa" w:w="3998"/>
            <w:vAlign w:val="center"/>
          </w:tcPr>
          <w:p>
            <w:pPr>
              <w:keepNext/>
              <w:spacing w:before="20" w:after="20"/>
            </w:pPr>
            <w:r>
              <w:rPr>
                <w:rFonts w:ascii="游ゴシック" w:hAnsi="游ゴシック" w:eastAsia="游ゴシック"/>
                <w:b/>
                <w:i w:val="0"/>
                <w:sz w:val="17"/>
              </w:rPr>
              <w:t>本計画で具体化。</w:t>
            </w:r>
            <w:r>
              <w:rPr>
                <w:rFonts w:ascii="游ゴシック" w:hAnsi="游ゴシック" w:eastAsia="游ゴシック"/>
                <w:b w:val="0"/>
                <w:i w:val="0"/>
                <w:sz w:val="17"/>
              </w:rPr>
              <w:t>ハイリスク者への個別支援と、通いの場等への専門職の関与（第5章 基本目標1①・②）</w:t>
            </w:r>
          </w:p>
        </w:tc>
      </w:tr>
      <w:tr>
        <w:tc>
          <w:tcPr>
            <w:tcW w:type="dxa" w:w="2592"/>
            <w:vAlign w:val="center"/>
          </w:tcPr>
          <w:p>
            <w:pPr>
              <w:spacing w:before="20" w:after="20"/>
            </w:pPr>
            <w:r>
              <w:rPr>
                <w:rFonts w:ascii="游ゴシック" w:hAnsi="游ゴシック" w:eastAsia="游ゴシック"/>
                <w:b w:val="0"/>
                <w:i w:val="0"/>
                <w:sz w:val="17"/>
              </w:rPr>
              <w:t>市町村認知症施策推進計画</w:t>
            </w:r>
          </w:p>
        </w:tc>
        <w:tc>
          <w:tcPr>
            <w:tcW w:type="dxa" w:w="3161"/>
            <w:vAlign w:val="center"/>
          </w:tcPr>
          <w:p>
            <w:pPr>
              <w:spacing w:before="20" w:after="20"/>
            </w:pPr>
            <w:r>
              <w:rPr>
                <w:rFonts w:ascii="游ゴシック" w:hAnsi="游ゴシック" w:eastAsia="游ゴシック"/>
                <w:b w:val="0"/>
                <w:i w:val="0"/>
                <w:sz w:val="17"/>
              </w:rPr>
              <w:t>共生社会の実現を推進するための認知症基本法第13条第1項（努力義務）</w:t>
            </w:r>
          </w:p>
        </w:tc>
        <w:tc>
          <w:tcPr>
            <w:tcW w:type="dxa" w:w="3998"/>
            <w:vAlign w:val="center"/>
          </w:tcPr>
          <w:p>
            <w:pPr>
              <w:spacing w:before="20" w:after="20"/>
            </w:pPr>
            <w:r>
              <w:rPr>
                <w:rFonts w:ascii="游ゴシック" w:hAnsi="游ゴシック" w:eastAsia="游ゴシック"/>
                <w:b/>
                <w:i w:val="0"/>
                <w:sz w:val="17"/>
              </w:rPr>
              <w:t>本計画に包含。</w:t>
            </w:r>
            <w:r>
              <w:rPr>
                <w:rFonts w:ascii="游ゴシック" w:hAnsi="游ゴシック" w:eastAsia="游ゴシック"/>
                <w:b w:val="0"/>
                <w:i w:val="0"/>
                <w:sz w:val="17"/>
              </w:rPr>
              <w:t>第5章 基本目標2③に位置づける</w:t>
            </w:r>
          </w:p>
        </w:tc>
      </w:tr>
    </w:tbl>
    <w:p>
      <w:pPr>
        <w:spacing w:after="40"/>
      </w:pPr>
    </w:p>
    <w:p>
      <w:pPr>
        <w:spacing w:before="40" w:after="160"/>
        <w:ind w:left="113"/>
      </w:pPr>
      <w:r>
        <w:rPr>
          <w:rFonts w:ascii="游ゴシック" w:hAnsi="游ゴシック" w:eastAsia="游ゴシック"/>
          <w:b w:val="0"/>
          <w:i w:val="0"/>
          <w:sz w:val="17"/>
        </w:rPr>
        <w:t>※ 本町の健康増進計画・データヘルス計画・特定健康診査等実施計画の計画名と計画期間は【町データ待ち】。※ 条文は e-Gov 法令API（令和8年10月20日取得）で確認した。</w:t>
      </w:r>
    </w:p>
    <w:p>
      <w:pPr>
        <w:spacing w:after="120"/>
      </w:pPr>
    </w:p>
    <w:p>
      <w:pPr>
        <w:pStyle w:val="Heading3"/>
        <w:keepNext/>
        <w:spacing w:before="180" w:after="80"/>
      </w:pPr>
      <w:r>
        <w:rPr>
          <w:rFonts w:ascii="游ゴシック" w:hAnsi="游ゴシック" w:eastAsia="游ゴシック"/>
          <w:b/>
          <w:i w:val="0"/>
          <w:color w:val="1F4D78"/>
          <w:sz w:val="22"/>
        </w:rPr>
        <w:t>（参考）小規模市町村地域支援連携協働体制整備事業（令和9年4月1日新設）</w:t>
      </w:r>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に該当するもの」をいいます（同条第1項）。該当する市町村は、包括的な支援体制の整備を促進するため、厚生労働省令で定めるところにより、この事業を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この事業は、分野ごとに別々に行っている事業を「一体のものとして実施する」点に要点があります</w:t>
      </w:r>
      <w:r>
        <w:rPr>
          <w:rFonts w:ascii="游ゴシック" w:hAnsi="游ゴシック" w:eastAsia="游ゴシック"/>
          <w:b w:val="0"/>
          <w:i w:val="0"/>
          <w:sz w:val="21"/>
        </w:rPr>
        <w:t>（同条第2項）。一体的に行う事業は次のとおりで、</w:t>
      </w:r>
      <w:r>
        <w:rPr>
          <w:rFonts w:ascii="游ゴシック" w:hAnsi="游ゴシック" w:eastAsia="游ゴシック"/>
          <w:b/>
          <w:i w:val="0"/>
          <w:sz w:val="21"/>
        </w:rPr>
        <w:t>高齢者分野の事業がそのまま対象に含まれています。</w:t>
      </w:r>
    </w:p>
    <w:p>
      <w:pPr>
        <w:keepNext/>
        <w:spacing w:before="200" w:after="40"/>
      </w:pPr>
      <w:r>
        <w:rPr>
          <w:rFonts w:ascii="游ゴシック" w:hAnsi="游ゴシック" w:eastAsia="游ゴシック"/>
          <w:b/>
          <w:i w:val="0"/>
          <w:color w:val="1F4D78"/>
          <w:sz w:val="22"/>
        </w:rPr>
        <w:t>【表53】第4章3　関連計画との役割分担（4）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一体的に行う事業（4分野すべてを行うもの）</w:t>
            </w:r>
          </w:p>
        </w:tc>
      </w:tr>
      <w:tr>
        <w:tc>
          <w:tcPr>
            <w:tcW w:type="dxa" w:w="1928"/>
            <w:vAlign w:val="center"/>
          </w:tcPr>
          <w:p>
            <w:pPr>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t>（第2項第1号）</w:t>
            </w:r>
          </w:p>
        </w:tc>
        <w:tc>
          <w:tcPr>
            <w:tcW w:type="dxa" w:w="7824"/>
            <w:vAlign w:val="center"/>
          </w:tcPr>
          <w:p>
            <w:pPr>
              <w:spacing w:before="20" w:after="20"/>
            </w:pPr>
            <w:r>
              <w:rPr>
                <w:rFonts w:ascii="游ゴシック" w:hAnsi="游ゴシック" w:eastAsia="游ゴシック"/>
                <w:b/>
                <w:i w:val="0"/>
                <w:sz w:val="17"/>
              </w:rPr>
              <w:t>介護保険法第115条の45第2項第1号から第3号まで</w:t>
            </w:r>
            <w:r>
              <w:rPr>
                <w:rFonts w:ascii="游ゴシック" w:hAnsi="游ゴシック" w:eastAsia="游ゴシック"/>
                <w:b w:val="0"/>
                <w:i w:val="0"/>
                <w:sz w:val="17"/>
              </w:rPr>
              <w:t>（総合相談支援・権利擁護・包括的継続的ケアマネジメント支援＝</w:t>
            </w:r>
            <w:r>
              <w:rPr>
                <w:rFonts w:ascii="游ゴシック" w:hAnsi="游ゴシック" w:eastAsia="游ゴシック"/>
                <w:b/>
                <w:i w:val="0"/>
                <w:sz w:val="17"/>
              </w:rPr>
              <w:t>地域包括支援センターの事業</w:t>
            </w:r>
            <w:r>
              <w:rPr>
                <w:rFonts w:ascii="游ゴシック" w:hAnsi="游ゴシック" w:eastAsia="游ゴシック"/>
                <w:b w:val="0"/>
                <w:i w:val="0"/>
                <w:sz w:val="17"/>
              </w:rPr>
              <w:t>）／障害者総合支援法第77条第1項第3号（相談支援）／子ども・子育て支援法第59条第1号／生活困窮者自立支援法第3条第2項各号</w:t>
            </w:r>
          </w:p>
        </w:tc>
      </w:tr>
      <w:tr>
        <w:tc>
          <w:tcPr>
            <w:tcW w:type="dxa" w:w="1928"/>
            <w:vAlign w:val="center"/>
          </w:tcPr>
          <w:p>
            <w:pPr>
              <w:keepNext/>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t>（第2項第3号）</w:t>
            </w:r>
          </w:p>
        </w:tc>
        <w:tc>
          <w:tcPr>
            <w:tcW w:type="dxa" w:w="7824"/>
            <w:vAlign w:val="center"/>
          </w:tcPr>
          <w:p>
            <w:pPr>
              <w:keepNext/>
              <w:spacing w:before="20" w:after="20"/>
            </w:pPr>
            <w:r>
              <w:rPr>
                <w:rFonts w:ascii="游ゴシック" w:hAnsi="游ゴシック" w:eastAsia="游ゴシック"/>
                <w:b/>
                <w:i w:val="0"/>
                <w:sz w:val="17"/>
              </w:rPr>
              <w:t>介護保険法第115条の45第1項第2号のうち厚生労働大臣が定めるもの</w:t>
            </w:r>
            <w:r>
              <w:rPr>
                <w:rFonts w:ascii="游ゴシック" w:hAnsi="游ゴシック" w:eastAsia="游ゴシック"/>
                <w:b w:val="0"/>
                <w:i w:val="0"/>
                <w:sz w:val="17"/>
              </w:rPr>
              <w:t>（一般介護予防事業の一部）／</w:t>
            </w:r>
            <w:r>
              <w:rPr>
                <w:rFonts w:ascii="游ゴシック" w:hAnsi="游ゴシック" w:eastAsia="游ゴシック"/>
                <w:b/>
                <w:i w:val="0"/>
                <w:sz w:val="17"/>
              </w:rPr>
              <w:t>同条第2項第5号（生活支援体制整備事業）</w:t>
            </w:r>
            <w:r>
              <w:rPr>
                <w:rFonts w:ascii="游ゴシック" w:hAnsi="游ゴシック" w:eastAsia="游ゴシック"/>
                <w:b w:val="0"/>
                <w:i w:val="0"/>
                <w:sz w:val="17"/>
              </w:rPr>
              <w:t>／障害者総合支援法第77条第1項第9号／子ども・子育て支援法第59条第9号</w:t>
            </w:r>
          </w:p>
        </w:tc>
      </w:tr>
      <w:tr>
        <w:tc>
          <w:tcPr>
            <w:tcW w:type="dxa" w:w="1928"/>
            <w:vAlign w:val="center"/>
          </w:tcPr>
          <w:p>
            <w:pPr>
              <w:spacing w:before="20" w:after="20"/>
            </w:pPr>
            <w:r>
              <w:rPr>
                <w:rFonts w:ascii="游ゴシック" w:hAnsi="游ゴシック" w:eastAsia="游ゴシック"/>
                <w:b/>
                <w:i w:val="0"/>
                <w:sz w:val="17"/>
              </w:rPr>
              <w:t>連携・協働の促進</w:t>
            </w:r>
            <w:r>
              <w:rPr>
                <w:rFonts w:ascii="游ゴシック" w:hAnsi="游ゴシック" w:eastAsia="游ゴシック"/>
                <w:b w:val="0"/>
                <w:i w:val="0"/>
                <w:sz w:val="17"/>
              </w:rPr>
              <w:t>（第2項第2号）</w:t>
            </w:r>
          </w:p>
        </w:tc>
        <w:tc>
          <w:tcPr>
            <w:tcW w:type="dxa" w:w="7824"/>
            <w:vAlign w:val="center"/>
          </w:tcPr>
          <w:p>
            <w:pPr>
              <w:spacing w:before="20" w:after="20"/>
            </w:pPr>
            <w:r>
              <w:rPr>
                <w:rFonts w:ascii="游ゴシック" w:hAnsi="游ゴシック" w:eastAsia="游ゴシック"/>
                <w:b w:val="0"/>
                <w:i w:val="0"/>
                <w:sz w:val="17"/>
              </w:rPr>
              <w:t>地域住民等と支援関係機関の相互の連携又は協働の促進のための事業</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 xml:space="preserve"> 社会福祉法施行規則について法令APIで確かめたところ、</w:t>
      </w:r>
      <w:r>
        <w:rPr>
          <w:rFonts w:ascii="游ゴシック" w:hAnsi="游ゴシック" w:eastAsia="游ゴシック"/>
          <w:b/>
          <w:i w:val="0"/>
          <w:sz w:val="21"/>
        </w:rPr>
        <w:t>「小規模市町村」の語を含む条は1つもありません。</w:t>
      </w:r>
      <w:r>
        <w:rPr>
          <w:rFonts w:ascii="游ゴシック" w:hAnsi="游ゴシック" w:eastAsia="游ゴシック"/>
          <w:b w:val="0"/>
          <w:i w:val="0"/>
          <w:sz w:val="21"/>
        </w:rPr>
        <w:t xml:space="preserve"> 該当し、かつ本事業を行う場合は、</w:t>
      </w:r>
      <w:r>
        <w:rPr>
          <w:rFonts w:ascii="游ゴシック" w:hAnsi="游ゴシック" w:eastAsia="游ゴシック"/>
          <w:b/>
          <w:i w:val="0"/>
          <w:sz w:val="21"/>
        </w:rPr>
        <w:t>地域包括支援センターの3事業と生活支援体制整備事業を、障がい・子ども・生活困窮の各事業と一体に実施することになります。</w:t>
      </w:r>
      <w:r>
        <w:rPr>
          <w:rFonts w:ascii="游ゴシック" w:hAnsi="游ゴシック" w:eastAsia="游ゴシック"/>
          <w:b w:val="0"/>
          <w:i w:val="0"/>
          <w:sz w:val="21"/>
        </w:rPr>
        <w:t>本計画の第6章4（地域支援事業）の立て方に関わるため、省令と県の方針が示された段階で改めて整理します。</w:t>
      </w:r>
    </w:p>
    <w:p>
      <w:pPr>
        <w:spacing w:before="40" w:after="160"/>
        <w:ind w:left="113"/>
      </w:pPr>
      <w:r>
        <w:rPr>
          <w:rFonts w:ascii="游ゴシック" w:hAnsi="游ゴシック" w:eastAsia="游ゴシック"/>
          <w:b/>
          <w:i w:val="0"/>
          <w:sz w:val="17"/>
        </w:rPr>
        <w:t>※ 従事する職員及びその員数の基準は厚生労働省令で定められ、小規模市町村はこれに従うものとされます</w:t>
      </w:r>
      <w:r>
        <w:rPr>
          <w:rFonts w:ascii="游ゴシック" w:hAnsi="游ゴシック" w:eastAsia="游ゴシック"/>
          <w:b w:val="0"/>
          <w:i w:val="0"/>
          <w:sz w:val="17"/>
        </w:rPr>
        <w:t>（同条第3項）。</w:t>
      </w:r>
      <w:r>
        <w:rPr>
          <w:rFonts w:ascii="游ゴシック" w:hAnsi="游ゴシック" w:eastAsia="游ゴシック"/>
          <w:b/>
          <w:i w:val="0"/>
          <w:sz w:val="17"/>
        </w:rPr>
        <w:t>分野を超えて職員を配置できることが、この事業の実益です。</w:t>
      </w:r>
      <w:r>
        <w:rPr>
          <w:rFonts w:ascii="游ゴシック" w:hAnsi="游ゴシック" w:eastAsia="游ゴシック"/>
          <w:b w:val="0"/>
          <w:i w:val="0"/>
          <w:sz w:val="17"/>
        </w:rPr>
        <w:t xml:space="preserve"> また、こども家庭センター、地域包括支援センター、基幹相談支援センター、生活困窮者自立支援法第3条第2項各号の事業を行う者その他の支援関係機関との緊密な連携を図るものとされ（同条第4項）、事務の全部又は一部を厚生労働省令で定める者に</w:t>
      </w:r>
      <w:r>
        <w:rPr>
          <w:rFonts w:ascii="游ゴシック" w:hAnsi="游ゴシック" w:eastAsia="游ゴシック"/>
          <w:b/>
          <w:i w:val="0"/>
          <w:sz w:val="17"/>
        </w:rPr>
        <w:t>委託することができます</w:t>
      </w:r>
      <w:r>
        <w:rPr>
          <w:rFonts w:ascii="游ゴシック" w:hAnsi="游ゴシック" w:eastAsia="游ゴシック"/>
          <w:b w:val="0"/>
          <w:i w:val="0"/>
          <w:sz w:val="17"/>
        </w:rPr>
        <w:t>（同条第5項）。</w:t>
      </w:r>
      <w:r>
        <w:rPr>
          <w:rFonts w:ascii="游ゴシック" w:hAnsi="游ゴシック" w:eastAsia="游ゴシック"/>
          <w:b/>
          <w:i w:val="0"/>
          <w:sz w:val="17"/>
        </w:rPr>
        <w:t>※ 改正前の第106条の6（支援会議）は、第106条の3の2に移ります。</w:t>
      </w:r>
      <w:r>
        <w:rPr>
          <w:rFonts w:ascii="游ゴシック" w:hAnsi="游ゴシック" w:eastAsia="游ゴシック"/>
          <w:b w:val="0"/>
          <w:i w:val="0"/>
          <w:sz w:val="17"/>
        </w:rPr>
        <w:t xml:space="preserve"> 第4章4に掲げる相互連携の規定（介護保険法第115条の48第5項）が名指ししている社会福祉法の支援会議は、</w:t>
      </w:r>
      <w:r>
        <w:rPr>
          <w:rFonts w:ascii="游ゴシック" w:hAnsi="游ゴシック" w:eastAsia="游ゴシック"/>
          <w:b/>
          <w:i w:val="0"/>
          <w:sz w:val="17"/>
        </w:rPr>
        <w:t>この移った後の条のもの</w:t>
      </w:r>
      <w:r>
        <w:rPr>
          <w:rFonts w:ascii="游ゴシック" w:hAnsi="游ゴシック" w:eastAsia="游ゴシック"/>
          <w:b w:val="0"/>
          <w:i w:val="0"/>
          <w:sz w:val="17"/>
        </w:rPr>
        <w:t>です。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spacing w:before="40" w:after="160"/>
        <w:ind w:left="113"/>
      </w:pPr>
      <w:r>
        <w:rPr>
          <w:rFonts w:ascii="游ゴシック" w:hAnsi="游ゴシック" w:eastAsia="游ゴシック"/>
          <w:b/>
          <w:i w:val="0"/>
          <w:sz w:val="17"/>
        </w:rPr>
        <w:t>※ 市町村地域福祉計画の記載事項も1つ増えます。</w:t>
      </w:r>
      <w:r>
        <w:rPr>
          <w:rFonts w:ascii="游ゴシック" w:hAnsi="游ゴシック" w:eastAsia="游ゴシック"/>
          <w:b w:val="0"/>
          <w:i w:val="0"/>
          <w:sz w:val="17"/>
        </w:rPr>
        <w:t xml:space="preserve"> 社会福祉法第107条第1項に第6号が新設され、「地域における保健医療、労働、教育、</w:t>
      </w:r>
      <w:r>
        <w:rPr>
          <w:rFonts w:ascii="游ゴシック" w:hAnsi="游ゴシック" w:eastAsia="游ゴシック"/>
          <w:b/>
          <w:i w:val="0"/>
          <w:sz w:val="17"/>
        </w:rPr>
        <w:t>住まい</w:t>
      </w:r>
      <w:r>
        <w:rPr>
          <w:rFonts w:ascii="游ゴシック" w:hAnsi="游ゴシック" w:eastAsia="游ゴシック"/>
          <w:b w:val="0"/>
          <w:i w:val="0"/>
          <w:sz w:val="17"/>
        </w:rPr>
        <w:t>、地域再生及び防災に関する施策、消費者の利益の擁護及び増進に関する施策その他の関連施策との連携に関する事項」を定めるものとされます（令和9年4月1日施行）。</w:t>
      </w:r>
      <w:r>
        <w:rPr>
          <w:rFonts w:ascii="游ゴシック" w:hAnsi="游ゴシック" w:eastAsia="游ゴシック"/>
          <w:b/>
          <w:i w:val="0"/>
          <w:sz w:val="17"/>
        </w:rPr>
        <w:t>第4期地域福祉計画の策定時に関わる事項であり、本計画の住まいの施策（第2章5）と接続します。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本町では、高齢者保健福祉計画・介護保険事業計画と、障がい者計画・障がい福祉計画・障がい児福祉計画を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同じ方の同じ利用が両方の見込量に入る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ということが起こります。なお、同じ方が両制度のサービスを併せて使うことはあり、その場合はそれぞれの計画に計上します。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【表54】第4章4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【表55】第4章4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【表56】第5章基本目標1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【表57】第5章基本目標1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【表59】第5章基本目標1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 総合事業の実施方針は、国の「介護予防・日常生活支援総合事業のガイドライン」の最新の内容と照合して確定します（【決定後に記載】）。</w:t>
      </w:r>
    </w:p>
    <w:p>
      <w:pPr>
        <w:spacing w:before="60" w:after="60"/>
      </w:pPr>
      <w:r>
        <w:rPr>
          <w:rFonts w:ascii="游ゴシック" w:hAnsi="游ゴシック" w:eastAsia="游ゴシック"/>
          <w:b/>
          <w:i w:val="0"/>
          <w:sz w:val="21"/>
        </w:rPr>
        <w:t>令和9年4月1日から、介護予防と地域の支え合いを一体的に実施する拠点を運営する事業が、総合事業に新たに位置づけられます</w:t>
      </w:r>
      <w:r>
        <w:rPr>
          <w:rFonts w:ascii="游ゴシック" w:hAnsi="游ゴシック" w:eastAsia="游ゴシック"/>
          <w:b w:val="0"/>
          <w:i w:val="0"/>
          <w:sz w:val="21"/>
        </w:rPr>
        <w:t>（改正後の介護保険法第115条の45第1項第2号ロ。令和8年法律第51号）。通いの場の拡充（後述）を進める本町にとって、集会施設等を介護予防と支え合いの拠点として運営する際の財源の選択肢になります。本町で実施するかは、事業の要件が示された段階で判断します（【決定後に記載】）。</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【表60】第5章基本目標1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【表66】第5章基本目標1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また、頼れる身寄りがいない高齢者等からの相談を、地域包括支援センターの総合相談で受けることが、令和9年4月の施行に向けて地域支援事業実施要綱で明確化される予定です</w:t>
      </w:r>
      <w:r>
        <w:rPr>
          <w:rFonts w:ascii="游ゴシック" w:hAnsi="游ゴシック" w:eastAsia="游ゴシック"/>
          <w:b w:val="0"/>
          <w:i w:val="0"/>
          <w:sz w:val="21"/>
        </w:rPr>
        <w:t>（全国介護保険担当課長会議資料、令和8年7月15日）。日常生活の支援、入院等の手続、死後の事務に関する相談を受け、第3期地域福祉計画の権利擁護の取組と連携して対応します。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【表72】第5章基本目標2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【表75】第5章基本目標2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15"/>
        <w:gridCol w:w="3715"/>
        <w:gridCol w:w="2321"/>
      </w:tblGrid>
      <w:tr>
        <w:tc>
          <w:tcPr>
            <w:tcW w:type="dxa" w:w="3715"/>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1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15"/>
            <w:vAlign w:val="center"/>
          </w:tcPr>
          <w:p>
            <w:pPr>
              <w:spacing w:before="20" w:after="20"/>
            </w:pPr>
            <w:r>
              <w:rPr>
                <w:rFonts w:ascii="游ゴシック" w:hAnsi="游ゴシック" w:eastAsia="游ゴシック"/>
                <w:b/>
                <w:i w:val="0"/>
                <w:sz w:val="17"/>
              </w:rPr>
              <w:t>認知症に関する相談窓口の認知度</w:t>
            </w:r>
          </w:p>
        </w:tc>
        <w:tc>
          <w:tcPr>
            <w:tcW w:type="dxa" w:w="3715"/>
            <w:vAlign w:val="center"/>
          </w:tcPr>
          <w:p>
            <w:pPr>
              <w:spacing w:before="20" w:after="20"/>
            </w:pPr>
            <w:r>
              <w:rPr>
                <w:rFonts w:ascii="游ゴシック" w:hAnsi="游ゴシック" w:eastAsia="游ゴシック"/>
                <w:b/>
                <w:i w:val="0"/>
                <w:sz w:val="17"/>
              </w:rPr>
              <w:t>33.2％（令和7年度調査）</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715"/>
            <w:vAlign w:val="center"/>
          </w:tcPr>
          <w:p>
            <w:pPr>
              <w:spacing w:before="20" w:after="20"/>
            </w:pPr>
            <w:r>
              <w:rPr>
                <w:rFonts w:ascii="游ゴシック" w:hAnsi="游ゴシック" w:eastAsia="游ゴシック"/>
                <w:b w:val="0"/>
                <w:i w:val="0"/>
                <w:sz w:val="17"/>
              </w:rPr>
              <w:t>訪問実績0件（令和5年度）</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認知症地域支援推進員の活動実績</w:t>
            </w:r>
          </w:p>
        </w:tc>
        <w:tc>
          <w:tcPr>
            <w:tcW w:type="dxa" w:w="3715"/>
            <w:vAlign w:val="center"/>
          </w:tcPr>
          <w:p>
            <w:pPr>
              <w:spacing w:before="20" w:after="20"/>
            </w:pPr>
            <w:r>
              <w:rPr>
                <w:rFonts w:ascii="游ゴシック" w:hAnsi="游ゴシック" w:eastAsia="游ゴシック"/>
                <w:b w:val="0"/>
                <w:i w:val="0"/>
                <w:sz w:val="17"/>
              </w:rPr>
              <w:t>配置4人（令和6年3月）</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715"/>
            <w:vAlign w:val="center"/>
          </w:tcPr>
          <w:p>
            <w:pPr>
              <w:keepNext/>
              <w:spacing w:before="20" w:after="20"/>
            </w:pPr>
            <w:r>
              <w:rPr>
                <w:rFonts w:ascii="游ゴシック" w:hAnsi="游ゴシック" w:eastAsia="游ゴシック"/>
                <w:b w:val="0"/>
                <w:i w:val="0"/>
                <w:sz w:val="17"/>
              </w:rPr>
              <w:t>1か所（令和6年4月）</w:t>
            </w:r>
          </w:p>
        </w:tc>
        <w:tc>
          <w:tcPr>
            <w:tcW w:type="dxa" w:w="2321"/>
            <w:vAlign w:val="center"/>
          </w:tcPr>
          <w:p>
            <w:pPr>
              <w:keepNext/>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認知症サポーター数（65歳以上人口10万対）</w:t>
            </w:r>
          </w:p>
        </w:tc>
        <w:tc>
          <w:tcPr>
            <w:tcW w:type="dxa" w:w="3715"/>
            <w:vAlign w:val="center"/>
          </w:tcPr>
          <w:p>
            <w:pPr>
              <w:spacing w:before="20" w:after="20"/>
            </w:pPr>
            <w:r>
              <w:rPr>
                <w:rFonts w:ascii="游ゴシック" w:hAnsi="游ゴシック" w:eastAsia="游ゴシック"/>
                <w:b w:val="0"/>
                <w:i w:val="0"/>
                <w:sz w:val="17"/>
              </w:rPr>
              <w:t>27,591（令和5年。福島県36,515）</w:t>
            </w:r>
          </w:p>
        </w:tc>
        <w:tc>
          <w:tcPr>
            <w:tcW w:type="dxa" w:w="2321"/>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i w:val="0"/>
          <w:sz w:val="21"/>
        </w:rPr>
        <w:t>介護保険の訪問介護のうち、通院等乗降介助の介護SCRは441.5（全国＝100、令和5年度）で、県内59市町村のうち6番目に高い値です。</w:t>
      </w:r>
      <w:r>
        <w:rPr>
          <w:rFonts w:ascii="游ゴシック" w:hAnsi="游ゴシック" w:eastAsia="游ゴシック"/>
          <w:b w:val="0"/>
          <w:i w:val="0"/>
          <w:sz w:val="21"/>
        </w:rPr>
        <w:t xml:space="preserve"> 通院の移動を介護保険で支えている度合いが高く、移送の需要の大きさを裏づけています。</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【表79】第5章基本目標2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【表80】第5章基本目標2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【表81】第5章基本目標2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【表82】第5章基本目標2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【表84】第5章基本目標2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107"/>
        <w:gridCol w:w="2894"/>
      </w:tblGrid>
      <w:tr>
        <w:tc>
          <w:tcPr>
            <w:tcW w:type="dxa" w:w="275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0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50"/>
            <w:vAlign w:val="center"/>
          </w:tcPr>
          <w:p>
            <w:pPr>
              <w:spacing w:before="20" w:after="20"/>
            </w:pPr>
            <w:r>
              <w:rPr>
                <w:rFonts w:ascii="游ゴシック" w:hAnsi="游ゴシック" w:eastAsia="游ゴシック"/>
                <w:b w:val="0"/>
                <w:i w:val="0"/>
                <w:sz w:val="17"/>
              </w:rPr>
              <w:t>人材確保の支援</w:t>
            </w:r>
          </w:p>
        </w:tc>
        <w:tc>
          <w:tcPr>
            <w:tcW w:type="dxa" w:w="4107"/>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2894"/>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750"/>
            <w:vAlign w:val="center"/>
          </w:tcPr>
          <w:p>
            <w:pPr>
              <w:spacing w:before="20" w:after="20"/>
            </w:pPr>
            <w:r>
              <w:rPr>
                <w:rFonts w:ascii="游ゴシック" w:hAnsi="游ゴシック" w:eastAsia="游ゴシック"/>
                <w:b w:val="0"/>
                <w:i w:val="0"/>
                <w:sz w:val="17"/>
              </w:rPr>
              <w:t>ICT・介護テクノロジーの導入支援</w:t>
            </w:r>
          </w:p>
        </w:tc>
        <w:tc>
          <w:tcPr>
            <w:tcW w:type="dxa" w:w="4107"/>
            <w:vAlign w:val="center"/>
          </w:tcPr>
          <w:p>
            <w:pPr>
              <w:spacing w:before="20" w:after="20"/>
            </w:pPr>
            <w:r>
              <w:rPr>
                <w:rFonts w:ascii="游ゴシック" w:hAnsi="游ゴシック" w:eastAsia="游ゴシック"/>
                <w:b w:val="0"/>
                <w:i w:val="0"/>
                <w:sz w:val="17"/>
              </w:rPr>
              <w:t>介護記録のICT化、見守り機器、ケアプランデータ連携システム等の情報連携基盤</w:t>
            </w:r>
          </w:p>
        </w:tc>
        <w:tc>
          <w:tcPr>
            <w:tcW w:type="dxa" w:w="2894"/>
            <w:vAlign w:val="center"/>
          </w:tcPr>
          <w:p>
            <w:pPr>
              <w:spacing w:before="20" w:after="20"/>
            </w:pPr>
            <w:r>
              <w:rPr>
                <w:rFonts w:ascii="游ゴシック" w:hAnsi="游ゴシック" w:eastAsia="游ゴシック"/>
                <w:b w:val="0"/>
                <w:i w:val="0"/>
                <w:sz w:val="17"/>
              </w:rPr>
              <w:t>同上</w:t>
            </w:r>
          </w:p>
        </w:tc>
      </w:tr>
      <w:tr>
        <w:tc>
          <w:tcPr>
            <w:tcW w:type="dxa" w:w="2750"/>
            <w:vAlign w:val="center"/>
          </w:tcPr>
          <w:p>
            <w:pPr>
              <w:keepNext/>
              <w:spacing w:before="20" w:after="20"/>
            </w:pPr>
            <w:r>
              <w:rPr>
                <w:rFonts w:ascii="游ゴシック" w:hAnsi="游ゴシック" w:eastAsia="游ゴシック"/>
                <w:b w:val="0"/>
                <w:i w:val="0"/>
                <w:sz w:val="17"/>
              </w:rPr>
              <w:t>生産性向上・業務改善</w:t>
            </w:r>
          </w:p>
        </w:tc>
        <w:tc>
          <w:tcPr>
            <w:tcW w:type="dxa" w:w="4107"/>
            <w:vAlign w:val="center"/>
          </w:tcPr>
          <w:p>
            <w:pPr>
              <w:keepNext/>
              <w:spacing w:before="20" w:after="20"/>
            </w:pPr>
            <w:r>
              <w:rPr>
                <w:rFonts w:ascii="游ゴシック" w:hAnsi="游ゴシック" w:eastAsia="游ゴシック"/>
                <w:b w:val="0"/>
                <w:i w:val="0"/>
                <w:sz w:val="17"/>
              </w:rPr>
              <w:t>業務改善の助言、文書負担の軽減</w:t>
            </w:r>
          </w:p>
        </w:tc>
        <w:tc>
          <w:tcPr>
            <w:tcW w:type="dxa" w:w="2894"/>
            <w:vAlign w:val="center"/>
          </w:tcPr>
          <w:p>
            <w:pPr>
              <w:keepNext/>
              <w:spacing w:before="20" w:after="20"/>
            </w:pPr>
            <w:r>
              <w:rPr>
                <w:rFonts w:ascii="游ゴシック" w:hAnsi="游ゴシック" w:eastAsia="游ゴシック"/>
                <w:b w:val="0"/>
                <w:i w:val="0"/>
                <w:sz w:val="17"/>
              </w:rPr>
              <w:t>同上</w:t>
            </w:r>
          </w:p>
        </w:tc>
      </w:tr>
      <w:tr>
        <w:tc>
          <w:tcPr>
            <w:tcW w:type="dxa" w:w="2750"/>
            <w:vAlign w:val="center"/>
          </w:tcPr>
          <w:p>
            <w:pPr>
              <w:spacing w:before="20" w:after="20"/>
            </w:pPr>
            <w:r>
              <w:rPr>
                <w:rFonts w:ascii="游ゴシック" w:hAnsi="游ゴシック" w:eastAsia="游ゴシック"/>
                <w:b w:val="0"/>
                <w:i w:val="0"/>
                <w:sz w:val="17"/>
              </w:rPr>
              <w:t>研修の実施・支援</w:t>
            </w:r>
          </w:p>
        </w:tc>
        <w:tc>
          <w:tcPr>
            <w:tcW w:type="dxa" w:w="4107"/>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2894"/>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2"/>
        <w:gridCol w:w="4390"/>
        <w:gridCol w:w="2209"/>
      </w:tblGrid>
      <w:tr>
        <w:tc>
          <w:tcPr>
            <w:tcW w:type="dxa" w:w="315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390"/>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152"/>
            <w:vAlign w:val="center"/>
          </w:tcPr>
          <w:p>
            <w:pPr>
              <w:spacing w:before="20" w:after="20"/>
            </w:pPr>
            <w:r>
              <w:rPr>
                <w:rFonts w:ascii="游ゴシック" w:hAnsi="游ゴシック" w:eastAsia="游ゴシック"/>
                <w:b w:val="0"/>
                <w:i w:val="0"/>
                <w:sz w:val="17"/>
              </w:rPr>
              <w:t>町内介護サービス事業所数</w:t>
            </w:r>
          </w:p>
        </w:tc>
        <w:tc>
          <w:tcPr>
            <w:tcW w:type="dxa" w:w="4390"/>
            <w:vAlign w:val="center"/>
          </w:tcPr>
          <w:p>
            <w:pPr>
              <w:spacing w:before="20" w:after="20"/>
            </w:pPr>
            <w:r>
              <w:rPr>
                <w:rFonts w:ascii="游ゴシック" w:hAnsi="游ゴシック" w:eastAsia="游ゴシック"/>
                <w:b w:val="0"/>
                <w:i w:val="0"/>
                <w:sz w:val="17"/>
              </w:rPr>
              <w:t>居宅サービス等18（令和6年度）。施設・居住系は【見える化出力待ち】</w:t>
            </w:r>
          </w:p>
        </w:tc>
        <w:tc>
          <w:tcPr>
            <w:tcW w:type="dxa" w:w="2209"/>
            <w:vAlign w:val="center"/>
          </w:tcPr>
          <w:p>
            <w:pPr>
              <w:spacing w:before="20" w:after="20"/>
            </w:pPr>
            <w:r>
              <w:rPr>
                <w:rFonts w:ascii="游ゴシック" w:hAnsi="游ゴシック" w:eastAsia="游ゴシック"/>
                <w:b w:val="0"/>
                <w:i w:val="0"/>
                <w:sz w:val="17"/>
              </w:rPr>
              <w:t>維持</w:t>
            </w:r>
          </w:p>
        </w:tc>
      </w:tr>
      <w:tr>
        <w:tc>
          <w:tcPr>
            <w:tcW w:type="dxa" w:w="3152"/>
            <w:vAlign w:val="center"/>
          </w:tcPr>
          <w:p>
            <w:pPr>
              <w:spacing w:before="20" w:after="20"/>
            </w:pPr>
            <w:r>
              <w:rPr>
                <w:rFonts w:ascii="游ゴシック" w:hAnsi="游ゴシック" w:eastAsia="游ゴシック"/>
                <w:b w:val="0"/>
                <w:i w:val="0"/>
                <w:sz w:val="17"/>
              </w:rPr>
              <w:t>介護サービス自給率</w:t>
            </w:r>
          </w:p>
        </w:tc>
        <w:tc>
          <w:tcPr>
            <w:tcW w:type="dxa" w:w="4390"/>
            <w:vAlign w:val="center"/>
          </w:tcPr>
          <w:p>
            <w:pPr>
              <w:spacing w:before="20" w:after="20"/>
            </w:pPr>
            <w:r>
              <w:rPr>
                <w:rFonts w:ascii="游ゴシック" w:hAnsi="游ゴシック" w:eastAsia="游ゴシック"/>
                <w:b w:val="0"/>
                <w:i w:val="0"/>
                <w:sz w:val="17"/>
              </w:rPr>
              <w:t>67.57％</w:t>
            </w:r>
          </w:p>
        </w:tc>
        <w:tc>
          <w:tcPr>
            <w:tcW w:type="dxa" w:w="2209"/>
            <w:vAlign w:val="center"/>
          </w:tcPr>
          <w:p>
            <w:pPr>
              <w:spacing w:before="20" w:after="20"/>
            </w:pPr>
            <w:r>
              <w:rPr>
                <w:rFonts w:ascii="游ゴシック" w:hAnsi="游ゴシック" w:eastAsia="游ゴシック"/>
                <w:b w:val="0"/>
                <w:i w:val="0"/>
                <w:sz w:val="17"/>
              </w:rPr>
              <w:t>【協議会で設定】</w:t>
            </w:r>
          </w:p>
        </w:tc>
      </w:tr>
      <w:tr>
        <w:tc>
          <w:tcPr>
            <w:tcW w:type="dxa" w:w="3152"/>
            <w:vAlign w:val="center"/>
          </w:tcPr>
          <w:p>
            <w:pPr>
              <w:keepNext/>
              <w:spacing w:before="20" w:after="20"/>
            </w:pPr>
            <w:r>
              <w:rPr>
                <w:rFonts w:ascii="游ゴシック" w:hAnsi="游ゴシック" w:eastAsia="游ゴシック"/>
                <w:b w:val="0"/>
                <w:i w:val="0"/>
                <w:sz w:val="17"/>
              </w:rPr>
              <w:t>県事業・基金の活用件数</w:t>
            </w:r>
          </w:p>
        </w:tc>
        <w:tc>
          <w:tcPr>
            <w:tcW w:type="dxa" w:w="4390"/>
            <w:vAlign w:val="center"/>
          </w:tcPr>
          <w:p>
            <w:pPr>
              <w:keepNext/>
              <w:spacing w:before="20" w:after="20"/>
            </w:pPr>
            <w:r>
              <w:rPr>
                <w:rFonts w:ascii="游ゴシック" w:hAnsi="游ゴシック" w:eastAsia="游ゴシック"/>
                <w:b w:val="0"/>
                <w:i w:val="0"/>
                <w:sz w:val="17"/>
              </w:rPr>
              <w:t>【町データ待ち】</w:t>
            </w:r>
          </w:p>
        </w:tc>
        <w:tc>
          <w:tcPr>
            <w:tcW w:type="dxa" w:w="2209"/>
            <w:vAlign w:val="center"/>
          </w:tcPr>
          <w:p>
            <w:pPr>
              <w:keepNext/>
              <w:spacing w:before="20" w:after="20"/>
            </w:pPr>
            <w:r>
              <w:rPr>
                <w:rFonts w:ascii="游ゴシック" w:hAnsi="游ゴシック" w:eastAsia="游ゴシック"/>
                <w:b w:val="0"/>
                <w:i w:val="0"/>
                <w:sz w:val="17"/>
              </w:rPr>
              <w:t>【協議会で設定】</w:t>
            </w:r>
          </w:p>
        </w:tc>
      </w:tr>
      <w:tr>
        <w:tc>
          <w:tcPr>
            <w:tcW w:type="dxa" w:w="3152"/>
            <w:vAlign w:val="center"/>
          </w:tcPr>
          <w:p>
            <w:pPr>
              <w:spacing w:before="20" w:after="20"/>
            </w:pPr>
            <w:r>
              <w:rPr>
                <w:rFonts w:ascii="游ゴシック" w:hAnsi="游ゴシック" w:eastAsia="游ゴシック"/>
                <w:b/>
                <w:i w:val="0"/>
                <w:sz w:val="17"/>
              </w:rPr>
              <w:t>介護職員の定着（町内事業所の離職率）</w:t>
            </w:r>
          </w:p>
        </w:tc>
        <w:tc>
          <w:tcPr>
            <w:tcW w:type="dxa" w:w="4390"/>
            <w:vAlign w:val="center"/>
          </w:tcPr>
          <w:p>
            <w:pPr>
              <w:spacing w:before="20" w:after="20"/>
            </w:pPr>
            <w:r>
              <w:rPr>
                <w:rFonts w:ascii="游ゴシック" w:hAnsi="游ゴシック" w:eastAsia="游ゴシック"/>
                <w:b w:val="0"/>
                <w:i w:val="0"/>
                <w:sz w:val="17"/>
              </w:rPr>
              <w:t>【町データ待ち】</w:t>
            </w:r>
          </w:p>
        </w:tc>
        <w:tc>
          <w:tcPr>
            <w:tcW w:type="dxa" w:w="220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i w:val="0"/>
          <w:sz w:val="17"/>
        </w:rPr>
        <w:t>※ 人材の指標は、事業所数だけでなく職員の定着でも測ります。</w:t>
      </w:r>
      <w:r>
        <w:rPr>
          <w:rFonts w:ascii="游ゴシック" w:hAnsi="游ゴシック" w:eastAsia="游ゴシック"/>
          <w:b w:val="0"/>
          <w:i w:val="0"/>
          <w:sz w:val="17"/>
        </w:rPr>
        <w:t>町内事業所の離職率は、介護人材実態調査を実施していないため現状値がありません。把握の方法（事業所への照会等）から協議会でお諮りします（【町データ待ち】）。※ 町内事業所のICT・ケアプランデータ連携システムの導入状況は【町データ待ち】。※ 地域医療介護総合確保基金のメニューと県の交付要綱は県に確認しています（【町データ待ち】）。</w:t>
      </w: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i w:val="0"/>
          <w:sz w:val="21"/>
        </w:rPr>
        <w:t>提供量でみても、医療系の居宅サービスが少なくなっています。</w:t>
      </w:r>
      <w:r>
        <w:rPr>
          <w:rFonts w:ascii="游ゴシック" w:hAnsi="游ゴシック" w:eastAsia="游ゴシック"/>
          <w:b w:val="0"/>
          <w:i w:val="0"/>
          <w:sz w:val="21"/>
        </w:rPr>
        <w:t xml:space="preserve"> 介護SCR（令和5年度、全国＝100）は、訪問看護60.4（令和3年度79.3から低下）、居宅療養管理指導7.2、通所リハビリテーション52.4です（資料編12）。見える化システムの医療介護連携の指標（令和7年、偏差値）でも、看取り介護加算・ターミナルケア加算の算定率が45.1と全国平均を下回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【表86】第5章基本目標2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【表88】第5章基本目標2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【表89】第5章基本目標2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【表90】第5章基本目標3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【表91】第5章基本目標3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【表92】第5章基本目標3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【表93】第5章基本目標3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【表94】第5章基本目標3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【表95】第5章基本目標3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【表96】第5章基本目標3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【表97】第5章基本目標3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【表98】第5章基本目標3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【表99】第5章基本目標3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68.6％（令和8年3月）</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【表100】要介護認定者数の見込み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見込量は、自然体推計のみによらず、人材の供給制約（第6章6）と、介護サービスの提供状況の地域差を示す指標（介護SCR）などの状況を総合的に勘案して定めます</w:t>
      </w:r>
      <w:r>
        <w:rPr>
          <w:rFonts w:ascii="游ゴシック" w:hAnsi="游ゴシック" w:eastAsia="游ゴシック"/>
          <w:b w:val="0"/>
          <w:i w:val="0"/>
          <w:sz w:val="21"/>
        </w:rPr>
        <w:t>（全国介護保険担当課長会議資料、令和8年7月15日）。</w:t>
      </w:r>
      <w:r>
        <w:rPr>
          <w:rFonts w:ascii="游ゴシック" w:hAnsi="游ゴシック" w:eastAsia="游ゴシック"/>
          <w:b/>
          <w:i w:val="0"/>
          <w:sz w:val="21"/>
        </w:rPr>
        <w:t>本町の介護SCR（令和5年度、全国＝100）は、介護給付全体で73.0、訪問系33.4に対し、多機能系221.3・施設系117.8です</w:t>
      </w:r>
      <w:r>
        <w:rPr>
          <w:rFonts w:ascii="游ゴシック" w:hAnsi="游ゴシック" w:eastAsia="游ゴシック"/>
          <w:b w:val="0"/>
          <w:i w:val="0"/>
          <w:sz w:val="21"/>
        </w:rPr>
        <w:t>（資料編12）。訪問系の少なさを小規模多機能型居宅介護等が補っている形であり、見込量はこの提供の構造を前提に置いています。</w:t>
      </w:r>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【表101】第6章2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i w:val="0"/>
                <w:sz w:val="17"/>
              </w:rPr>
              <w:t>同院は、本町と田村市・平田村・川内村・いわき市の2市1町2村で運営する病院です</w:t>
            </w:r>
            <w:r>
              <w:rPr>
                <w:rFonts w:ascii="游ゴシック" w:hAnsi="游ゴシック" w:eastAsia="游ゴシック"/>
                <w:b w:val="0"/>
                <w:i w:val="0"/>
                <w:sz w:val="17"/>
              </w:rPr>
              <w:t>（第9期計画 第4章（４）②）。県の保健医療計画は、同院を圏域内の病院として掲げています。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【表102】第6章2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【表103】第6章2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【表104】第6章3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【表105】第6章4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【表106】第6章4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【表107】第6章4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【表108】第6章4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pStyle w:val="Heading3"/>
        <w:keepNext/>
        <w:spacing w:before="180" w:after="80"/>
      </w:pPr>
      <w:r>
        <w:rPr>
          <w:rFonts w:ascii="游ゴシック" w:hAnsi="游ゴシック" w:eastAsia="游ゴシック"/>
          <w:b/>
          <w:i w:val="0"/>
          <w:color w:val="1F4D78"/>
          <w:sz w:val="22"/>
        </w:rPr>
        <w:t>（参考）特定地域居宅サービス等事業（令和9年4月1日新設）</w:t>
      </w:r>
    </w:p>
    <w:p>
      <w:pPr>
        <w:spacing w:before="60" w:after="60"/>
      </w:pPr>
      <w:r>
        <w:rPr>
          <w:rFonts w:ascii="游ゴシック" w:hAnsi="游ゴシック" w:eastAsia="游ゴシック"/>
          <w:b/>
          <w:i w:val="0"/>
          <w:sz w:val="21"/>
        </w:rPr>
        <w:t>令和9年4月1日に、地域支援事業に「特定地域居宅サービス等事業」が加わります（介護保険法第115条の45第3項。新設）。</w:t>
      </w:r>
      <w:r>
        <w:rPr>
          <w:rFonts w:ascii="游ゴシック" w:hAnsi="游ゴシック" w:eastAsia="游ゴシック"/>
          <w:b w:val="0"/>
          <w:i w:val="0"/>
          <w:sz w:val="21"/>
        </w:rPr>
        <w:t>区域内に</w:t>
      </w:r>
      <w:r>
        <w:rPr>
          <w:rFonts w:ascii="游ゴシック" w:hAnsi="游ゴシック" w:eastAsia="游ゴシック"/>
          <w:b/>
          <w:i w:val="0"/>
          <w:sz w:val="21"/>
        </w:rPr>
        <w:t>特定地域</w:t>
      </w:r>
      <w:r>
        <w:rPr>
          <w:rFonts w:ascii="游ゴシック" w:hAnsi="游ゴシック" w:eastAsia="游ゴシック"/>
          <w:b w:val="0"/>
          <w:i w:val="0"/>
          <w:sz w:val="21"/>
        </w:rPr>
        <w:t>がある市町村は、厚生労働省令で定める基準に従い、特定地域に住所を有する被保険者に対し、次の表のサービス（又はこれに相当するサービス）を</w:t>
      </w:r>
      <w:r>
        <w:rPr>
          <w:rFonts w:ascii="游ゴシック" w:hAnsi="游ゴシック" w:eastAsia="游ゴシック"/>
          <w:b/>
          <w:i w:val="0"/>
          <w:sz w:val="21"/>
        </w:rPr>
        <w:t>地域支援事業として</w:t>
      </w:r>
      <w:r>
        <w:rPr>
          <w:rFonts w:ascii="游ゴシック" w:hAnsi="游ゴシック" w:eastAsia="游ゴシック"/>
          <w:b w:val="0"/>
          <w:i w:val="0"/>
          <w:sz w:val="21"/>
        </w:rPr>
        <w:t>行うことができます。</w:t>
      </w:r>
    </w:p>
    <w:p>
      <w:pPr>
        <w:keepNext/>
        <w:spacing w:before="200" w:after="40"/>
      </w:pPr>
      <w:r>
        <w:rPr>
          <w:rFonts w:ascii="游ゴシック" w:hAnsi="游ゴシック" w:eastAsia="游ゴシック"/>
          <w:b/>
          <w:i w:val="0"/>
          <w:color w:val="1F4D78"/>
          <w:sz w:val="22"/>
        </w:rPr>
        <w:t>【表109】特定地域居宅サービス等事業の対象（介護保険法第115条の45第3項）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27"/>
        <w:gridCol w:w="4124"/>
      </w:tblGrid>
      <w:tr>
        <w:tc>
          <w:tcPr>
            <w:tcW w:type="dxa" w:w="5627"/>
            <w:shd w:val="clear" w:fill="1F3864"/>
            <w:vAlign w:val="center"/>
          </w:tcPr>
          <w:p>
            <w:pPr>
              <w:spacing w:before="20" w:after="20"/>
              <w:jc w:val="center"/>
            </w:pPr>
            <w:r>
              <w:rPr>
                <w:rFonts w:ascii="游ゴシック" w:hAnsi="游ゴシック" w:eastAsia="游ゴシック"/>
                <w:b/>
                <w:i w:val="0"/>
                <w:color w:val="FFFFFF"/>
                <w:sz w:val="17"/>
              </w:rPr>
              <w:t>対象となる被保険者</w:t>
            </w:r>
          </w:p>
        </w:tc>
        <w:tc>
          <w:tcPr>
            <w:tcW w:type="dxa" w:w="4124"/>
            <w:shd w:val="clear" w:fill="1F3864"/>
            <w:vAlign w:val="center"/>
          </w:tcPr>
          <w:p>
            <w:pPr>
              <w:spacing w:before="20" w:after="20"/>
              <w:jc w:val="center"/>
            </w:pPr>
            <w:r>
              <w:rPr>
                <w:rFonts w:ascii="游ゴシック" w:hAnsi="游ゴシック" w:eastAsia="游ゴシック"/>
                <w:b/>
                <w:i w:val="0"/>
                <w:color w:val="FFFFFF"/>
                <w:sz w:val="17"/>
              </w:rPr>
              <w:t>行うことができるサービス</w:t>
            </w:r>
          </w:p>
        </w:tc>
      </w:tr>
      <w:tr>
        <w:tc>
          <w:tcPr>
            <w:tcW w:type="dxa" w:w="5627"/>
            <w:vAlign w:val="center"/>
          </w:tcPr>
          <w:p>
            <w:pPr>
              <w:keepNext/>
              <w:spacing w:before="20" w:after="20"/>
            </w:pPr>
            <w:r>
              <w:rPr>
                <w:rFonts w:ascii="游ゴシック" w:hAnsi="游ゴシック" w:eastAsia="游ゴシック"/>
                <w:b w:val="0"/>
                <w:i w:val="0"/>
                <w:sz w:val="17"/>
              </w:rPr>
              <w:t>特定地域の区域に住所を有し、要介護認定を受けた被保険者のうち、居宅において介護を受けるもの</w:t>
            </w:r>
          </w:p>
        </w:tc>
        <w:tc>
          <w:tcPr>
            <w:tcW w:type="dxa" w:w="4124"/>
            <w:vAlign w:val="center"/>
          </w:tcPr>
          <w:p>
            <w:pPr>
              <w:keepNext/>
              <w:spacing w:before="20" w:after="20"/>
            </w:pPr>
            <w:r>
              <w:rPr>
                <w:rFonts w:ascii="游ゴシック" w:hAnsi="游ゴシック" w:eastAsia="游ゴシック"/>
                <w:b w:val="0"/>
                <w:i w:val="0"/>
                <w:sz w:val="17"/>
              </w:rPr>
              <w:t>訪問介護、訪問入浴介護、通所介護又は短期入所生活介護</w:t>
            </w:r>
          </w:p>
        </w:tc>
      </w:tr>
      <w:tr>
        <w:tc>
          <w:tcPr>
            <w:tcW w:type="dxa" w:w="5627"/>
            <w:vAlign w:val="center"/>
          </w:tcPr>
          <w:p>
            <w:pPr>
              <w:spacing w:before="20" w:after="20"/>
            </w:pPr>
            <w:r>
              <w:rPr>
                <w:rFonts w:ascii="游ゴシック" w:hAnsi="游ゴシック" w:eastAsia="游ゴシック"/>
                <w:b w:val="0"/>
                <w:i w:val="0"/>
                <w:sz w:val="17"/>
              </w:rPr>
              <w:t>特定地域の区域に住所を有し、要支援認定を受けた被保険者のうち、居宅において支援を受けるもの</w:t>
            </w:r>
          </w:p>
        </w:tc>
        <w:tc>
          <w:tcPr>
            <w:tcW w:type="dxa" w:w="4124"/>
            <w:vAlign w:val="center"/>
          </w:tcPr>
          <w:p>
            <w:pPr>
              <w:spacing w:before="20" w:after="20"/>
            </w:pPr>
            <w:r>
              <w:rPr>
                <w:rFonts w:ascii="游ゴシック" w:hAnsi="游ゴシック" w:eastAsia="游ゴシック"/>
                <w:b w:val="0"/>
                <w:i w:val="0"/>
                <w:sz w:val="17"/>
              </w:rPr>
              <w:t>介護予防訪問入浴介護又は介護予防短期入所生活介護</w:t>
            </w:r>
          </w:p>
        </w:tc>
      </w:tr>
    </w:tbl>
    <w:p>
      <w:pPr>
        <w:spacing w:after="40"/>
      </w:pPr>
    </w:p>
    <w:p>
      <w:pPr>
        <w:spacing w:before="60" w:after="60"/>
      </w:pPr>
      <w:r>
        <w:rPr>
          <w:rFonts w:ascii="游ゴシック" w:hAnsi="游ゴシック" w:eastAsia="游ゴシック"/>
          <w:b/>
          <w:i w:val="0"/>
          <w:sz w:val="21"/>
        </w:rPr>
        <w:t>特定地域とは、「人口の減少その他の厚生労働省令で定める基準に該当する地域として都道府県が定めるもの」です（介護保険法第42条第1項第3号）。</w:t>
      </w:r>
      <w:r>
        <w:rPr>
          <w:rFonts w:ascii="游ゴシック" w:hAnsi="游ゴシック" w:eastAsia="游ゴシック"/>
          <w:b w:val="0"/>
          <w:i w:val="0"/>
          <w:sz w:val="21"/>
        </w:rPr>
        <w:t>定めるのは</w:t>
      </w:r>
      <w:r>
        <w:rPr>
          <w:rFonts w:ascii="游ゴシック" w:hAnsi="游ゴシック" w:eastAsia="游ゴシック"/>
          <w:b/>
          <w:i w:val="0"/>
          <w:sz w:val="21"/>
        </w:rPr>
        <w:t>県</w:t>
      </w:r>
      <w:r>
        <w:rPr>
          <w:rFonts w:ascii="游ゴシック" w:hAnsi="游ゴシック" w:eastAsia="游ゴシック"/>
          <w:b w:val="0"/>
          <w:i w:val="0"/>
          <w:sz w:val="21"/>
        </w:rPr>
        <w:t>であり、基準は</w:t>
      </w:r>
      <w:r>
        <w:rPr>
          <w:rFonts w:ascii="游ゴシック" w:hAnsi="游ゴシック" w:eastAsia="游ゴシック"/>
          <w:b/>
          <w:i w:val="0"/>
          <w:sz w:val="21"/>
        </w:rPr>
        <w:t>厚生労働省令</w:t>
      </w:r>
      <w:r>
        <w:rPr>
          <w:rFonts w:ascii="游ゴシック" w:hAnsi="游ゴシック" w:eastAsia="游ゴシック"/>
          <w:b w:val="0"/>
          <w:i w:val="0"/>
          <w:sz w:val="21"/>
        </w:rPr>
        <w:t>で定まります。本町の区域が特定地域に定められるかどうかは【町データ待ち】であり、本計画の本文には、指定があることを前提とした記載をしていません。</w:t>
      </w:r>
    </w:p>
    <w:p>
      <w:pPr>
        <w:spacing w:before="40" w:after="160"/>
        <w:ind w:left="113"/>
      </w:pPr>
      <w:r>
        <w:rPr>
          <w:rFonts w:ascii="游ゴシック" w:hAnsi="游ゴシック" w:eastAsia="游ゴシック"/>
          <w:b/>
          <w:i w:val="0"/>
          <w:sz w:val="17"/>
        </w:rPr>
        <w:t>※ 基準を定める厚生労働省令は、令和8年10月19日現在、公布されていません。</w:t>
      </w:r>
      <w:r>
        <w:rPr>
          <w:rFonts w:ascii="游ゴシック" w:hAnsi="游ゴシック" w:eastAsia="游ゴシック"/>
          <w:b w:val="0"/>
          <w:i w:val="0"/>
          <w:sz w:val="17"/>
        </w:rPr>
        <w:t xml:space="preserve"> 介護保険法施行規則について、令和9年4月1日に効力をもつ版を法令APIで取得したところ、</w:t>
      </w:r>
      <w:r>
        <w:rPr>
          <w:rFonts w:ascii="游ゴシック" w:hAnsi="游ゴシック" w:eastAsia="游ゴシック"/>
          <w:b/>
          <w:i w:val="0"/>
          <w:sz w:val="17"/>
        </w:rPr>
        <w:t>「特定地域」の語を含む条は1つもありません</w:t>
      </w:r>
      <w:r>
        <w:rPr>
          <w:rFonts w:ascii="游ゴシック" w:hAnsi="游ゴシック" w:eastAsia="游ゴシック"/>
          <w:b w:val="0"/>
          <w:i w:val="0"/>
          <w:sz w:val="17"/>
        </w:rPr>
        <w:t>（同日現在の最新は令和8年10月1日施行の版）。介護保険法施行令も同じです。</w:t>
      </w:r>
      <w:r>
        <w:rPr>
          <w:rFonts w:ascii="游ゴシック" w:hAnsi="游ゴシック" w:eastAsia="游ゴシック"/>
          <w:b/>
          <w:i w:val="0"/>
          <w:sz w:val="17"/>
        </w:rPr>
        <w:t>したがって、本計画の策定時点では、本町が特定地域に当たるかどうかを判断する材料がありません。</w:t>
      </w:r>
    </w:p>
    <w:p>
      <w:pPr>
        <w:spacing w:before="40" w:after="160"/>
        <w:ind w:left="113"/>
      </w:pPr>
      <w:r>
        <w:rPr>
          <w:rFonts w:ascii="游ゴシック" w:hAnsi="游ゴシック" w:eastAsia="游ゴシック"/>
          <w:b/>
          <w:i w:val="0"/>
          <w:sz w:val="17"/>
        </w:rPr>
        <w:t>※ 費用の扱いが包括的支援事業・任意事業と異なります。</w:t>
      </w:r>
      <w:r>
        <w:rPr>
          <w:rFonts w:ascii="游ゴシック" w:hAnsi="游ゴシック" w:eastAsia="游ゴシック"/>
          <w:b w:val="0"/>
          <w:i w:val="0"/>
          <w:sz w:val="17"/>
        </w:rPr>
        <w:t xml:space="preserve"> 特定地域居宅サービス等事業に要する費用は、介護予防・日常生活支援総合事業と同じく</w:t>
      </w:r>
      <w:r>
        <w:rPr>
          <w:rFonts w:ascii="游ゴシック" w:hAnsi="游ゴシック" w:eastAsia="游ゴシック"/>
          <w:b/>
          <w:i w:val="0"/>
          <w:sz w:val="17"/>
        </w:rPr>
        <w:t>第2号被保険者の負担（地域支援事業支援交付金）の対象</w:t>
      </w:r>
      <w:r>
        <w:rPr>
          <w:rFonts w:ascii="游ゴシック" w:hAnsi="游ゴシック" w:eastAsia="游ゴシック"/>
          <w:b w:val="0"/>
          <w:i w:val="0"/>
          <w:sz w:val="17"/>
        </w:rPr>
        <w:t>です（介護保険法第126条第1項）。一方、国が交付する「特定地域支援事業支援額」の対象からは</w:t>
      </w:r>
      <w:r>
        <w:rPr>
          <w:rFonts w:ascii="游ゴシック" w:hAnsi="游ゴシック" w:eastAsia="游ゴシック"/>
          <w:b/>
          <w:i w:val="0"/>
          <w:sz w:val="17"/>
        </w:rPr>
        <w:t>除かれます</w:t>
      </w:r>
      <w:r>
        <w:rPr>
          <w:rFonts w:ascii="游ゴシック" w:hAnsi="游ゴシック" w:eastAsia="游ゴシック"/>
          <w:b w:val="0"/>
          <w:i w:val="0"/>
          <w:sz w:val="17"/>
        </w:rPr>
        <w:t>（同法第122条の2第4項）。</w:t>
      </w:r>
      <w:r>
        <w:rPr>
          <w:rFonts w:ascii="游ゴシック" w:hAnsi="游ゴシック" w:eastAsia="游ゴシック"/>
          <w:b/>
          <w:i w:val="0"/>
          <w:sz w:val="17"/>
        </w:rPr>
        <w:t>したがって、本町が特定地域に定められ、かつ本事業を行う場合は、地域支援事業費と保険料の算定をやり直すことになります。</w:t>
      </w:r>
      <w:r>
        <w:rPr>
          <w:rFonts w:ascii="游ゴシック" w:hAnsi="游ゴシック" w:eastAsia="游ゴシック"/>
          <w:b/>
          <w:i w:val="0"/>
          <w:sz w:val="17"/>
        </w:rPr>
        <w:t>※ 用語に紛らわしさがあります。</w:t>
      </w:r>
      <w:r>
        <w:rPr>
          <w:rFonts w:ascii="游ゴシック" w:hAnsi="游ゴシック" w:eastAsia="游ゴシック"/>
          <w:b w:val="0"/>
          <w:i w:val="0"/>
          <w:sz w:val="17"/>
        </w:rPr>
        <w:t xml:space="preserve"> 同法第122条の2第4項の「特定地域支援事業支援額」は改正前からある用語で、</w:t>
      </w:r>
      <w:r>
        <w:rPr>
          <w:rFonts w:ascii="游ゴシック" w:hAnsi="游ゴシック" w:eastAsia="游ゴシック"/>
          <w:b/>
          <w:i w:val="0"/>
          <w:sz w:val="17"/>
        </w:rPr>
        <w:t>ここでいう「特定地域」とは関係がありません。</w:t>
      </w:r>
      <w:r>
        <w:rPr>
          <w:rFonts w:ascii="游ゴシック" w:hAnsi="游ゴシック" w:eastAsia="游ゴシック"/>
          <w:b w:val="0"/>
          <w:i w:val="0"/>
          <w:sz w:val="17"/>
        </w:rPr>
        <w:t>包括的支援事業・任意事業に係る国の負担の額を指します。</w:t>
      </w:r>
    </w:p>
    <w:p>
      <w:pPr>
        <w:spacing w:before="40" w:after="160"/>
        <w:ind w:left="113"/>
      </w:pPr>
      <w:r>
        <w:rPr>
          <w:rFonts w:ascii="游ゴシック" w:hAnsi="游ゴシック" w:eastAsia="游ゴシック"/>
          <w:b w:val="0"/>
          <w:i w:val="0"/>
          <w:sz w:val="17"/>
        </w:rPr>
        <w:t>※ この新設により、</w:t>
      </w:r>
      <w:r>
        <w:rPr>
          <w:rFonts w:ascii="游ゴシック" w:hAnsi="游ゴシック" w:eastAsia="游ゴシック"/>
          <w:b/>
          <w:i w:val="0"/>
          <w:sz w:val="17"/>
        </w:rPr>
        <w:t>同条の項が1つずつ繰り下がります。</w:t>
      </w:r>
      <w:r>
        <w:rPr>
          <w:rFonts w:ascii="游ゴシック" w:hAnsi="游ゴシック" w:eastAsia="游ゴシック"/>
          <w:b w:val="0"/>
          <w:i w:val="0"/>
          <w:sz w:val="17"/>
        </w:rPr>
        <w:t xml:space="preserve"> 任意事業は第3項から</w:t>
      </w:r>
      <w:r>
        <w:rPr>
          <w:rFonts w:ascii="游ゴシック" w:hAnsi="游ゴシック" w:eastAsia="游ゴシック"/>
          <w:b/>
          <w:i w:val="0"/>
          <w:sz w:val="17"/>
        </w:rPr>
        <w:t>第4項</w:t>
      </w:r>
      <w:r>
        <w:rPr>
          <w:rFonts w:ascii="游ゴシック" w:hAnsi="游ゴシック" w:eastAsia="游ゴシック"/>
          <w:b w:val="0"/>
          <w:i w:val="0"/>
          <w:sz w:val="17"/>
        </w:rPr>
        <w:t>に、</w:t>
      </w:r>
      <w:r>
        <w:rPr>
          <w:rFonts w:ascii="游ゴシック" w:hAnsi="游ゴシック" w:eastAsia="游ゴシック"/>
          <w:b/>
          <w:i w:val="0"/>
          <w:sz w:val="17"/>
        </w:rPr>
        <w:t>地域支援事業費の上限（政令で定める額）の規定は第4項から第5項</w:t>
      </w:r>
      <w:r>
        <w:rPr>
          <w:rFonts w:ascii="游ゴシック" w:hAnsi="游ゴシック" w:eastAsia="游ゴシック"/>
          <w:b w:val="0"/>
          <w:i w:val="0"/>
          <w:sz w:val="17"/>
        </w:rPr>
        <w:t>に、利用料の請求は第10項から</w:t>
      </w:r>
      <w:r>
        <w:rPr>
          <w:rFonts w:ascii="游ゴシック" w:hAnsi="游ゴシック" w:eastAsia="游ゴシック"/>
          <w:b/>
          <w:i w:val="0"/>
          <w:sz w:val="17"/>
        </w:rPr>
        <w:t>第11項</w:t>
      </w:r>
      <w:r>
        <w:rPr>
          <w:rFonts w:ascii="游ゴシック" w:hAnsi="游ゴシック" w:eastAsia="游ゴシック"/>
          <w:b w:val="0"/>
          <w:i w:val="0"/>
          <w:sz w:val="17"/>
        </w:rPr>
        <w:t>になります（全10項→全11項）。本計画で任意事業の根拠を引くときは、令和9年4月1日以後は第115条の45第4項となります。</w:t>
      </w:r>
      <w:r>
        <w:rPr>
          <w:rFonts w:ascii="游ゴシック" w:hAnsi="游ゴシック" w:eastAsia="游ゴシック"/>
          <w:b/>
          <w:i w:val="0"/>
          <w:sz w:val="17"/>
        </w:rPr>
        <w:t>なお、上限の額を定める介護保険法施行令第37条の13は、令和8年10月19日現在なお「法第115条の45第4項の政令で定める額」と書いており、改正に追従していません。</w:t>
      </w:r>
      <w:r>
        <w:rPr>
          <w:rFonts w:ascii="游ゴシック" w:hAnsi="游ゴシック" w:eastAsia="游ゴシック"/>
          <w:b w:val="0"/>
          <w:i w:val="0"/>
          <w:sz w:val="17"/>
        </w:rPr>
        <w:t xml:space="preserve"> 法律の改正に政令・省令が追いついていない段階です。</w:t>
      </w:r>
    </w:p>
    <w:p>
      <w:pPr>
        <w:spacing w:before="40" w:after="160"/>
        <w:ind w:left="113"/>
      </w:pPr>
      <w:r>
        <w:rPr>
          <w:rFonts w:ascii="游ゴシック" w:hAnsi="游ゴシック" w:eastAsia="游ゴシック"/>
          <w:b w:val="0"/>
          <w:i w:val="0"/>
          <w:sz w:val="17"/>
        </w:rPr>
        <w:t>出所：介護保険法（平成9年法律第123号）令和9年4月1日時点。e-Gov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第9期の6,600円に対し-547円（-8.3％）です。ただし地域支援事業費・介護給付費準備基金の取崩額・第10期の第1号被保険者負担割合のいずれもが未確定であり、確定値ではありません。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【表110】第6章5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8"/>
        <w:gridCol w:w="2989"/>
        <w:gridCol w:w="3555"/>
      </w:tblGrid>
      <w:tr>
        <w:tc>
          <w:tcPr>
            <w:tcW w:type="dxa" w:w="32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89"/>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5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208"/>
            <w:vAlign w:val="center"/>
          </w:tcPr>
          <w:p>
            <w:pPr>
              <w:spacing w:before="20" w:after="20"/>
            </w:pPr>
            <w:r>
              <w:rPr>
                <w:rFonts w:ascii="游ゴシック" w:hAnsi="游ゴシック" w:eastAsia="游ゴシック"/>
                <w:b w:val="0"/>
                <w:i w:val="0"/>
                <w:sz w:val="17"/>
              </w:rPr>
              <w:t>標準給付費見込額（3年計）</w:t>
            </w:r>
          </w:p>
        </w:tc>
        <w:tc>
          <w:tcPr>
            <w:tcW w:type="dxa" w:w="2989"/>
            <w:vAlign w:val="center"/>
          </w:tcPr>
          <w:p>
            <w:pPr>
              <w:spacing w:before="20" w:after="20"/>
            </w:pPr>
            <w:r>
              <w:rPr>
                <w:rFonts w:ascii="游ゴシック" w:hAnsi="游ゴシック" w:eastAsia="游ゴシック"/>
                <w:b w:val="0"/>
                <w:i w:val="0"/>
                <w:sz w:val="17"/>
              </w:rPr>
              <w:t>3,093,948千円</w:t>
            </w:r>
          </w:p>
        </w:tc>
        <w:tc>
          <w:tcPr>
            <w:tcW w:type="dxa" w:w="3555"/>
            <w:vAlign w:val="center"/>
          </w:tcPr>
          <w:p>
            <w:pPr>
              <w:spacing w:before="20" w:after="20"/>
            </w:pPr>
            <w:r>
              <w:rPr>
                <w:rFonts w:ascii="游ゴシック" w:hAnsi="游ゴシック" w:eastAsia="游ゴシック"/>
                <w:b w:val="0"/>
                <w:i w:val="0"/>
                <w:sz w:val="17"/>
              </w:rPr>
              <w:t>3,566,486千円</w:t>
            </w:r>
          </w:p>
        </w:tc>
      </w:tr>
      <w:tr>
        <w:tc>
          <w:tcPr>
            <w:tcW w:type="dxa" w:w="3208"/>
            <w:vAlign w:val="center"/>
          </w:tcPr>
          <w:p>
            <w:pPr>
              <w:spacing w:before="20" w:after="20"/>
            </w:pPr>
            <w:r>
              <w:rPr>
                <w:rFonts w:ascii="游ゴシック" w:hAnsi="游ゴシック" w:eastAsia="游ゴシック"/>
                <w:b w:val="0"/>
                <w:i w:val="0"/>
                <w:sz w:val="17"/>
              </w:rPr>
              <w:t>地域支援事業費（3年計）</w:t>
            </w:r>
          </w:p>
        </w:tc>
        <w:tc>
          <w:tcPr>
            <w:tcW w:type="dxa" w:w="2989"/>
            <w:vAlign w:val="center"/>
          </w:tcPr>
          <w:p>
            <w:pPr>
              <w:spacing w:before="20" w:after="20"/>
            </w:pPr>
            <w:r>
              <w:rPr>
                <w:rFonts w:ascii="游ゴシック" w:hAnsi="游ゴシック" w:eastAsia="游ゴシック"/>
                <w:b w:val="0"/>
                <w:i w:val="0"/>
                <w:sz w:val="17"/>
              </w:rPr>
              <w:t>194,662千円</w:t>
            </w:r>
          </w:p>
        </w:tc>
        <w:tc>
          <w:tcPr>
            <w:tcW w:type="dxa" w:w="3555"/>
            <w:vAlign w:val="center"/>
          </w:tcPr>
          <w:p>
            <w:pPr>
              <w:spacing w:before="20" w:after="20"/>
            </w:pPr>
            <w:r>
              <w:rPr>
                <w:rFonts w:ascii="游ゴシック" w:hAnsi="游ゴシック" w:eastAsia="游ゴシック"/>
                <w:b w:val="0"/>
                <w:i w:val="0"/>
                <w:sz w:val="17"/>
              </w:rPr>
              <w:t>207,260千円</w:t>
            </w:r>
          </w:p>
        </w:tc>
      </w:tr>
      <w:tr>
        <w:tc>
          <w:tcPr>
            <w:tcW w:type="dxa" w:w="3208"/>
            <w:vAlign w:val="center"/>
          </w:tcPr>
          <w:p>
            <w:pPr>
              <w:spacing w:before="20" w:after="20"/>
            </w:pPr>
            <w:r>
              <w:rPr>
                <w:rFonts w:ascii="游ゴシック" w:hAnsi="游ゴシック" w:eastAsia="游ゴシック"/>
                <w:b w:val="0"/>
                <w:i w:val="0"/>
                <w:sz w:val="17"/>
              </w:rPr>
              <w:t>第1号被保険者負担割合</w:t>
            </w:r>
          </w:p>
        </w:tc>
        <w:tc>
          <w:tcPr>
            <w:tcW w:type="dxa" w:w="2989"/>
            <w:vAlign w:val="center"/>
          </w:tcPr>
          <w:p>
            <w:pPr>
              <w:spacing w:before="20" w:after="20"/>
            </w:pPr>
            <w:r>
              <w:rPr>
                <w:rFonts w:ascii="游ゴシック" w:hAnsi="游ゴシック" w:eastAsia="游ゴシック"/>
                <w:b w:val="0"/>
                <w:i w:val="0"/>
                <w:sz w:val="17"/>
              </w:rPr>
              <w:t>23％（【決定後に記載】）</w:t>
            </w:r>
          </w:p>
        </w:tc>
        <w:tc>
          <w:tcPr>
            <w:tcW w:type="dxa" w:w="3555"/>
            <w:vAlign w:val="center"/>
          </w:tcPr>
          <w:p>
            <w:pPr>
              <w:spacing w:before="20" w:after="20"/>
            </w:pPr>
            <w:r>
              <w:rPr>
                <w:rFonts w:ascii="游ゴシック" w:hAnsi="游ゴシック" w:eastAsia="游ゴシック"/>
                <w:b w:val="0"/>
                <w:i w:val="0"/>
                <w:sz w:val="17"/>
              </w:rPr>
              <w:t>23％</w:t>
            </w:r>
          </w:p>
        </w:tc>
      </w:tr>
      <w:tr>
        <w:tc>
          <w:tcPr>
            <w:tcW w:type="dxa" w:w="3208"/>
            <w:vAlign w:val="center"/>
          </w:tcPr>
          <w:p>
            <w:pPr>
              <w:spacing w:before="20" w:after="20"/>
            </w:pPr>
            <w:r>
              <w:rPr>
                <w:rFonts w:ascii="游ゴシック" w:hAnsi="游ゴシック" w:eastAsia="游ゴシック"/>
                <w:b w:val="0"/>
                <w:i w:val="0"/>
                <w:sz w:val="17"/>
              </w:rPr>
              <w:t>調整交付金見込交付割合</w:t>
            </w:r>
          </w:p>
        </w:tc>
        <w:tc>
          <w:tcPr>
            <w:tcW w:type="dxa" w:w="2989"/>
            <w:vAlign w:val="center"/>
          </w:tcPr>
          <w:p>
            <w:pPr>
              <w:spacing w:before="20" w:after="20"/>
            </w:pPr>
            <w:r>
              <w:rPr>
                <w:rFonts w:ascii="游ゴシック" w:hAnsi="游ゴシック" w:eastAsia="游ゴシック"/>
                <w:b w:val="0"/>
                <w:i w:val="0"/>
                <w:sz w:val="17"/>
              </w:rPr>
              <w:t>5.533％（算式）</w:t>
            </w:r>
          </w:p>
        </w:tc>
        <w:tc>
          <w:tcPr>
            <w:tcW w:type="dxa" w:w="3555"/>
            <w:vAlign w:val="center"/>
          </w:tcPr>
          <w:p>
            <w:pPr>
              <w:spacing w:before="20" w:after="20"/>
            </w:pPr>
            <w:r>
              <w:rPr>
                <w:rFonts w:ascii="游ゴシック" w:hAnsi="游ゴシック" w:eastAsia="游ゴシック"/>
                <w:b w:val="0"/>
                <w:i w:val="0"/>
                <w:sz w:val="17"/>
              </w:rPr>
              <w:t>6.058％（第9期計画の公表値）</w:t>
            </w:r>
          </w:p>
        </w:tc>
      </w:tr>
      <w:tr>
        <w:tc>
          <w:tcPr>
            <w:tcW w:type="dxa" w:w="3208"/>
            <w:vAlign w:val="center"/>
          </w:tcPr>
          <w:p>
            <w:pPr>
              <w:spacing w:before="20" w:after="20"/>
            </w:pPr>
            <w:r>
              <w:rPr>
                <w:rFonts w:ascii="游ゴシック" w:hAnsi="游ゴシック" w:eastAsia="游ゴシック"/>
                <w:b w:val="0"/>
                <w:i w:val="0"/>
                <w:sz w:val="17"/>
              </w:rPr>
              <w:t>保険料収納必要額</w:t>
            </w:r>
          </w:p>
        </w:tc>
        <w:tc>
          <w:tcPr>
            <w:tcW w:type="dxa" w:w="2989"/>
            <w:vAlign w:val="center"/>
          </w:tcPr>
          <w:p>
            <w:pPr>
              <w:spacing w:before="20" w:after="20"/>
            </w:pPr>
            <w:r>
              <w:rPr>
                <w:rFonts w:ascii="游ゴシック" w:hAnsi="游ゴシック" w:eastAsia="游ゴシック"/>
                <w:b w:val="0"/>
                <w:i w:val="0"/>
                <w:sz w:val="17"/>
              </w:rPr>
              <w:t>739,330千円</w:t>
            </w:r>
          </w:p>
        </w:tc>
        <w:tc>
          <w:tcPr>
            <w:tcW w:type="dxa" w:w="3555"/>
            <w:vAlign w:val="center"/>
          </w:tcPr>
          <w:p>
            <w:pPr>
              <w:spacing w:before="20" w:after="20"/>
            </w:pPr>
            <w:r>
              <w:rPr>
                <w:rFonts w:ascii="游ゴシック" w:hAnsi="游ゴシック" w:eastAsia="游ゴシック"/>
                <w:b w:val="0"/>
                <w:i w:val="0"/>
                <w:sz w:val="17"/>
              </w:rPr>
              <w:t>832,562千円</w:t>
            </w:r>
          </w:p>
        </w:tc>
      </w:tr>
      <w:tr>
        <w:tc>
          <w:tcPr>
            <w:tcW w:type="dxa" w:w="3208"/>
            <w:vAlign w:val="center"/>
          </w:tcPr>
          <w:p>
            <w:pPr>
              <w:spacing w:before="20" w:after="20"/>
            </w:pPr>
            <w:r>
              <w:rPr>
                <w:rFonts w:ascii="游ゴシック" w:hAnsi="游ゴシック" w:eastAsia="游ゴシック"/>
                <w:b w:val="0"/>
                <w:i w:val="0"/>
                <w:sz w:val="17"/>
              </w:rPr>
              <w:t>介護給付費準備基金取崩額</w:t>
            </w:r>
          </w:p>
        </w:tc>
        <w:tc>
          <w:tcPr>
            <w:tcW w:type="dxa" w:w="2989"/>
            <w:vAlign w:val="center"/>
          </w:tcPr>
          <w:p>
            <w:pPr>
              <w:spacing w:before="20" w:after="20"/>
            </w:pPr>
            <w:r>
              <w:rPr>
                <w:rFonts w:ascii="游ゴシック" w:hAnsi="游ゴシック" w:eastAsia="游ゴシック"/>
                <w:b w:val="0"/>
                <w:i w:val="0"/>
                <w:sz w:val="17"/>
              </w:rPr>
              <w:t>0千円（標準ケース。【決定後に記載】）</w:t>
            </w:r>
          </w:p>
        </w:tc>
        <w:tc>
          <w:tcPr>
            <w:tcW w:type="dxa" w:w="3555"/>
            <w:vAlign w:val="center"/>
          </w:tcPr>
          <w:p>
            <w:pPr>
              <w:spacing w:before="20" w:after="20"/>
            </w:pPr>
            <w:r>
              <w:rPr>
                <w:rFonts w:ascii="游ゴシック" w:hAnsi="游ゴシック" w:eastAsia="游ゴシック"/>
                <w:b w:val="0"/>
                <w:i w:val="0"/>
                <w:sz w:val="17"/>
              </w:rPr>
              <w:t>35,000千円</w:t>
            </w:r>
          </w:p>
        </w:tc>
      </w:tr>
      <w:tr>
        <w:tc>
          <w:tcPr>
            <w:tcW w:type="dxa" w:w="3208"/>
            <w:vAlign w:val="center"/>
          </w:tcPr>
          <w:p>
            <w:pPr>
              <w:spacing w:before="20" w:after="20"/>
            </w:pPr>
            <w:r>
              <w:rPr>
                <w:rFonts w:ascii="游ゴシック" w:hAnsi="游ゴシック" w:eastAsia="游ゴシック"/>
                <w:b w:val="0"/>
                <w:i w:val="0"/>
                <w:sz w:val="17"/>
              </w:rPr>
              <w:t>予定保険料収納率</w:t>
            </w:r>
          </w:p>
        </w:tc>
        <w:tc>
          <w:tcPr>
            <w:tcW w:type="dxa" w:w="2989"/>
            <w:vAlign w:val="center"/>
          </w:tcPr>
          <w:p>
            <w:pPr>
              <w:spacing w:before="20" w:after="20"/>
            </w:pPr>
            <w:r>
              <w:rPr>
                <w:rFonts w:ascii="游ゴシック" w:hAnsi="游ゴシック" w:eastAsia="游ゴシック"/>
                <w:b w:val="0"/>
                <w:i w:val="0"/>
                <w:sz w:val="17"/>
              </w:rPr>
              <w:t>99.35％</w:t>
            </w:r>
          </w:p>
        </w:tc>
        <w:tc>
          <w:tcPr>
            <w:tcW w:type="dxa" w:w="3555"/>
            <w:vAlign w:val="center"/>
          </w:tcPr>
          <w:p>
            <w:pPr>
              <w:spacing w:before="20" w:after="20"/>
            </w:pPr>
            <w:r>
              <w:rPr>
                <w:rFonts w:ascii="游ゴシック" w:hAnsi="游ゴシック" w:eastAsia="游ゴシック"/>
                <w:b w:val="0"/>
                <w:i w:val="0"/>
                <w:sz w:val="17"/>
              </w:rPr>
              <w:t>99.40％</w:t>
            </w:r>
          </w:p>
        </w:tc>
      </w:tr>
      <w:tr>
        <w:tc>
          <w:tcPr>
            <w:tcW w:type="dxa" w:w="3208"/>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989"/>
            <w:vAlign w:val="center"/>
          </w:tcPr>
          <w:p>
            <w:pPr>
              <w:keepNext/>
              <w:spacing w:before="20" w:after="20"/>
            </w:pPr>
            <w:r>
              <w:rPr>
                <w:rFonts w:ascii="游ゴシック" w:hAnsi="游ゴシック" w:eastAsia="游ゴシック"/>
                <w:b w:val="0"/>
                <w:i w:val="0"/>
                <w:sz w:val="17"/>
              </w:rPr>
              <w:t>10,245人</w:t>
            </w:r>
          </w:p>
        </w:tc>
        <w:tc>
          <w:tcPr>
            <w:tcW w:type="dxa" w:w="3555"/>
            <w:vAlign w:val="center"/>
          </w:tcPr>
          <w:p>
            <w:pPr>
              <w:keepNext/>
              <w:spacing w:before="20" w:after="20"/>
            </w:pPr>
            <w:r>
              <w:rPr>
                <w:rFonts w:ascii="游ゴシック" w:hAnsi="游ゴシック" w:eastAsia="游ゴシック"/>
                <w:b w:val="0"/>
                <w:i w:val="0"/>
                <w:sz w:val="17"/>
              </w:rPr>
              <w:t>10,136人</w:t>
            </w:r>
          </w:p>
        </w:tc>
      </w:tr>
      <w:tr>
        <w:tc>
          <w:tcPr>
            <w:tcW w:type="dxa" w:w="3208"/>
            <w:vAlign w:val="center"/>
          </w:tcPr>
          <w:p>
            <w:pPr>
              <w:spacing w:before="20" w:after="20"/>
            </w:pPr>
            <w:r>
              <w:rPr>
                <w:rFonts w:ascii="游ゴシック" w:hAnsi="游ゴシック" w:eastAsia="游ゴシック"/>
                <w:b/>
                <w:i w:val="0"/>
                <w:sz w:val="17"/>
              </w:rPr>
              <w:t>保険料基準額（月額）</w:t>
            </w:r>
          </w:p>
        </w:tc>
        <w:tc>
          <w:tcPr>
            <w:tcW w:type="dxa" w:w="2989"/>
            <w:vAlign w:val="center"/>
          </w:tcPr>
          <w:p>
            <w:pPr>
              <w:spacing w:before="20" w:after="20"/>
            </w:pPr>
            <w:r>
              <w:rPr>
                <w:rFonts w:ascii="游ゴシック" w:hAnsi="游ゴシック" w:eastAsia="游ゴシック"/>
                <w:b/>
                <w:i w:val="0"/>
                <w:sz w:val="17"/>
              </w:rPr>
              <w:t>6,053円</w:t>
            </w:r>
          </w:p>
        </w:tc>
        <w:tc>
          <w:tcPr>
            <w:tcW w:type="dxa" w:w="3555"/>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【表111】第6章5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2"/>
        <w:gridCol w:w="2106"/>
        <w:gridCol w:w="1610"/>
        <w:gridCol w:w="4042"/>
      </w:tblGrid>
      <w:tr>
        <w:tc>
          <w:tcPr>
            <w:tcW w:type="dxa" w:w="199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06"/>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610"/>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04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992"/>
            <w:vAlign w:val="center"/>
          </w:tcPr>
          <w:p>
            <w:pPr>
              <w:spacing w:before="20" w:after="20"/>
            </w:pPr>
            <w:r>
              <w:rPr>
                <w:rFonts w:ascii="游ゴシック" w:hAnsi="游ゴシック" w:eastAsia="游ゴシック"/>
                <w:b/>
                <w:i w:val="0"/>
                <w:sz w:val="17"/>
              </w:rPr>
              <w:t>第1号被保険者負担割合</w:t>
            </w:r>
          </w:p>
        </w:tc>
        <w:tc>
          <w:tcPr>
            <w:tcW w:type="dxa" w:w="2106"/>
            <w:vAlign w:val="center"/>
          </w:tcPr>
          <w:p>
            <w:pPr>
              <w:spacing w:before="20" w:after="20"/>
            </w:pPr>
            <w:r>
              <w:rPr>
                <w:rFonts w:ascii="游ゴシック" w:hAnsi="游ゴシック" w:eastAsia="游ゴシック"/>
                <w:b w:val="0"/>
                <w:i w:val="0"/>
                <w:sz w:val="17"/>
              </w:rPr>
              <w:t>23％→24％（1ポイント）</w:t>
            </w:r>
          </w:p>
        </w:tc>
        <w:tc>
          <w:tcPr>
            <w:tcW w:type="dxa" w:w="1610"/>
            <w:vAlign w:val="center"/>
          </w:tcPr>
          <w:p>
            <w:pPr>
              <w:spacing w:before="20" w:after="20"/>
            </w:pPr>
            <w:r>
              <w:rPr>
                <w:rFonts w:ascii="游ゴシック" w:hAnsi="游ゴシック" w:eastAsia="游ゴシック"/>
                <w:b/>
                <w:i w:val="0"/>
                <w:sz w:val="17"/>
              </w:rPr>
              <w:t>+269円</w:t>
            </w:r>
          </w:p>
        </w:tc>
        <w:tc>
          <w:tcPr>
            <w:tcW w:type="dxa" w:w="404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992"/>
            <w:vAlign w:val="center"/>
          </w:tcPr>
          <w:p>
            <w:pPr>
              <w:spacing w:before="20" w:after="20"/>
            </w:pPr>
            <w:r>
              <w:rPr>
                <w:rFonts w:ascii="游ゴシック" w:hAnsi="游ゴシック" w:eastAsia="游ゴシック"/>
                <w:b/>
                <w:i w:val="0"/>
                <w:sz w:val="17"/>
              </w:rPr>
              <w:t>調整交付金の見込交付割合</w:t>
            </w:r>
          </w:p>
        </w:tc>
        <w:tc>
          <w:tcPr>
            <w:tcW w:type="dxa" w:w="2106"/>
            <w:vAlign w:val="center"/>
          </w:tcPr>
          <w:p>
            <w:pPr>
              <w:spacing w:before="20" w:after="20"/>
            </w:pPr>
            <w:r>
              <w:rPr>
                <w:rFonts w:ascii="游ゴシック" w:hAnsi="游ゴシック" w:eastAsia="游ゴシック"/>
                <w:b w:val="0"/>
                <w:i w:val="0"/>
                <w:sz w:val="17"/>
              </w:rPr>
              <w:t>1ポイント（低下）</w:t>
            </w:r>
          </w:p>
        </w:tc>
        <w:tc>
          <w:tcPr>
            <w:tcW w:type="dxa" w:w="1610"/>
            <w:vAlign w:val="center"/>
          </w:tcPr>
          <w:p>
            <w:pPr>
              <w:spacing w:before="20" w:after="20"/>
            </w:pPr>
            <w:r>
              <w:rPr>
                <w:rFonts w:ascii="游ゴシック" w:hAnsi="游ゴシック" w:eastAsia="游ゴシック"/>
                <w:b/>
                <w:i w:val="0"/>
                <w:sz w:val="17"/>
              </w:rPr>
              <w:t>+262円</w:t>
            </w:r>
          </w:p>
        </w:tc>
        <w:tc>
          <w:tcPr>
            <w:tcW w:type="dxa" w:w="404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992"/>
            <w:vAlign w:val="center"/>
          </w:tcPr>
          <w:p>
            <w:pPr>
              <w:spacing w:before="20" w:after="20"/>
            </w:pPr>
            <w:r>
              <w:rPr>
                <w:rFonts w:ascii="游ゴシック" w:hAnsi="游ゴシック" w:eastAsia="游ゴシック"/>
                <w:b w:val="0"/>
                <w:i w:val="0"/>
                <w:sz w:val="17"/>
              </w:rPr>
              <w:t>介護給付費準備基金の取崩</w:t>
            </w:r>
          </w:p>
        </w:tc>
        <w:tc>
          <w:tcPr>
            <w:tcW w:type="dxa" w:w="2106"/>
            <w:vAlign w:val="center"/>
          </w:tcPr>
          <w:p>
            <w:pPr>
              <w:spacing w:before="20" w:after="20"/>
            </w:pPr>
            <w:r>
              <w:rPr>
                <w:rFonts w:ascii="游ゴシック" w:hAnsi="游ゴシック" w:eastAsia="游ゴシック"/>
                <w:b w:val="0"/>
                <w:i w:val="0"/>
                <w:sz w:val="17"/>
              </w:rPr>
              <w:t>1,000万円</w:t>
            </w:r>
          </w:p>
        </w:tc>
        <w:tc>
          <w:tcPr>
            <w:tcW w:type="dxa" w:w="1610"/>
            <w:vAlign w:val="center"/>
          </w:tcPr>
          <w:p>
            <w:pPr>
              <w:spacing w:before="20" w:after="20"/>
            </w:pPr>
            <w:r>
              <w:rPr>
                <w:rFonts w:ascii="游ゴシック" w:hAnsi="游ゴシック" w:eastAsia="游ゴシック"/>
                <w:b w:val="0"/>
                <w:i w:val="0"/>
                <w:sz w:val="17"/>
              </w:rPr>
              <w:t>-82円</w:t>
            </w:r>
          </w:p>
        </w:tc>
        <w:tc>
          <w:tcPr>
            <w:tcW w:type="dxa" w:w="4042"/>
            <w:vAlign w:val="center"/>
          </w:tcPr>
          <w:p>
            <w:pPr>
              <w:spacing w:before="20" w:after="20"/>
            </w:pPr>
            <w:r>
              <w:rPr>
                <w:rFonts w:ascii="游ゴシック" w:hAnsi="游ゴシック" w:eastAsia="游ゴシック"/>
                <w:b/>
                <w:i w:val="0"/>
                <w:sz w:val="17"/>
              </w:rPr>
              <w:t>残高は令和5年度末120,000千円（町の財務書類）、令和8年度末見込210,000千円。取崩額は町と協議会で決める</w:t>
            </w:r>
          </w:p>
        </w:tc>
      </w:tr>
      <w:tr>
        <w:tc>
          <w:tcPr>
            <w:tcW w:type="dxa" w:w="1992"/>
            <w:vAlign w:val="center"/>
          </w:tcPr>
          <w:p>
            <w:pPr>
              <w:keepNext/>
              <w:spacing w:before="20" w:after="20"/>
            </w:pPr>
            <w:r>
              <w:rPr>
                <w:rFonts w:ascii="游ゴシック" w:hAnsi="游ゴシック" w:eastAsia="游ゴシック"/>
                <w:b w:val="0"/>
                <w:i w:val="0"/>
                <w:sz w:val="17"/>
              </w:rPr>
              <w:t>総給付費・介護報酬改定</w:t>
            </w:r>
          </w:p>
        </w:tc>
        <w:tc>
          <w:tcPr>
            <w:tcW w:type="dxa" w:w="2106"/>
            <w:vAlign w:val="center"/>
          </w:tcPr>
          <w:p>
            <w:pPr>
              <w:keepNext/>
              <w:spacing w:before="20" w:after="20"/>
            </w:pPr>
            <w:r>
              <w:rPr>
                <w:rFonts w:ascii="游ゴシック" w:hAnsi="游ゴシック" w:eastAsia="游ゴシック"/>
                <w:b w:val="0"/>
                <w:i w:val="0"/>
                <w:sz w:val="17"/>
              </w:rPr>
              <w:t>1％</w:t>
            </w:r>
          </w:p>
        </w:tc>
        <w:tc>
          <w:tcPr>
            <w:tcW w:type="dxa" w:w="1610"/>
            <w:vAlign w:val="center"/>
          </w:tcPr>
          <w:p>
            <w:pPr>
              <w:keepNext/>
              <w:spacing w:before="20" w:after="20"/>
            </w:pPr>
            <w:r>
              <w:rPr>
                <w:rFonts w:ascii="游ゴシック" w:hAnsi="游ゴシック" w:eastAsia="游ゴシック"/>
                <w:b w:val="0"/>
                <w:i w:val="0"/>
                <w:sz w:val="17"/>
              </w:rPr>
              <w:t>+56.9円</w:t>
            </w:r>
          </w:p>
        </w:tc>
        <w:tc>
          <w:tcPr>
            <w:tcW w:type="dxa" w:w="404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992"/>
            <w:vAlign w:val="center"/>
          </w:tcPr>
          <w:p>
            <w:pPr>
              <w:spacing w:before="20" w:after="20"/>
            </w:pPr>
            <w:r>
              <w:rPr>
                <w:rFonts w:ascii="游ゴシック" w:hAnsi="游ゴシック" w:eastAsia="游ゴシック"/>
                <w:b w:val="0"/>
                <w:i w:val="0"/>
                <w:sz w:val="17"/>
              </w:rPr>
              <w:t>地域支援事業費</w:t>
            </w:r>
          </w:p>
        </w:tc>
        <w:tc>
          <w:tcPr>
            <w:tcW w:type="dxa" w:w="2106"/>
            <w:vAlign w:val="center"/>
          </w:tcPr>
          <w:p>
            <w:pPr>
              <w:spacing w:before="20" w:after="20"/>
            </w:pPr>
            <w:r>
              <w:rPr>
                <w:rFonts w:ascii="游ゴシック" w:hAnsi="游ゴシック" w:eastAsia="游ゴシック"/>
                <w:b w:val="0"/>
                <w:i w:val="0"/>
                <w:sz w:val="17"/>
              </w:rPr>
              <w:t>1％</w:t>
            </w:r>
          </w:p>
        </w:tc>
        <w:tc>
          <w:tcPr>
            <w:tcW w:type="dxa" w:w="1610"/>
            <w:vAlign w:val="center"/>
          </w:tcPr>
          <w:p>
            <w:pPr>
              <w:spacing w:before="20" w:after="20"/>
            </w:pPr>
            <w:r>
              <w:rPr>
                <w:rFonts w:ascii="游ゴシック" w:hAnsi="游ゴシック" w:eastAsia="游ゴシック"/>
                <w:b w:val="0"/>
                <w:i w:val="0"/>
                <w:sz w:val="17"/>
              </w:rPr>
              <w:t>+3.6円</w:t>
            </w:r>
          </w:p>
        </w:tc>
        <w:tc>
          <w:tcPr>
            <w:tcW w:type="dxa" w:w="404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【表112】第6章5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基金半分取崩ケース</w:t>
            </w:r>
          </w:p>
        </w:tc>
        <w:tc>
          <w:tcPr>
            <w:tcW w:type="dxa" w:w="2308"/>
            <w:vAlign w:val="center"/>
          </w:tcPr>
          <w:p>
            <w:pPr>
              <w:spacing w:before="20" w:after="20"/>
            </w:pPr>
            <w:r>
              <w:rPr>
                <w:rFonts w:ascii="游ゴシック" w:hAnsi="游ゴシック" w:eastAsia="游ゴシック"/>
                <w:b w:val="0"/>
                <w:i w:val="0"/>
                <w:sz w:val="17"/>
              </w:rPr>
              <w:t>令和8年度末見込210,000千円の半分（105,000千円）を取り崩す場合</w:t>
            </w:r>
          </w:p>
        </w:tc>
        <w:tc>
          <w:tcPr>
            <w:tcW w:type="dxa" w:w="1456"/>
            <w:vAlign w:val="center"/>
          </w:tcPr>
          <w:p>
            <w:pPr>
              <w:spacing w:before="20" w:after="20"/>
            </w:pPr>
            <w:r>
              <w:rPr>
                <w:rFonts w:ascii="游ゴシック" w:hAnsi="游ゴシック" w:eastAsia="游ゴシック"/>
                <w:b/>
                <w:i w:val="0"/>
                <w:sz w:val="17"/>
              </w:rPr>
              <w:t>5,194円</w:t>
            </w:r>
          </w:p>
        </w:tc>
        <w:tc>
          <w:tcPr>
            <w:tcW w:type="dxa" w:w="1425"/>
            <w:vAlign w:val="center"/>
          </w:tcPr>
          <w:p>
            <w:pPr>
              <w:spacing w:before="20" w:after="20"/>
            </w:pPr>
            <w:r>
              <w:rPr>
                <w:rFonts w:ascii="游ゴシック" w:hAnsi="游ゴシック" w:eastAsia="游ゴシック"/>
                <w:b/>
                <w:i w:val="0"/>
                <w:sz w:val="17"/>
              </w:rPr>
              <w:t>5,200円</w:t>
            </w:r>
          </w:p>
        </w:tc>
        <w:tc>
          <w:tcPr>
            <w:tcW w:type="dxa" w:w="2986"/>
            <w:vAlign w:val="center"/>
          </w:tcPr>
          <w:p>
            <w:pPr>
              <w:spacing w:before="20" w:after="20"/>
            </w:pPr>
            <w:r>
              <w:rPr>
                <w:rFonts w:ascii="游ゴシック" w:hAnsi="游ゴシック" w:eastAsia="游ゴシック"/>
                <w:b/>
                <w:i w:val="0"/>
                <w:sz w:val="17"/>
              </w:rPr>
              <w:t>第10期末に105,000千円が残る。給付の上振れへの備えを残しつつ引き下げる案として、協議の中心に置くことを提案する</w:t>
            </w:r>
          </w:p>
        </w:tc>
      </w:tr>
      <w:tr>
        <w:tc>
          <w:tcPr>
            <w:tcW w:type="dxa" w:w="1576"/>
            <w:vAlign w:val="center"/>
          </w:tcPr>
          <w:p>
            <w:pPr>
              <w:spacing w:before="20" w:after="20"/>
            </w:pPr>
            <w:r>
              <w:rPr>
                <w:rFonts w:ascii="游ゴシック" w:hAnsi="游ゴシック" w:eastAsia="游ゴシック"/>
                <w:b w:val="0"/>
                <w:i w:val="0"/>
                <w:sz w:val="17"/>
              </w:rPr>
              <w:t>基金全額取崩ケース</w:t>
            </w:r>
          </w:p>
        </w:tc>
        <w:tc>
          <w:tcPr>
            <w:tcW w:type="dxa" w:w="2308"/>
            <w:vAlign w:val="center"/>
          </w:tcPr>
          <w:p>
            <w:pPr>
              <w:spacing w:before="20" w:after="20"/>
            </w:pPr>
            <w:r>
              <w:rPr>
                <w:rFonts w:ascii="游ゴシック" w:hAnsi="游ゴシック" w:eastAsia="游ゴシック"/>
                <w:b w:val="0"/>
                <w:i w:val="0"/>
                <w:sz w:val="17"/>
              </w:rPr>
              <w:t>令和8年度末見込210,000千円を全額取り崩す場合</w:t>
            </w:r>
          </w:p>
        </w:tc>
        <w:tc>
          <w:tcPr>
            <w:tcW w:type="dxa" w:w="1456"/>
            <w:vAlign w:val="center"/>
          </w:tcPr>
          <w:p>
            <w:pPr>
              <w:spacing w:before="20" w:after="20"/>
            </w:pPr>
            <w:r>
              <w:rPr>
                <w:rFonts w:ascii="游ゴシック" w:hAnsi="游ゴシック" w:eastAsia="游ゴシック"/>
                <w:b w:val="0"/>
                <w:i w:val="0"/>
                <w:sz w:val="17"/>
              </w:rPr>
              <w:t>4,334円</w:t>
            </w:r>
          </w:p>
        </w:tc>
        <w:tc>
          <w:tcPr>
            <w:tcW w:type="dxa" w:w="1425"/>
            <w:vAlign w:val="center"/>
          </w:tcPr>
          <w:p>
            <w:pPr>
              <w:spacing w:before="20" w:after="20"/>
            </w:pPr>
            <w:r>
              <w:rPr>
                <w:rFonts w:ascii="游ゴシック" w:hAnsi="游ゴシック" w:eastAsia="游ゴシック"/>
                <w:b w:val="0"/>
                <w:i w:val="0"/>
                <w:sz w:val="17"/>
              </w:rPr>
              <w:t>4,400円</w:t>
            </w:r>
          </w:p>
        </w:tc>
        <w:tc>
          <w:tcPr>
            <w:tcW w:type="dxa" w:w="2986"/>
            <w:vAlign w:val="center"/>
          </w:tcPr>
          <w:p>
            <w:pPr>
              <w:spacing w:before="20" w:after="20"/>
            </w:pPr>
            <w:r>
              <w:rPr>
                <w:rFonts w:ascii="游ゴシック" w:hAnsi="游ゴシック" w:eastAsia="游ゴシック"/>
                <w:b w:val="0"/>
                <w:i w:val="0"/>
                <w:sz w:val="17"/>
              </w:rPr>
              <w:t>第10期末に残高0。給付が見込みを上回ると財政安定化基金からの借入れとなり、第11期の保険料で返すことになる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val="0"/>
                <w:i w:val="0"/>
                <w:sz w:val="17"/>
              </w:rPr>
              <w:t>残高の範囲内で実行できる</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【表113】第6章6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【表114】第6章7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【表115】第6章7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0"/>
        <w:gridCol w:w="2188"/>
        <w:gridCol w:w="1220"/>
        <w:gridCol w:w="1301"/>
        <w:gridCol w:w="1248"/>
        <w:gridCol w:w="1248"/>
        <w:gridCol w:w="1326"/>
      </w:tblGrid>
      <w:tr>
        <w:tc>
          <w:tcPr>
            <w:tcW w:type="dxa" w:w="1220"/>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8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0"/>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1"/>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48"/>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48"/>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0"/>
            <w:vAlign w:val="center"/>
          </w:tcPr>
          <w:p>
            <w:pPr>
              <w:spacing w:before="20" w:after="20"/>
            </w:pPr>
            <w:r>
              <w:rPr>
                <w:rFonts w:ascii="游ゴシック" w:hAnsi="游ゴシック" w:eastAsia="游ゴシック"/>
                <w:b w:val="0"/>
                <w:i w:val="0"/>
                <w:sz w:val="17"/>
              </w:rPr>
              <w:t>第1段階</w:t>
            </w:r>
          </w:p>
        </w:tc>
        <w:tc>
          <w:tcPr>
            <w:tcW w:type="dxa" w:w="2188"/>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生活保護受給者、世帯全員が住民税非課税の老齢福祉年金受給者、世帯全員が住民税非課税で本人年金収入等82.65万円以下</w:t>
            </w:r>
          </w:p>
        </w:tc>
        <w:tc>
          <w:tcPr>
            <w:tcW w:type="dxa" w:w="1220"/>
            <w:vAlign w:val="center"/>
          </w:tcPr>
          <w:p>
            <w:pPr>
              <w:spacing w:before="20" w:after="20"/>
            </w:pPr>
            <w:r>
              <w:rPr>
                <w:rFonts w:ascii="游ゴシック" w:hAnsi="游ゴシック" w:eastAsia="游ゴシック"/>
                <w:b w:val="0"/>
                <w:i w:val="0"/>
                <w:sz w:val="17"/>
              </w:rPr>
              <w:t>0.285</w:t>
            </w:r>
          </w:p>
        </w:tc>
        <w:tc>
          <w:tcPr>
            <w:tcW w:type="dxa" w:w="1301"/>
            <w:vAlign w:val="center"/>
          </w:tcPr>
          <w:p>
            <w:pPr>
              <w:spacing w:before="20" w:after="20"/>
            </w:pPr>
            <w:r>
              <w:rPr>
                <w:rFonts w:ascii="游ゴシック" w:hAnsi="游ゴシック" w:eastAsia="游ゴシック"/>
                <w:b w:val="0"/>
                <w:i w:val="0"/>
                <w:sz w:val="17"/>
              </w:rPr>
              <w:t>20,800円</w:t>
            </w:r>
          </w:p>
        </w:tc>
        <w:tc>
          <w:tcPr>
            <w:tcW w:type="dxa" w:w="1248"/>
            <w:vAlign w:val="center"/>
          </w:tcPr>
          <w:p>
            <w:pPr>
              <w:spacing w:before="20" w:after="20"/>
            </w:pPr>
            <w:r>
              <w:rPr>
                <w:rFonts w:ascii="游ゴシック" w:hAnsi="游ゴシック" w:eastAsia="游ゴシック"/>
                <w:b w:val="0"/>
                <w:i w:val="0"/>
                <w:sz w:val="17"/>
              </w:rPr>
              <w:t>525人</w:t>
            </w:r>
          </w:p>
        </w:tc>
        <w:tc>
          <w:tcPr>
            <w:tcW w:type="dxa" w:w="1248"/>
            <w:vAlign w:val="center"/>
          </w:tcPr>
          <w:p>
            <w:pPr>
              <w:spacing w:before="20" w:after="20"/>
            </w:pPr>
            <w:r>
              <w:rPr>
                <w:rFonts w:ascii="游ゴシック" w:hAnsi="游ゴシック" w:eastAsia="游ゴシック"/>
                <w:b w:val="0"/>
                <w:i w:val="0"/>
                <w:sz w:val="17"/>
              </w:rPr>
              <w:t>15.2％</w:t>
            </w:r>
          </w:p>
        </w:tc>
        <w:tc>
          <w:tcPr>
            <w:tcW w:type="dxa" w:w="1326"/>
            <w:vAlign w:val="center"/>
          </w:tcPr>
          <w:p>
            <w:pPr>
              <w:spacing w:before="20" w:after="20"/>
            </w:pPr>
            <w:r>
              <w:rPr>
                <w:rFonts w:ascii="游ゴシック" w:hAnsi="游ゴシック" w:eastAsia="游ゴシック"/>
                <w:b w:val="0"/>
                <w:i w:val="0"/>
                <w:sz w:val="17"/>
              </w:rPr>
              <w:t>22,600円</w:t>
            </w:r>
          </w:p>
        </w:tc>
      </w:tr>
      <w:tr>
        <w:tc>
          <w:tcPr>
            <w:tcW w:type="dxa" w:w="1220"/>
            <w:vAlign w:val="center"/>
          </w:tcPr>
          <w:p>
            <w:pPr>
              <w:spacing w:before="20" w:after="20"/>
            </w:pPr>
            <w:r>
              <w:rPr>
                <w:rFonts w:ascii="游ゴシック" w:hAnsi="游ゴシック" w:eastAsia="游ゴシック"/>
                <w:b w:val="0"/>
                <w:i w:val="0"/>
                <w:sz w:val="17"/>
              </w:rPr>
              <w:t>第2段階</w:t>
            </w:r>
          </w:p>
        </w:tc>
        <w:tc>
          <w:tcPr>
            <w:tcW w:type="dxa" w:w="2188"/>
            <w:vAlign w:val="center"/>
          </w:tcPr>
          <w:p>
            <w:pPr>
              <w:spacing w:before="20" w:after="20"/>
            </w:pPr>
            <w:r>
              <w:rPr>
                <w:rFonts w:ascii="游ゴシック" w:hAnsi="游ゴシック" w:eastAsia="游ゴシック"/>
                <w:b w:val="0"/>
                <w:i w:val="0"/>
                <w:sz w:val="17"/>
              </w:rPr>
              <w:t>世帯全員が住民税非課税で本人年金収入等82.65万円超120万円以下</w:t>
            </w:r>
          </w:p>
        </w:tc>
        <w:tc>
          <w:tcPr>
            <w:tcW w:type="dxa" w:w="1220"/>
            <w:vAlign w:val="center"/>
          </w:tcPr>
          <w:p>
            <w:pPr>
              <w:spacing w:before="20" w:after="20"/>
            </w:pPr>
            <w:r>
              <w:rPr>
                <w:rFonts w:ascii="游ゴシック" w:hAnsi="游ゴシック" w:eastAsia="游ゴシック"/>
                <w:b w:val="0"/>
                <w:i w:val="0"/>
                <w:sz w:val="17"/>
              </w:rPr>
              <w:t>0.485</w:t>
            </w:r>
          </w:p>
        </w:tc>
        <w:tc>
          <w:tcPr>
            <w:tcW w:type="dxa" w:w="1301"/>
            <w:vAlign w:val="center"/>
          </w:tcPr>
          <w:p>
            <w:pPr>
              <w:spacing w:before="20" w:after="20"/>
            </w:pPr>
            <w:r>
              <w:rPr>
                <w:rFonts w:ascii="游ゴシック" w:hAnsi="游ゴシック" w:eastAsia="游ゴシック"/>
                <w:b w:val="0"/>
                <w:i w:val="0"/>
                <w:sz w:val="17"/>
              </w:rPr>
              <w:t>35,300円</w:t>
            </w:r>
          </w:p>
        </w:tc>
        <w:tc>
          <w:tcPr>
            <w:tcW w:type="dxa" w:w="1248"/>
            <w:vAlign w:val="center"/>
          </w:tcPr>
          <w:p>
            <w:pPr>
              <w:spacing w:before="20" w:after="20"/>
            </w:pPr>
            <w:r>
              <w:rPr>
                <w:rFonts w:ascii="游ゴシック" w:hAnsi="游ゴシック" w:eastAsia="游ゴシック"/>
                <w:b w:val="0"/>
                <w:i w:val="0"/>
                <w:sz w:val="17"/>
              </w:rPr>
              <w:t>297人</w:t>
            </w:r>
          </w:p>
        </w:tc>
        <w:tc>
          <w:tcPr>
            <w:tcW w:type="dxa" w:w="1248"/>
            <w:vAlign w:val="center"/>
          </w:tcPr>
          <w:p>
            <w:pPr>
              <w:spacing w:before="20" w:after="20"/>
            </w:pPr>
            <w:r>
              <w:rPr>
                <w:rFonts w:ascii="游ゴシック" w:hAnsi="游ゴシック" w:eastAsia="游ゴシック"/>
                <w:b w:val="0"/>
                <w:i w:val="0"/>
                <w:sz w:val="17"/>
              </w:rPr>
              <w:t>8.6％</w:t>
            </w:r>
          </w:p>
        </w:tc>
        <w:tc>
          <w:tcPr>
            <w:tcW w:type="dxa" w:w="1326"/>
            <w:vAlign w:val="center"/>
          </w:tcPr>
          <w:p>
            <w:pPr>
              <w:spacing w:before="20" w:after="20"/>
            </w:pPr>
            <w:r>
              <w:rPr>
                <w:rFonts w:ascii="游ゴシック" w:hAnsi="游ゴシック" w:eastAsia="游ゴシック"/>
                <w:b w:val="0"/>
                <w:i w:val="0"/>
                <w:sz w:val="17"/>
              </w:rPr>
              <w:t>38,500円</w:t>
            </w:r>
          </w:p>
        </w:tc>
      </w:tr>
      <w:tr>
        <w:tc>
          <w:tcPr>
            <w:tcW w:type="dxa" w:w="1220"/>
            <w:vAlign w:val="center"/>
          </w:tcPr>
          <w:p>
            <w:pPr>
              <w:spacing w:before="20" w:after="20"/>
            </w:pPr>
            <w:r>
              <w:rPr>
                <w:rFonts w:ascii="游ゴシック" w:hAnsi="游ゴシック" w:eastAsia="游ゴシック"/>
                <w:b w:val="0"/>
                <w:i w:val="0"/>
                <w:sz w:val="17"/>
              </w:rPr>
              <w:t>第3段階</w:t>
            </w:r>
          </w:p>
        </w:tc>
        <w:tc>
          <w:tcPr>
            <w:tcW w:type="dxa" w:w="2188"/>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0"/>
            <w:vAlign w:val="center"/>
          </w:tcPr>
          <w:p>
            <w:pPr>
              <w:spacing w:before="20" w:after="20"/>
            </w:pPr>
            <w:r>
              <w:rPr>
                <w:rFonts w:ascii="游ゴシック" w:hAnsi="游ゴシック" w:eastAsia="游ゴシック"/>
                <w:b w:val="0"/>
                <w:i w:val="0"/>
                <w:sz w:val="17"/>
              </w:rPr>
              <w:t>0.685</w:t>
            </w:r>
          </w:p>
        </w:tc>
        <w:tc>
          <w:tcPr>
            <w:tcW w:type="dxa" w:w="1301"/>
            <w:vAlign w:val="center"/>
          </w:tcPr>
          <w:p>
            <w:pPr>
              <w:spacing w:before="20" w:after="20"/>
            </w:pPr>
            <w:r>
              <w:rPr>
                <w:rFonts w:ascii="游ゴシック" w:hAnsi="游ゴシック" w:eastAsia="游ゴシック"/>
                <w:b w:val="0"/>
                <w:i w:val="0"/>
                <w:sz w:val="17"/>
              </w:rPr>
              <w:t>49,800円</w:t>
            </w:r>
          </w:p>
        </w:tc>
        <w:tc>
          <w:tcPr>
            <w:tcW w:type="dxa" w:w="1248"/>
            <w:vAlign w:val="center"/>
          </w:tcPr>
          <w:p>
            <w:pPr>
              <w:spacing w:before="20" w:after="20"/>
            </w:pPr>
            <w:r>
              <w:rPr>
                <w:rFonts w:ascii="游ゴシック" w:hAnsi="游ゴシック" w:eastAsia="游ゴシック"/>
                <w:b w:val="0"/>
                <w:i w:val="0"/>
                <w:sz w:val="17"/>
              </w:rPr>
              <w:t>272人</w:t>
            </w:r>
          </w:p>
        </w:tc>
        <w:tc>
          <w:tcPr>
            <w:tcW w:type="dxa" w:w="1248"/>
            <w:vAlign w:val="center"/>
          </w:tcPr>
          <w:p>
            <w:pPr>
              <w:spacing w:before="20" w:after="20"/>
            </w:pPr>
            <w:r>
              <w:rPr>
                <w:rFonts w:ascii="游ゴシック" w:hAnsi="游ゴシック" w:eastAsia="游ゴシック"/>
                <w:b w:val="0"/>
                <w:i w:val="0"/>
                <w:sz w:val="17"/>
              </w:rPr>
              <w:t>7.9％</w:t>
            </w:r>
          </w:p>
        </w:tc>
        <w:tc>
          <w:tcPr>
            <w:tcW w:type="dxa" w:w="1326"/>
            <w:vAlign w:val="center"/>
          </w:tcPr>
          <w:p>
            <w:pPr>
              <w:spacing w:before="20" w:after="20"/>
            </w:pPr>
            <w:r>
              <w:rPr>
                <w:rFonts w:ascii="游ゴシック" w:hAnsi="游ゴシック" w:eastAsia="游ゴシック"/>
                <w:b w:val="0"/>
                <w:i w:val="0"/>
                <w:sz w:val="17"/>
              </w:rPr>
              <w:t>54,300円</w:t>
            </w:r>
          </w:p>
        </w:tc>
      </w:tr>
      <w:tr>
        <w:tc>
          <w:tcPr>
            <w:tcW w:type="dxa" w:w="1220"/>
            <w:vAlign w:val="center"/>
          </w:tcPr>
          <w:p>
            <w:pPr>
              <w:spacing w:before="20" w:after="20"/>
            </w:pPr>
            <w:r>
              <w:rPr>
                <w:rFonts w:ascii="游ゴシック" w:hAnsi="游ゴシック" w:eastAsia="游ゴシック"/>
                <w:b w:val="0"/>
                <w:i w:val="0"/>
                <w:sz w:val="17"/>
              </w:rPr>
              <w:t>第4段階</w:t>
            </w:r>
          </w:p>
        </w:tc>
        <w:tc>
          <w:tcPr>
            <w:tcW w:type="dxa" w:w="2188"/>
            <w:vAlign w:val="center"/>
          </w:tcPr>
          <w:p>
            <w:pPr>
              <w:spacing w:before="20" w:after="20"/>
            </w:pPr>
            <w:r>
              <w:rPr>
                <w:rFonts w:ascii="游ゴシック" w:hAnsi="游ゴシック" w:eastAsia="游ゴシック"/>
                <w:b w:val="0"/>
                <w:i w:val="0"/>
                <w:sz w:val="17"/>
              </w:rPr>
              <w:t>本人が住民税非課税（世帯に課税者あり）で本人年金収入等82.65万円以下</w:t>
            </w:r>
          </w:p>
        </w:tc>
        <w:tc>
          <w:tcPr>
            <w:tcW w:type="dxa" w:w="1220"/>
            <w:vAlign w:val="center"/>
          </w:tcPr>
          <w:p>
            <w:pPr>
              <w:spacing w:before="20" w:after="20"/>
            </w:pPr>
            <w:r>
              <w:rPr>
                <w:rFonts w:ascii="游ゴシック" w:hAnsi="游ゴシック" w:eastAsia="游ゴシック"/>
                <w:b w:val="0"/>
                <w:i w:val="0"/>
                <w:sz w:val="17"/>
              </w:rPr>
              <w:t>0.900</w:t>
            </w:r>
          </w:p>
        </w:tc>
        <w:tc>
          <w:tcPr>
            <w:tcW w:type="dxa" w:w="1301"/>
            <w:vAlign w:val="center"/>
          </w:tcPr>
          <w:p>
            <w:pPr>
              <w:spacing w:before="20" w:after="20"/>
            </w:pPr>
            <w:r>
              <w:rPr>
                <w:rFonts w:ascii="游ゴシック" w:hAnsi="游ゴシック" w:eastAsia="游ゴシック"/>
                <w:b w:val="0"/>
                <w:i w:val="0"/>
                <w:sz w:val="17"/>
              </w:rPr>
              <w:t>65,400円</w:t>
            </w:r>
          </w:p>
        </w:tc>
        <w:tc>
          <w:tcPr>
            <w:tcW w:type="dxa" w:w="1248"/>
            <w:vAlign w:val="center"/>
          </w:tcPr>
          <w:p>
            <w:pPr>
              <w:spacing w:before="20" w:after="20"/>
            </w:pPr>
            <w:r>
              <w:rPr>
                <w:rFonts w:ascii="游ゴシック" w:hAnsi="游ゴシック" w:eastAsia="游ゴシック"/>
                <w:b w:val="0"/>
                <w:i w:val="0"/>
                <w:sz w:val="17"/>
              </w:rPr>
              <w:t>434人</w:t>
            </w:r>
          </w:p>
        </w:tc>
        <w:tc>
          <w:tcPr>
            <w:tcW w:type="dxa" w:w="1248"/>
            <w:vAlign w:val="center"/>
          </w:tcPr>
          <w:p>
            <w:pPr>
              <w:spacing w:before="20" w:after="20"/>
            </w:pPr>
            <w:r>
              <w:rPr>
                <w:rFonts w:ascii="游ゴシック" w:hAnsi="游ゴシック" w:eastAsia="游ゴシック"/>
                <w:b w:val="0"/>
                <w:i w:val="0"/>
                <w:sz w:val="17"/>
              </w:rPr>
              <w:t>12.6％</w:t>
            </w:r>
          </w:p>
        </w:tc>
        <w:tc>
          <w:tcPr>
            <w:tcW w:type="dxa" w:w="1326"/>
            <w:vAlign w:val="center"/>
          </w:tcPr>
          <w:p>
            <w:pPr>
              <w:spacing w:before="20" w:after="20"/>
            </w:pPr>
            <w:r>
              <w:rPr>
                <w:rFonts w:ascii="游ゴシック" w:hAnsi="游ゴシック" w:eastAsia="游ゴシック"/>
                <w:b w:val="0"/>
                <w:i w:val="0"/>
                <w:sz w:val="17"/>
              </w:rPr>
              <w:t>71,300円</w:t>
            </w:r>
          </w:p>
        </w:tc>
      </w:tr>
      <w:tr>
        <w:tc>
          <w:tcPr>
            <w:tcW w:type="dxa" w:w="1220"/>
            <w:vAlign w:val="center"/>
          </w:tcPr>
          <w:p>
            <w:pPr>
              <w:spacing w:before="20" w:after="20"/>
            </w:pPr>
            <w:r>
              <w:rPr>
                <w:rFonts w:ascii="游ゴシック" w:hAnsi="游ゴシック" w:eastAsia="游ゴシック"/>
                <w:b w:val="0"/>
                <w:i w:val="0"/>
                <w:sz w:val="17"/>
              </w:rPr>
              <w:t>第5段階</w:t>
            </w:r>
          </w:p>
        </w:tc>
        <w:tc>
          <w:tcPr>
            <w:tcW w:type="dxa" w:w="2188"/>
            <w:vAlign w:val="center"/>
          </w:tcPr>
          <w:p>
            <w:pPr>
              <w:spacing w:before="20" w:after="20"/>
            </w:pPr>
            <w:r>
              <w:rPr>
                <w:rFonts w:ascii="游ゴシック" w:hAnsi="游ゴシック" w:eastAsia="游ゴシック"/>
                <w:b w:val="0"/>
                <w:i w:val="0"/>
                <w:sz w:val="17"/>
              </w:rPr>
              <w:t>本人が住民税非課税（世帯に課税者あり）で本人年金収入等82.65万円超</w:t>
            </w:r>
          </w:p>
        </w:tc>
        <w:tc>
          <w:tcPr>
            <w:tcW w:type="dxa" w:w="1220"/>
            <w:vAlign w:val="center"/>
          </w:tcPr>
          <w:p>
            <w:pPr>
              <w:spacing w:before="20" w:after="20"/>
            </w:pPr>
            <w:r>
              <w:rPr>
                <w:rFonts w:ascii="游ゴシック" w:hAnsi="游ゴシック" w:eastAsia="游ゴシック"/>
                <w:b w:val="0"/>
                <w:i w:val="0"/>
                <w:sz w:val="17"/>
              </w:rPr>
              <w:t>1.000</w:t>
            </w:r>
          </w:p>
        </w:tc>
        <w:tc>
          <w:tcPr>
            <w:tcW w:type="dxa" w:w="1301"/>
            <w:vAlign w:val="center"/>
          </w:tcPr>
          <w:p>
            <w:pPr>
              <w:spacing w:before="20" w:after="20"/>
            </w:pPr>
            <w:r>
              <w:rPr>
                <w:rFonts w:ascii="游ゴシック" w:hAnsi="游ゴシック" w:eastAsia="游ゴシック"/>
                <w:b w:val="0"/>
                <w:i w:val="0"/>
                <w:sz w:val="17"/>
              </w:rPr>
              <w:t>72,700円</w:t>
            </w:r>
          </w:p>
        </w:tc>
        <w:tc>
          <w:tcPr>
            <w:tcW w:type="dxa" w:w="1248"/>
            <w:vAlign w:val="center"/>
          </w:tcPr>
          <w:p>
            <w:pPr>
              <w:spacing w:before="20" w:after="20"/>
            </w:pPr>
            <w:r>
              <w:rPr>
                <w:rFonts w:ascii="游ゴシック" w:hAnsi="游ゴシック" w:eastAsia="游ゴシック"/>
                <w:b w:val="0"/>
                <w:i w:val="0"/>
                <w:sz w:val="17"/>
              </w:rPr>
              <w:t>610人</w:t>
            </w:r>
          </w:p>
        </w:tc>
        <w:tc>
          <w:tcPr>
            <w:tcW w:type="dxa" w:w="1248"/>
            <w:vAlign w:val="center"/>
          </w:tcPr>
          <w:p>
            <w:pPr>
              <w:spacing w:before="20" w:after="20"/>
            </w:pPr>
            <w:r>
              <w:rPr>
                <w:rFonts w:ascii="游ゴシック" w:hAnsi="游ゴシック" w:eastAsia="游ゴシック"/>
                <w:b w:val="0"/>
                <w:i w:val="0"/>
                <w:sz w:val="17"/>
              </w:rPr>
              <w:t>17.7％</w:t>
            </w:r>
          </w:p>
        </w:tc>
        <w:tc>
          <w:tcPr>
            <w:tcW w:type="dxa" w:w="1326"/>
            <w:vAlign w:val="center"/>
          </w:tcPr>
          <w:p>
            <w:pPr>
              <w:spacing w:before="20" w:after="20"/>
            </w:pPr>
            <w:r>
              <w:rPr>
                <w:rFonts w:ascii="游ゴシック" w:hAnsi="游ゴシック" w:eastAsia="游ゴシック"/>
                <w:b w:val="0"/>
                <w:i w:val="0"/>
                <w:sz w:val="17"/>
              </w:rPr>
              <w:t>79,200円</w:t>
            </w:r>
          </w:p>
        </w:tc>
      </w:tr>
      <w:tr>
        <w:tc>
          <w:tcPr>
            <w:tcW w:type="dxa" w:w="1220"/>
            <w:vAlign w:val="center"/>
          </w:tcPr>
          <w:p>
            <w:pPr>
              <w:spacing w:before="20" w:after="20"/>
            </w:pPr>
            <w:r>
              <w:rPr>
                <w:rFonts w:ascii="游ゴシック" w:hAnsi="游ゴシック" w:eastAsia="游ゴシック"/>
                <w:b w:val="0"/>
                <w:i w:val="0"/>
                <w:sz w:val="17"/>
              </w:rPr>
              <w:t>第6段階</w:t>
            </w:r>
          </w:p>
        </w:tc>
        <w:tc>
          <w:tcPr>
            <w:tcW w:type="dxa" w:w="2188"/>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0"/>
            <w:vAlign w:val="center"/>
          </w:tcPr>
          <w:p>
            <w:pPr>
              <w:spacing w:before="20" w:after="20"/>
            </w:pPr>
            <w:r>
              <w:rPr>
                <w:rFonts w:ascii="游ゴシック" w:hAnsi="游ゴシック" w:eastAsia="游ゴシック"/>
                <w:b w:val="0"/>
                <w:i w:val="0"/>
                <w:sz w:val="17"/>
              </w:rPr>
              <w:t>1.200</w:t>
            </w:r>
          </w:p>
        </w:tc>
        <w:tc>
          <w:tcPr>
            <w:tcW w:type="dxa" w:w="1301"/>
            <w:vAlign w:val="center"/>
          </w:tcPr>
          <w:p>
            <w:pPr>
              <w:spacing w:before="20" w:after="20"/>
            </w:pPr>
            <w:r>
              <w:rPr>
                <w:rFonts w:ascii="游ゴシック" w:hAnsi="游ゴシック" w:eastAsia="游ゴシック"/>
                <w:b w:val="0"/>
                <w:i w:val="0"/>
                <w:sz w:val="17"/>
              </w:rPr>
              <w:t>87,200円</w:t>
            </w:r>
          </w:p>
        </w:tc>
        <w:tc>
          <w:tcPr>
            <w:tcW w:type="dxa" w:w="1248"/>
            <w:vAlign w:val="center"/>
          </w:tcPr>
          <w:p>
            <w:pPr>
              <w:spacing w:before="20" w:after="20"/>
            </w:pPr>
            <w:r>
              <w:rPr>
                <w:rFonts w:ascii="游ゴシック" w:hAnsi="游ゴシック" w:eastAsia="游ゴシック"/>
                <w:b w:val="0"/>
                <w:i w:val="0"/>
                <w:sz w:val="17"/>
              </w:rPr>
              <w:t>491人</w:t>
            </w:r>
          </w:p>
        </w:tc>
        <w:tc>
          <w:tcPr>
            <w:tcW w:type="dxa" w:w="1248"/>
            <w:vAlign w:val="center"/>
          </w:tcPr>
          <w:p>
            <w:pPr>
              <w:spacing w:before="20" w:after="20"/>
            </w:pPr>
            <w:r>
              <w:rPr>
                <w:rFonts w:ascii="游ゴシック" w:hAnsi="游ゴシック" w:eastAsia="游ゴシック"/>
                <w:b w:val="0"/>
                <w:i w:val="0"/>
                <w:sz w:val="17"/>
              </w:rPr>
              <w:t>14.3％</w:t>
            </w:r>
          </w:p>
        </w:tc>
        <w:tc>
          <w:tcPr>
            <w:tcW w:type="dxa" w:w="1326"/>
            <w:vAlign w:val="center"/>
          </w:tcPr>
          <w:p>
            <w:pPr>
              <w:spacing w:before="20" w:after="20"/>
            </w:pPr>
            <w:r>
              <w:rPr>
                <w:rFonts w:ascii="游ゴシック" w:hAnsi="游ゴシック" w:eastAsia="游ゴシック"/>
                <w:b w:val="0"/>
                <w:i w:val="0"/>
                <w:sz w:val="17"/>
              </w:rPr>
              <w:t>95,100円</w:t>
            </w:r>
          </w:p>
        </w:tc>
      </w:tr>
      <w:tr>
        <w:tc>
          <w:tcPr>
            <w:tcW w:type="dxa" w:w="1220"/>
            <w:vAlign w:val="center"/>
          </w:tcPr>
          <w:p>
            <w:pPr>
              <w:spacing w:before="20" w:after="20"/>
            </w:pPr>
            <w:r>
              <w:rPr>
                <w:rFonts w:ascii="游ゴシック" w:hAnsi="游ゴシック" w:eastAsia="游ゴシック"/>
                <w:b w:val="0"/>
                <w:i w:val="0"/>
                <w:sz w:val="17"/>
              </w:rPr>
              <w:t>第7段階</w:t>
            </w:r>
          </w:p>
        </w:tc>
        <w:tc>
          <w:tcPr>
            <w:tcW w:type="dxa" w:w="2188"/>
            <w:vAlign w:val="center"/>
          </w:tcPr>
          <w:p>
            <w:pPr>
              <w:spacing w:before="20" w:after="20"/>
            </w:pPr>
            <w:r>
              <w:rPr>
                <w:rFonts w:ascii="游ゴシック" w:hAnsi="游ゴシック" w:eastAsia="游ゴシック"/>
                <w:b w:val="0"/>
                <w:i w:val="0"/>
                <w:sz w:val="17"/>
              </w:rPr>
              <w:t>同　120万円以上210万円未満</w:t>
            </w:r>
          </w:p>
        </w:tc>
        <w:tc>
          <w:tcPr>
            <w:tcW w:type="dxa" w:w="1220"/>
            <w:vAlign w:val="center"/>
          </w:tcPr>
          <w:p>
            <w:pPr>
              <w:spacing w:before="20" w:after="20"/>
            </w:pPr>
            <w:r>
              <w:rPr>
                <w:rFonts w:ascii="游ゴシック" w:hAnsi="游ゴシック" w:eastAsia="游ゴシック"/>
                <w:b w:val="0"/>
                <w:i w:val="0"/>
                <w:sz w:val="17"/>
              </w:rPr>
              <w:t>1.300</w:t>
            </w:r>
          </w:p>
        </w:tc>
        <w:tc>
          <w:tcPr>
            <w:tcW w:type="dxa" w:w="1301"/>
            <w:vAlign w:val="center"/>
          </w:tcPr>
          <w:p>
            <w:pPr>
              <w:spacing w:before="20" w:after="20"/>
            </w:pPr>
            <w:r>
              <w:rPr>
                <w:rFonts w:ascii="游ゴシック" w:hAnsi="游ゴシック" w:eastAsia="游ゴシック"/>
                <w:b w:val="0"/>
                <w:i w:val="0"/>
                <w:sz w:val="17"/>
              </w:rPr>
              <w:t>94,500円</w:t>
            </w:r>
          </w:p>
        </w:tc>
        <w:tc>
          <w:tcPr>
            <w:tcW w:type="dxa" w:w="1248"/>
            <w:vAlign w:val="center"/>
          </w:tcPr>
          <w:p>
            <w:pPr>
              <w:spacing w:before="20" w:after="20"/>
            </w:pPr>
            <w:r>
              <w:rPr>
                <w:rFonts w:ascii="游ゴシック" w:hAnsi="游ゴシック" w:eastAsia="游ゴシック"/>
                <w:b w:val="0"/>
                <w:i w:val="0"/>
                <w:sz w:val="17"/>
              </w:rPr>
              <w:t>418人</w:t>
            </w:r>
          </w:p>
        </w:tc>
        <w:tc>
          <w:tcPr>
            <w:tcW w:type="dxa" w:w="1248"/>
            <w:vAlign w:val="center"/>
          </w:tcPr>
          <w:p>
            <w:pPr>
              <w:spacing w:before="20" w:after="20"/>
            </w:pPr>
            <w:r>
              <w:rPr>
                <w:rFonts w:ascii="游ゴシック" w:hAnsi="游ゴシック" w:eastAsia="游ゴシック"/>
                <w:b w:val="0"/>
                <w:i w:val="0"/>
                <w:sz w:val="17"/>
              </w:rPr>
              <w:t>12.1％</w:t>
            </w:r>
          </w:p>
        </w:tc>
        <w:tc>
          <w:tcPr>
            <w:tcW w:type="dxa" w:w="1326"/>
            <w:vAlign w:val="center"/>
          </w:tcPr>
          <w:p>
            <w:pPr>
              <w:spacing w:before="20" w:after="20"/>
            </w:pPr>
            <w:r>
              <w:rPr>
                <w:rFonts w:ascii="游ゴシック" w:hAnsi="游ゴシック" w:eastAsia="游ゴシック"/>
                <w:b w:val="0"/>
                <w:i w:val="0"/>
                <w:sz w:val="17"/>
              </w:rPr>
              <w:t>103,000円</w:t>
            </w:r>
          </w:p>
        </w:tc>
      </w:tr>
      <w:tr>
        <w:tc>
          <w:tcPr>
            <w:tcW w:type="dxa" w:w="1220"/>
            <w:vAlign w:val="center"/>
          </w:tcPr>
          <w:p>
            <w:pPr>
              <w:spacing w:before="20" w:after="20"/>
            </w:pPr>
            <w:r>
              <w:rPr>
                <w:rFonts w:ascii="游ゴシック" w:hAnsi="游ゴシック" w:eastAsia="游ゴシック"/>
                <w:b w:val="0"/>
                <w:i w:val="0"/>
                <w:sz w:val="17"/>
              </w:rPr>
              <w:t>第8段階</w:t>
            </w:r>
          </w:p>
        </w:tc>
        <w:tc>
          <w:tcPr>
            <w:tcW w:type="dxa" w:w="2188"/>
            <w:vAlign w:val="center"/>
          </w:tcPr>
          <w:p>
            <w:pPr>
              <w:spacing w:before="20" w:after="20"/>
            </w:pPr>
            <w:r>
              <w:rPr>
                <w:rFonts w:ascii="游ゴシック" w:hAnsi="游ゴシック" w:eastAsia="游ゴシック"/>
                <w:b w:val="0"/>
                <w:i w:val="0"/>
                <w:sz w:val="17"/>
              </w:rPr>
              <w:t>同　210万円以上320万円未満</w:t>
            </w:r>
          </w:p>
        </w:tc>
        <w:tc>
          <w:tcPr>
            <w:tcW w:type="dxa" w:w="1220"/>
            <w:vAlign w:val="center"/>
          </w:tcPr>
          <w:p>
            <w:pPr>
              <w:spacing w:before="20" w:after="20"/>
            </w:pPr>
            <w:r>
              <w:rPr>
                <w:rFonts w:ascii="游ゴシック" w:hAnsi="游ゴシック" w:eastAsia="游ゴシック"/>
                <w:b w:val="0"/>
                <w:i w:val="0"/>
                <w:sz w:val="17"/>
              </w:rPr>
              <w:t>1.500</w:t>
            </w:r>
          </w:p>
        </w:tc>
        <w:tc>
          <w:tcPr>
            <w:tcW w:type="dxa" w:w="1301"/>
            <w:vAlign w:val="center"/>
          </w:tcPr>
          <w:p>
            <w:pPr>
              <w:spacing w:before="20" w:after="20"/>
            </w:pPr>
            <w:r>
              <w:rPr>
                <w:rFonts w:ascii="游ゴシック" w:hAnsi="游ゴシック" w:eastAsia="游ゴシック"/>
                <w:b w:val="0"/>
                <w:i w:val="0"/>
                <w:sz w:val="17"/>
              </w:rPr>
              <w:t>109,000円</w:t>
            </w:r>
          </w:p>
        </w:tc>
        <w:tc>
          <w:tcPr>
            <w:tcW w:type="dxa" w:w="1248"/>
            <w:vAlign w:val="center"/>
          </w:tcPr>
          <w:p>
            <w:pPr>
              <w:spacing w:before="20" w:after="20"/>
            </w:pPr>
            <w:r>
              <w:rPr>
                <w:rFonts w:ascii="游ゴシック" w:hAnsi="游ゴシック" w:eastAsia="游ゴシック"/>
                <w:b w:val="0"/>
                <w:i w:val="0"/>
                <w:sz w:val="17"/>
              </w:rPr>
              <w:t>231人</w:t>
            </w:r>
          </w:p>
        </w:tc>
        <w:tc>
          <w:tcPr>
            <w:tcW w:type="dxa" w:w="1248"/>
            <w:vAlign w:val="center"/>
          </w:tcPr>
          <w:p>
            <w:pPr>
              <w:spacing w:before="20" w:after="20"/>
            </w:pPr>
            <w:r>
              <w:rPr>
                <w:rFonts w:ascii="游ゴシック" w:hAnsi="游ゴシック" w:eastAsia="游ゴシック"/>
                <w:b w:val="0"/>
                <w:i w:val="0"/>
                <w:sz w:val="17"/>
              </w:rPr>
              <w:t>6.7％</w:t>
            </w:r>
          </w:p>
        </w:tc>
        <w:tc>
          <w:tcPr>
            <w:tcW w:type="dxa" w:w="1326"/>
            <w:vAlign w:val="center"/>
          </w:tcPr>
          <w:p>
            <w:pPr>
              <w:spacing w:before="20" w:after="20"/>
            </w:pPr>
            <w:r>
              <w:rPr>
                <w:rFonts w:ascii="游ゴシック" w:hAnsi="游ゴシック" w:eastAsia="游ゴシック"/>
                <w:b w:val="0"/>
                <w:i w:val="0"/>
                <w:sz w:val="17"/>
              </w:rPr>
              <w:t>118,800円</w:t>
            </w:r>
          </w:p>
        </w:tc>
      </w:tr>
      <w:tr>
        <w:tc>
          <w:tcPr>
            <w:tcW w:type="dxa" w:w="1220"/>
            <w:vAlign w:val="center"/>
          </w:tcPr>
          <w:p>
            <w:pPr>
              <w:spacing w:before="20" w:after="20"/>
            </w:pPr>
            <w:r>
              <w:rPr>
                <w:rFonts w:ascii="游ゴシック" w:hAnsi="游ゴシック" w:eastAsia="游ゴシック"/>
                <w:b w:val="0"/>
                <w:i w:val="0"/>
                <w:sz w:val="17"/>
              </w:rPr>
              <w:t>第9段階</w:t>
            </w:r>
          </w:p>
        </w:tc>
        <w:tc>
          <w:tcPr>
            <w:tcW w:type="dxa" w:w="2188"/>
            <w:vAlign w:val="center"/>
          </w:tcPr>
          <w:p>
            <w:pPr>
              <w:spacing w:before="20" w:after="20"/>
            </w:pPr>
            <w:r>
              <w:rPr>
                <w:rFonts w:ascii="游ゴシック" w:hAnsi="游ゴシック" w:eastAsia="游ゴシック"/>
                <w:b w:val="0"/>
                <w:i w:val="0"/>
                <w:sz w:val="17"/>
              </w:rPr>
              <w:t>同　320万円以上420万円未満</w:t>
            </w:r>
          </w:p>
        </w:tc>
        <w:tc>
          <w:tcPr>
            <w:tcW w:type="dxa" w:w="1220"/>
            <w:vAlign w:val="center"/>
          </w:tcPr>
          <w:p>
            <w:pPr>
              <w:spacing w:before="20" w:after="20"/>
            </w:pPr>
            <w:r>
              <w:rPr>
                <w:rFonts w:ascii="游ゴシック" w:hAnsi="游ゴシック" w:eastAsia="游ゴシック"/>
                <w:b w:val="0"/>
                <w:i w:val="0"/>
                <w:sz w:val="17"/>
              </w:rPr>
              <w:t>1.700</w:t>
            </w:r>
          </w:p>
        </w:tc>
        <w:tc>
          <w:tcPr>
            <w:tcW w:type="dxa" w:w="1301"/>
            <w:vAlign w:val="center"/>
          </w:tcPr>
          <w:p>
            <w:pPr>
              <w:spacing w:before="20" w:after="20"/>
            </w:pPr>
            <w:r>
              <w:rPr>
                <w:rFonts w:ascii="游ゴシック" w:hAnsi="游ゴシック" w:eastAsia="游ゴシック"/>
                <w:b w:val="0"/>
                <w:i w:val="0"/>
                <w:sz w:val="17"/>
              </w:rPr>
              <w:t>123,500円</w:t>
            </w:r>
          </w:p>
        </w:tc>
        <w:tc>
          <w:tcPr>
            <w:tcW w:type="dxa" w:w="1248"/>
            <w:vAlign w:val="center"/>
          </w:tcPr>
          <w:p>
            <w:pPr>
              <w:spacing w:before="20" w:after="20"/>
            </w:pPr>
            <w:r>
              <w:rPr>
                <w:rFonts w:ascii="游ゴシック" w:hAnsi="游ゴシック" w:eastAsia="游ゴシック"/>
                <w:b w:val="0"/>
                <w:i w:val="0"/>
                <w:sz w:val="17"/>
              </w:rPr>
              <w:t>77人</w:t>
            </w:r>
          </w:p>
        </w:tc>
        <w:tc>
          <w:tcPr>
            <w:tcW w:type="dxa" w:w="1248"/>
            <w:vAlign w:val="center"/>
          </w:tcPr>
          <w:p>
            <w:pPr>
              <w:spacing w:before="20" w:after="20"/>
            </w:pPr>
            <w:r>
              <w:rPr>
                <w:rFonts w:ascii="游ゴシック" w:hAnsi="游ゴシック" w:eastAsia="游ゴシック"/>
                <w:b w:val="0"/>
                <w:i w:val="0"/>
                <w:sz w:val="17"/>
              </w:rPr>
              <w:t>2.2％</w:t>
            </w:r>
          </w:p>
        </w:tc>
        <w:tc>
          <w:tcPr>
            <w:tcW w:type="dxa" w:w="1326"/>
            <w:vAlign w:val="center"/>
          </w:tcPr>
          <w:p>
            <w:pPr>
              <w:spacing w:before="20" w:after="20"/>
            </w:pPr>
            <w:r>
              <w:rPr>
                <w:rFonts w:ascii="游ゴシック" w:hAnsi="游ゴシック" w:eastAsia="游ゴシック"/>
                <w:b w:val="0"/>
                <w:i w:val="0"/>
                <w:sz w:val="17"/>
              </w:rPr>
              <w:t>134,700円</w:t>
            </w:r>
          </w:p>
        </w:tc>
      </w:tr>
      <w:tr>
        <w:tc>
          <w:tcPr>
            <w:tcW w:type="dxa" w:w="1220"/>
            <w:vAlign w:val="center"/>
          </w:tcPr>
          <w:p>
            <w:pPr>
              <w:spacing w:before="20" w:after="20"/>
            </w:pPr>
            <w:r>
              <w:rPr>
                <w:rFonts w:ascii="游ゴシック" w:hAnsi="游ゴシック" w:eastAsia="游ゴシック"/>
                <w:b w:val="0"/>
                <w:i w:val="0"/>
                <w:sz w:val="17"/>
              </w:rPr>
              <w:t>第10段階</w:t>
            </w:r>
          </w:p>
        </w:tc>
        <w:tc>
          <w:tcPr>
            <w:tcW w:type="dxa" w:w="2188"/>
            <w:vAlign w:val="center"/>
          </w:tcPr>
          <w:p>
            <w:pPr>
              <w:spacing w:before="20" w:after="20"/>
            </w:pPr>
            <w:r>
              <w:rPr>
                <w:rFonts w:ascii="游ゴシック" w:hAnsi="游ゴシック" w:eastAsia="游ゴシック"/>
                <w:b w:val="0"/>
                <w:i w:val="0"/>
                <w:sz w:val="17"/>
              </w:rPr>
              <w:t>同　420万円以上520万円未満</w:t>
            </w:r>
          </w:p>
        </w:tc>
        <w:tc>
          <w:tcPr>
            <w:tcW w:type="dxa" w:w="1220"/>
            <w:vAlign w:val="center"/>
          </w:tcPr>
          <w:p>
            <w:pPr>
              <w:spacing w:before="20" w:after="20"/>
            </w:pPr>
            <w:r>
              <w:rPr>
                <w:rFonts w:ascii="游ゴシック" w:hAnsi="游ゴシック" w:eastAsia="游ゴシック"/>
                <w:b w:val="0"/>
                <w:i w:val="0"/>
                <w:sz w:val="17"/>
              </w:rPr>
              <w:t>1.900</w:t>
            </w:r>
          </w:p>
        </w:tc>
        <w:tc>
          <w:tcPr>
            <w:tcW w:type="dxa" w:w="1301"/>
            <w:vAlign w:val="center"/>
          </w:tcPr>
          <w:p>
            <w:pPr>
              <w:spacing w:before="20" w:after="20"/>
            </w:pPr>
            <w:r>
              <w:rPr>
                <w:rFonts w:ascii="游ゴシック" w:hAnsi="游ゴシック" w:eastAsia="游ゴシック"/>
                <w:b w:val="0"/>
                <w:i w:val="0"/>
                <w:sz w:val="17"/>
              </w:rPr>
              <w:t>138,100円</w:t>
            </w:r>
          </w:p>
        </w:tc>
        <w:tc>
          <w:tcPr>
            <w:tcW w:type="dxa" w:w="1248"/>
            <w:vAlign w:val="center"/>
          </w:tcPr>
          <w:p>
            <w:pPr>
              <w:spacing w:before="20" w:after="20"/>
            </w:pPr>
            <w:r>
              <w:rPr>
                <w:rFonts w:ascii="游ゴシック" w:hAnsi="游ゴシック" w:eastAsia="游ゴシック"/>
                <w:b w:val="0"/>
                <w:i w:val="0"/>
                <w:sz w:val="17"/>
              </w:rPr>
              <w:t>36人</w:t>
            </w:r>
          </w:p>
        </w:tc>
        <w:tc>
          <w:tcPr>
            <w:tcW w:type="dxa" w:w="1248"/>
            <w:vAlign w:val="center"/>
          </w:tcPr>
          <w:p>
            <w:pPr>
              <w:spacing w:before="20" w:after="20"/>
            </w:pPr>
            <w:r>
              <w:rPr>
                <w:rFonts w:ascii="游ゴシック" w:hAnsi="游ゴシック" w:eastAsia="游ゴシック"/>
                <w:b w:val="0"/>
                <w:i w:val="0"/>
                <w:sz w:val="17"/>
              </w:rPr>
              <w:t>1.0％</w:t>
            </w:r>
          </w:p>
        </w:tc>
        <w:tc>
          <w:tcPr>
            <w:tcW w:type="dxa" w:w="1326"/>
            <w:vAlign w:val="center"/>
          </w:tcPr>
          <w:p>
            <w:pPr>
              <w:spacing w:before="20" w:after="20"/>
            </w:pPr>
            <w:r>
              <w:rPr>
                <w:rFonts w:ascii="游ゴシック" w:hAnsi="游ゴシック" w:eastAsia="游ゴシック"/>
                <w:b w:val="0"/>
                <w:i w:val="0"/>
                <w:sz w:val="17"/>
              </w:rPr>
              <w:t>150,500円</w:t>
            </w:r>
          </w:p>
        </w:tc>
      </w:tr>
      <w:tr>
        <w:tc>
          <w:tcPr>
            <w:tcW w:type="dxa" w:w="1220"/>
            <w:vAlign w:val="center"/>
          </w:tcPr>
          <w:p>
            <w:pPr>
              <w:spacing w:before="20" w:after="20"/>
            </w:pPr>
            <w:r>
              <w:rPr>
                <w:rFonts w:ascii="游ゴシック" w:hAnsi="游ゴシック" w:eastAsia="游ゴシック"/>
                <w:b w:val="0"/>
                <w:i w:val="0"/>
                <w:sz w:val="17"/>
              </w:rPr>
              <w:t>第11段階</w:t>
            </w:r>
          </w:p>
        </w:tc>
        <w:tc>
          <w:tcPr>
            <w:tcW w:type="dxa" w:w="2188"/>
            <w:vAlign w:val="center"/>
          </w:tcPr>
          <w:p>
            <w:pPr>
              <w:spacing w:before="20" w:after="20"/>
            </w:pPr>
            <w:r>
              <w:rPr>
                <w:rFonts w:ascii="游ゴシック" w:hAnsi="游ゴシック" w:eastAsia="游ゴシック"/>
                <w:b w:val="0"/>
                <w:i w:val="0"/>
                <w:sz w:val="17"/>
              </w:rPr>
              <w:t>同　520万円以上620万円未満</w:t>
            </w:r>
          </w:p>
        </w:tc>
        <w:tc>
          <w:tcPr>
            <w:tcW w:type="dxa" w:w="1220"/>
            <w:vAlign w:val="center"/>
          </w:tcPr>
          <w:p>
            <w:pPr>
              <w:spacing w:before="20" w:after="20"/>
            </w:pPr>
            <w:r>
              <w:rPr>
                <w:rFonts w:ascii="游ゴシック" w:hAnsi="游ゴシック" w:eastAsia="游ゴシック"/>
                <w:b w:val="0"/>
                <w:i w:val="0"/>
                <w:sz w:val="17"/>
              </w:rPr>
              <w:t>2.100</w:t>
            </w:r>
          </w:p>
        </w:tc>
        <w:tc>
          <w:tcPr>
            <w:tcW w:type="dxa" w:w="1301"/>
            <w:vAlign w:val="center"/>
          </w:tcPr>
          <w:p>
            <w:pPr>
              <w:spacing w:before="20" w:after="20"/>
            </w:pPr>
            <w:r>
              <w:rPr>
                <w:rFonts w:ascii="游ゴシック" w:hAnsi="游ゴシック" w:eastAsia="游ゴシック"/>
                <w:b w:val="0"/>
                <w:i w:val="0"/>
                <w:sz w:val="17"/>
              </w:rPr>
              <w:t>152,600円</w:t>
            </w:r>
          </w:p>
        </w:tc>
        <w:tc>
          <w:tcPr>
            <w:tcW w:type="dxa" w:w="1248"/>
            <w:vAlign w:val="center"/>
          </w:tcPr>
          <w:p>
            <w:pPr>
              <w:spacing w:before="20" w:after="20"/>
            </w:pPr>
            <w:r>
              <w:rPr>
                <w:rFonts w:ascii="游ゴシック" w:hAnsi="游ゴシック" w:eastAsia="游ゴシック"/>
                <w:b w:val="0"/>
                <w:i w:val="0"/>
                <w:sz w:val="17"/>
              </w:rPr>
              <w:t>14人</w:t>
            </w:r>
          </w:p>
        </w:tc>
        <w:tc>
          <w:tcPr>
            <w:tcW w:type="dxa" w:w="1248"/>
            <w:vAlign w:val="center"/>
          </w:tcPr>
          <w:p>
            <w:pPr>
              <w:spacing w:before="20" w:after="20"/>
            </w:pPr>
            <w:r>
              <w:rPr>
                <w:rFonts w:ascii="游ゴシック" w:hAnsi="游ゴシック" w:eastAsia="游ゴシック"/>
                <w:b w:val="0"/>
                <w:i w:val="0"/>
                <w:sz w:val="17"/>
              </w:rPr>
              <w:t>0.4％</w:t>
            </w:r>
          </w:p>
        </w:tc>
        <w:tc>
          <w:tcPr>
            <w:tcW w:type="dxa" w:w="1326"/>
            <w:vAlign w:val="center"/>
          </w:tcPr>
          <w:p>
            <w:pPr>
              <w:spacing w:before="20" w:after="20"/>
            </w:pPr>
            <w:r>
              <w:rPr>
                <w:rFonts w:ascii="游ゴシック" w:hAnsi="游ゴシック" w:eastAsia="游ゴシック"/>
                <w:b w:val="0"/>
                <w:i w:val="0"/>
                <w:sz w:val="17"/>
              </w:rPr>
              <w:t>166,400円</w:t>
            </w:r>
          </w:p>
        </w:tc>
      </w:tr>
      <w:tr>
        <w:tc>
          <w:tcPr>
            <w:tcW w:type="dxa" w:w="1220"/>
            <w:vAlign w:val="center"/>
          </w:tcPr>
          <w:p>
            <w:pPr>
              <w:spacing w:before="20" w:after="20"/>
            </w:pPr>
            <w:r>
              <w:rPr>
                <w:rFonts w:ascii="游ゴシック" w:hAnsi="游ゴシック" w:eastAsia="游ゴシック"/>
                <w:b w:val="0"/>
                <w:i w:val="0"/>
                <w:sz w:val="17"/>
              </w:rPr>
              <w:t>第12段階</w:t>
            </w:r>
          </w:p>
        </w:tc>
        <w:tc>
          <w:tcPr>
            <w:tcW w:type="dxa" w:w="2188"/>
            <w:vAlign w:val="center"/>
          </w:tcPr>
          <w:p>
            <w:pPr>
              <w:spacing w:before="20" w:after="20"/>
            </w:pPr>
            <w:r>
              <w:rPr>
                <w:rFonts w:ascii="游ゴシック" w:hAnsi="游ゴシック" w:eastAsia="游ゴシック"/>
                <w:b w:val="0"/>
                <w:i w:val="0"/>
                <w:sz w:val="17"/>
              </w:rPr>
              <w:t>同　620万円以上720万円未満</w:t>
            </w:r>
          </w:p>
        </w:tc>
        <w:tc>
          <w:tcPr>
            <w:tcW w:type="dxa" w:w="1220"/>
            <w:vAlign w:val="center"/>
          </w:tcPr>
          <w:p>
            <w:pPr>
              <w:spacing w:before="20" w:after="20"/>
            </w:pPr>
            <w:r>
              <w:rPr>
                <w:rFonts w:ascii="游ゴシック" w:hAnsi="游ゴシック" w:eastAsia="游ゴシック"/>
                <w:b w:val="0"/>
                <w:i w:val="0"/>
                <w:sz w:val="17"/>
              </w:rPr>
              <w:t>2.300</w:t>
            </w:r>
          </w:p>
        </w:tc>
        <w:tc>
          <w:tcPr>
            <w:tcW w:type="dxa" w:w="1301"/>
            <w:vAlign w:val="center"/>
          </w:tcPr>
          <w:p>
            <w:pPr>
              <w:spacing w:before="20" w:after="20"/>
            </w:pPr>
            <w:r>
              <w:rPr>
                <w:rFonts w:ascii="游ゴシック" w:hAnsi="游ゴシック" w:eastAsia="游ゴシック"/>
                <w:b w:val="0"/>
                <w:i w:val="0"/>
                <w:sz w:val="17"/>
              </w:rPr>
              <w:t>167,100円</w:t>
            </w:r>
          </w:p>
        </w:tc>
        <w:tc>
          <w:tcPr>
            <w:tcW w:type="dxa" w:w="1248"/>
            <w:vAlign w:val="center"/>
          </w:tcPr>
          <w:p>
            <w:pPr>
              <w:spacing w:before="20" w:after="20"/>
            </w:pPr>
            <w:r>
              <w:rPr>
                <w:rFonts w:ascii="游ゴシック" w:hAnsi="游ゴシック" w:eastAsia="游ゴシック"/>
                <w:b w:val="0"/>
                <w:i w:val="0"/>
                <w:sz w:val="17"/>
              </w:rPr>
              <w:t>7人</w:t>
            </w:r>
          </w:p>
        </w:tc>
        <w:tc>
          <w:tcPr>
            <w:tcW w:type="dxa" w:w="1248"/>
            <w:vAlign w:val="center"/>
          </w:tcPr>
          <w:p>
            <w:pPr>
              <w:spacing w:before="20" w:after="20"/>
            </w:pPr>
            <w:r>
              <w:rPr>
                <w:rFonts w:ascii="游ゴシック" w:hAnsi="游ゴシック" w:eastAsia="游ゴシック"/>
                <w:b w:val="0"/>
                <w:i w:val="0"/>
                <w:sz w:val="17"/>
              </w:rPr>
              <w:t>0.2％</w:t>
            </w:r>
          </w:p>
        </w:tc>
        <w:tc>
          <w:tcPr>
            <w:tcW w:type="dxa" w:w="1326"/>
            <w:vAlign w:val="center"/>
          </w:tcPr>
          <w:p>
            <w:pPr>
              <w:spacing w:before="20" w:after="20"/>
            </w:pPr>
            <w:r>
              <w:rPr>
                <w:rFonts w:ascii="游ゴシック" w:hAnsi="游ゴシック" w:eastAsia="游ゴシック"/>
                <w:b w:val="0"/>
                <w:i w:val="0"/>
                <w:sz w:val="17"/>
              </w:rPr>
              <w:t>182,200円</w:t>
            </w:r>
          </w:p>
        </w:tc>
      </w:tr>
      <w:tr>
        <w:tc>
          <w:tcPr>
            <w:tcW w:type="dxa" w:w="1220"/>
            <w:vAlign w:val="center"/>
          </w:tcPr>
          <w:p>
            <w:pPr>
              <w:spacing w:before="20" w:after="20"/>
            </w:pPr>
            <w:r>
              <w:rPr>
                <w:rFonts w:ascii="游ゴシック" w:hAnsi="游ゴシック" w:eastAsia="游ゴシック"/>
                <w:b w:val="0"/>
                <w:i w:val="0"/>
                <w:sz w:val="17"/>
              </w:rPr>
              <w:t>第13段階</w:t>
            </w:r>
          </w:p>
        </w:tc>
        <w:tc>
          <w:tcPr>
            <w:tcW w:type="dxa" w:w="2188"/>
            <w:vAlign w:val="center"/>
          </w:tcPr>
          <w:p>
            <w:pPr>
              <w:spacing w:before="20" w:after="20"/>
            </w:pPr>
            <w:r>
              <w:rPr>
                <w:rFonts w:ascii="游ゴシック" w:hAnsi="游ゴシック" w:eastAsia="游ゴシック"/>
                <w:b w:val="0"/>
                <w:i w:val="0"/>
                <w:sz w:val="17"/>
              </w:rPr>
              <w:t>同　720万円以上</w:t>
            </w:r>
          </w:p>
        </w:tc>
        <w:tc>
          <w:tcPr>
            <w:tcW w:type="dxa" w:w="1220"/>
            <w:vAlign w:val="center"/>
          </w:tcPr>
          <w:p>
            <w:pPr>
              <w:spacing w:before="20" w:after="20"/>
            </w:pPr>
            <w:r>
              <w:rPr>
                <w:rFonts w:ascii="游ゴシック" w:hAnsi="游ゴシック" w:eastAsia="游ゴシック"/>
                <w:b w:val="0"/>
                <w:i w:val="0"/>
                <w:sz w:val="17"/>
              </w:rPr>
              <w:t>2.400</w:t>
            </w:r>
          </w:p>
        </w:tc>
        <w:tc>
          <w:tcPr>
            <w:tcW w:type="dxa" w:w="1301"/>
            <w:vAlign w:val="center"/>
          </w:tcPr>
          <w:p>
            <w:pPr>
              <w:spacing w:before="20" w:after="20"/>
            </w:pPr>
            <w:r>
              <w:rPr>
                <w:rFonts w:ascii="游ゴシック" w:hAnsi="游ゴシック" w:eastAsia="游ゴシック"/>
                <w:b w:val="0"/>
                <w:i w:val="0"/>
                <w:sz w:val="17"/>
              </w:rPr>
              <w:t>174,400円</w:t>
            </w:r>
          </w:p>
        </w:tc>
        <w:tc>
          <w:tcPr>
            <w:tcW w:type="dxa" w:w="1248"/>
            <w:vAlign w:val="center"/>
          </w:tcPr>
          <w:p>
            <w:pPr>
              <w:spacing w:before="20" w:after="20"/>
            </w:pPr>
            <w:r>
              <w:rPr>
                <w:rFonts w:ascii="游ゴシック" w:hAnsi="游ゴシック" w:eastAsia="游ゴシック"/>
                <w:b w:val="0"/>
                <w:i w:val="0"/>
                <w:sz w:val="17"/>
              </w:rPr>
              <w:t>31人</w:t>
            </w:r>
          </w:p>
        </w:tc>
        <w:tc>
          <w:tcPr>
            <w:tcW w:type="dxa" w:w="1248"/>
            <w:vAlign w:val="center"/>
          </w:tcPr>
          <w:p>
            <w:pPr>
              <w:spacing w:before="20" w:after="20"/>
            </w:pPr>
            <w:r>
              <w:rPr>
                <w:rFonts w:ascii="游ゴシック" w:hAnsi="游ゴシック" w:eastAsia="游ゴシック"/>
                <w:b w:val="0"/>
                <w:i w:val="0"/>
                <w:sz w:val="17"/>
              </w:rPr>
              <w:t>0.9％</w:t>
            </w:r>
          </w:p>
        </w:tc>
        <w:tc>
          <w:tcPr>
            <w:tcW w:type="dxa" w:w="1326"/>
            <w:vAlign w:val="center"/>
          </w:tcPr>
          <w:p>
            <w:pPr>
              <w:spacing w:before="20" w:after="20"/>
            </w:pPr>
            <w:r>
              <w:rPr>
                <w:rFonts w:ascii="游ゴシック" w:hAnsi="游ゴシック" w:eastAsia="游ゴシック"/>
                <w:b w:val="0"/>
                <w:i w:val="0"/>
                <w:sz w:val="17"/>
              </w:rPr>
              <w:t>190,100円</w:t>
            </w:r>
          </w:p>
        </w:tc>
      </w:tr>
      <w:tr>
        <w:tc>
          <w:tcPr>
            <w:tcW w:type="dxa" w:w="1220"/>
            <w:vAlign w:val="center"/>
          </w:tcPr>
          <w:p>
            <w:pPr>
              <w:spacing w:before="20" w:after="20"/>
            </w:pPr>
            <w:r>
              <w:rPr>
                <w:rFonts w:ascii="游ゴシック" w:hAnsi="游ゴシック" w:eastAsia="游ゴシック"/>
                <w:b/>
                <w:i w:val="0"/>
                <w:sz w:val="17"/>
              </w:rPr>
              <w:t>合計</w:t>
            </w:r>
          </w:p>
        </w:tc>
        <w:tc>
          <w:tcPr>
            <w:tcW w:type="dxa" w:w="2188"/>
            <w:vAlign w:val="center"/>
          </w:tcPr>
          <w:p>
            <w:pPr>
              <w:spacing w:before="20" w:after="20"/>
            </w:pPr>
          </w:p>
        </w:tc>
        <w:tc>
          <w:tcPr>
            <w:tcW w:type="dxa" w:w="1220"/>
            <w:vAlign w:val="center"/>
          </w:tcPr>
          <w:p>
            <w:pPr>
              <w:spacing w:before="20" w:after="20"/>
            </w:pPr>
          </w:p>
        </w:tc>
        <w:tc>
          <w:tcPr>
            <w:tcW w:type="dxa" w:w="1301"/>
            <w:vAlign w:val="center"/>
          </w:tcPr>
          <w:p>
            <w:pPr>
              <w:spacing w:before="20" w:after="20"/>
            </w:pPr>
          </w:p>
        </w:tc>
        <w:tc>
          <w:tcPr>
            <w:tcW w:type="dxa" w:w="1248"/>
            <w:vAlign w:val="center"/>
          </w:tcPr>
          <w:p>
            <w:pPr>
              <w:spacing w:before="20" w:after="20"/>
            </w:pPr>
            <w:r>
              <w:rPr>
                <w:rFonts w:ascii="游ゴシック" w:hAnsi="游ゴシック" w:eastAsia="游ゴシック"/>
                <w:b/>
                <w:i w:val="0"/>
                <w:sz w:val="17"/>
              </w:rPr>
              <w:t>3,443人</w:t>
            </w:r>
          </w:p>
        </w:tc>
        <w:tc>
          <w:tcPr>
            <w:tcW w:type="dxa" w:w="1248"/>
            <w:vAlign w:val="center"/>
          </w:tcPr>
          <w:p>
            <w:pPr>
              <w:spacing w:before="20" w:after="20"/>
            </w:pPr>
            <w:r>
              <w:rPr>
                <w:rFonts w:ascii="游ゴシック" w:hAnsi="游ゴシック" w:eastAsia="游ゴシック"/>
                <w:b/>
                <w:i w:val="0"/>
                <w:sz w:val="17"/>
              </w:rPr>
              <w:t>100.0％</w:t>
            </w:r>
          </w:p>
        </w:tc>
        <w:tc>
          <w:tcPr>
            <w:tcW w:type="dxa" w:w="1326"/>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年金収入等の基準額は、介護保険法施行令第38条（令和8年政令第274号による改正後）の82.65万円によります。</w:t>
      </w:r>
      <w:r>
        <w:rPr>
          <w:rFonts w:ascii="游ゴシック" w:hAnsi="游ゴシック" w:eastAsia="游ゴシック"/>
          <w:b w:val="0"/>
          <w:i w:val="0"/>
          <w:sz w:val="17"/>
        </w:rPr>
        <w:t>国はこの額を毎年見直す想定としているため、第10期の条例を定める時点の額で確定します（【決定後に記載】）。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標準乗率は介護保険法施行令第38条第1項が13段階について定めており、本計画が用いた13件すべてが同項と一致することを確かめています</w:t>
      </w:r>
      <w:r>
        <w:rPr>
          <w:rFonts w:ascii="游ゴシック" w:hAnsi="游ゴシック" w:eastAsia="游ゴシック"/>
          <w:b w:val="0"/>
          <w:i w:val="0"/>
          <w:sz w:val="21"/>
        </w:rPr>
        <w:t>（令和8年10月19日、e-Gov 法令APIにより確認。同項は令和9年4月1日時点でも改正されません）。</w:t>
      </w:r>
      <w:r>
        <w:rPr>
          <w:rFonts w:ascii="游ゴシック" w:hAnsi="游ゴシック" w:eastAsia="游ゴシック"/>
          <w:b/>
          <w:i w:val="0"/>
          <w:sz w:val="21"/>
        </w:rPr>
        <w:t>ただし国は、第10期に向けて、高所得者の標準乗率の見直しと、課税化に伴う上昇の緩和を含む標準段階の見直しを検討しています</w:t>
      </w:r>
      <w:r>
        <w:rPr>
          <w:rFonts w:ascii="游ゴシック" w:hAnsi="游ゴシック" w:eastAsia="游ゴシック"/>
          <w:b w:val="0"/>
          <w:i w:val="0"/>
          <w:sz w:val="21"/>
        </w:rPr>
        <w:t>（社会保障審議会介護保険部会 第136回 資料1、令和8年9月18日）。政令が改正された場合は、段階と乗率を置き直して再算定します（【決定後に記載】）。</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【表116】第6章8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【表117】地域密着型サービスの必要利用定員総数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としています。本計画は市町村老人福祉計画と一体のものとして策定するものであり（介護保険法第117条第7項・改正後第8項）（第1章2）、本節がこれに当たります。</w:t>
      </w:r>
    </w:p>
    <w:p>
      <w:pPr>
        <w:spacing w:before="40" w:after="160"/>
        <w:ind w:left="113"/>
      </w:pPr>
      <w:r>
        <w:rPr>
          <w:rFonts w:ascii="游ゴシック" w:hAnsi="游ゴシック" w:eastAsia="游ゴシック"/>
          <w:b w:val="0"/>
          <w:i w:val="0"/>
          <w:sz w:val="17"/>
        </w:rPr>
        <w:t>※ 老人福祉法第20条の8のうち、量の目標を定める第2項は改正されません。ただし</w:t>
      </w:r>
      <w:r>
        <w:rPr>
          <w:rFonts w:ascii="游ゴシック" w:hAnsi="游ゴシック" w:eastAsia="游ゴシック"/>
          <w:b/>
          <w:i w:val="0"/>
          <w:sz w:val="17"/>
        </w:rPr>
        <w:t>第3項に第3号が新設されます</w:t>
      </w:r>
      <w:r>
        <w:rPr>
          <w:rFonts w:ascii="游ゴシック" w:hAnsi="游ゴシック" w:eastAsia="游ゴシック"/>
          <w:b w:val="0"/>
          <w:i w:val="0"/>
          <w:sz w:val="17"/>
        </w:rPr>
        <w:t>（下記）。令和9年4月1日施行。e-Gov 法令API（デジタル庁）により令和8年10月19日に確認。</w:t>
      </w:r>
    </w:p>
    <w:p>
      <w:pPr>
        <w:spacing w:before="40" w:after="160"/>
        <w:ind w:left="113"/>
      </w:pPr>
      <w:r>
        <w:rPr>
          <w:rFonts w:ascii="游ゴシック" w:hAnsi="游ゴシック" w:eastAsia="游ゴシック"/>
          <w:b/>
          <w:i w:val="0"/>
          <w:sz w:val="17"/>
        </w:rPr>
        <w:t>※ 第3項第3号（新設・努力義務）。</w:t>
      </w:r>
      <w:r>
        <w:rPr>
          <w:rFonts w:ascii="游ゴシック" w:hAnsi="游ゴシック" w:eastAsia="游ゴシック"/>
          <w:b w:val="0"/>
          <w:i w:val="0"/>
          <w:sz w:val="17"/>
        </w:rPr>
        <w:t xml:space="preserve"> 令和9年4月1日から、市町村老人福祉計画には第2項の目標のほか、</w:t>
      </w:r>
      <w:r>
        <w:rPr>
          <w:rFonts w:ascii="游ゴシック" w:hAnsi="游ゴシック" w:eastAsia="游ゴシック"/>
          <w:b/>
          <w:i w:val="0"/>
          <w:sz w:val="17"/>
        </w:rPr>
        <w:t>「老人福祉事業その他の老人の生活に直接影響を及ぼす事業を営む者と社会福祉法第4条第3項に規定する支援関係機関との連携に関する事項」</w:t>
      </w:r>
      <w:r>
        <w:rPr>
          <w:rFonts w:ascii="游ゴシック" w:hAnsi="游ゴシック" w:eastAsia="游ゴシック"/>
          <w:b w:val="0"/>
          <w:i w:val="0"/>
          <w:sz w:val="17"/>
        </w:rPr>
        <w:t>を定めるよう努めるものとされます（社会福祉法等の一部を改正する法律（令和8年法律第51号））。支援関係機関とは、地域生活課題の解決に資する支援を行う関係機関をいいます（社会福祉法第4条第3項）。</w:t>
      </w:r>
      <w:r>
        <w:rPr>
          <w:rFonts w:ascii="游ゴシック" w:hAnsi="游ゴシック" w:eastAsia="游ゴシック"/>
          <w:b/>
          <w:i w:val="0"/>
          <w:sz w:val="17"/>
        </w:rPr>
        <w:t>本計画では、第5章 基本目標2 及び第4章4（障がい福祉計画との接点）に掲げる関係機関との連携が、これに当たります。</w:t>
      </w:r>
      <w:r>
        <w:rPr>
          <w:rFonts w:ascii="游ゴシック" w:hAnsi="游ゴシック" w:eastAsia="游ゴシック"/>
          <w:b w:val="0"/>
          <w:i w:val="0"/>
          <w:sz w:val="17"/>
        </w:rPr>
        <w:t xml:space="preserve"> 老人福祉事業を営む者には、介護保険の指定を受けていない事業者（養護老人ホーム、軽費老人ホーム等）も含まれます。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【表118】第6章9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【表119】第6章9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spacing w:before="40" w:after="160"/>
        <w:ind w:left="113"/>
      </w:pPr>
      <w:r>
        <w:rPr>
          <w:rFonts w:ascii="游ゴシック" w:hAnsi="游ゴシック" w:eastAsia="游ゴシック"/>
          <w:b/>
          <w:i w:val="0"/>
          <w:sz w:val="17"/>
        </w:rPr>
        <w:t>※ 本町は既に措置入所を施策として掲げています。</w:t>
      </w:r>
      <w:r>
        <w:rPr>
          <w:rFonts w:ascii="游ゴシック" w:hAnsi="游ゴシック" w:eastAsia="游ゴシック"/>
          <w:b w:val="0"/>
          <w:i w:val="0"/>
          <w:sz w:val="17"/>
        </w:rPr>
        <w:t xml:space="preserve"> 第9期計画 第4章（１）② は「老人ホームなどへの入所措置」として、</w:t>
      </w:r>
      <w:r>
        <w:rPr>
          <w:rFonts w:ascii="游ゴシック" w:hAnsi="游ゴシック" w:eastAsia="游ゴシック"/>
          <w:b/>
          <w:i w:val="0"/>
          <w:sz w:val="17"/>
        </w:rPr>
        <w:t>「身体上、精神上又は環境上の理由及び経済的理由により在宅での生活が極めて困難で、高齢者の福祉に欠けると認められる高齢者を老人ホームに入所させます」</w:t>
      </w:r>
      <w:r>
        <w:rPr>
          <w:rFonts w:ascii="游ゴシック" w:hAnsi="游ゴシック" w:eastAsia="游ゴシック"/>
          <w:b w:val="0"/>
          <w:i w:val="0"/>
          <w:sz w:val="17"/>
        </w:rPr>
        <w:t>としています。</w:t>
      </w:r>
      <w:r>
        <w:rPr>
          <w:rFonts w:ascii="游ゴシック" w:hAnsi="游ゴシック" w:eastAsia="游ゴシック"/>
          <w:b/>
          <w:i w:val="0"/>
          <w:sz w:val="17"/>
        </w:rPr>
        <w:t>本節は、この施策に量の目標を付けるものです。</w:t>
      </w:r>
      <w:r>
        <w:rPr>
          <w:rFonts w:ascii="游ゴシック" w:hAnsi="游ゴシック" w:eastAsia="游ゴシック"/>
          <w:b w:val="0"/>
          <w:i w:val="0"/>
          <w:sz w:val="17"/>
        </w:rPr>
        <w:t>第10期で新たに始める事業ではありません。</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【表120】第6章10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spacing w:before="60" w:after="60"/>
      </w:pPr>
      <w:r>
        <w:rPr>
          <w:rFonts w:ascii="游ゴシック" w:hAnsi="游ゴシック" w:eastAsia="游ゴシック"/>
          <w:b/>
          <w:i w:val="0"/>
          <w:sz w:val="21"/>
        </w:rPr>
        <w:t>本節の見通しは、第4章1に定めた「本町の地域包括ケアの姿」を令和22年以降も保てるかを確かめるためのものです。</w:t>
      </w:r>
    </w:p>
    <w:p>
      <w:pPr>
        <w:spacing w:before="60" w:after="60"/>
      </w:pPr>
      <w:r>
        <w:rPr>
          <w:rFonts w:ascii="游ゴシック" w:hAnsi="游ゴシック" w:eastAsia="游ゴシック"/>
          <w:b/>
          <w:i w:val="0"/>
          <w:sz w:val="21"/>
        </w:rPr>
        <w:t>別の方法による推計とも形が一致します。</w:t>
      </w:r>
      <w:r>
        <w:rPr>
          <w:rFonts w:ascii="游ゴシック" w:hAnsi="游ゴシック" w:eastAsia="游ゴシック"/>
          <w:b w:val="0"/>
          <w:i w:val="0"/>
          <w:sz w:val="21"/>
        </w:rPr>
        <w:t xml:space="preserve"> 介護SCRの将来推計（令和5年度の性・年齢階級別の利用の出現率を据え置き、社人研の推計人口を乗じたもの。2025年＝100）では、本町の介護給付の需要は2040年106.4、2045年107.3、2050年101.0で、下表の総給付費と同じく令和27年（2045年）頃にピークを迎え、令和32年には令和7年並みに戻ります。県中圏域（2040年126.2）や全国（同124.2）より伸びがはるかに小さいことも、本町の特徴です。</w:t>
      </w:r>
    </w:p>
    <w:p>
      <w:pPr>
        <w:keepNext/>
        <w:spacing w:before="200" w:after="40"/>
      </w:pPr>
      <w:r>
        <w:rPr>
          <w:rFonts w:ascii="游ゴシック" w:hAnsi="游ゴシック" w:eastAsia="游ゴシック"/>
          <w:b/>
          <w:i w:val="0"/>
          <w:color w:val="1F4D78"/>
          <w:sz w:val="22"/>
        </w:rPr>
        <w:t>【表121】第6章11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【表122】第6章11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【表123】第6章11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令和8年11月頃に告示の予定</w:t>
      </w:r>
      <w:r>
        <w:rPr>
          <w:rFonts w:ascii="游ゴシック" w:hAnsi="游ゴシック" w:eastAsia="游ゴシック"/>
          <w:b w:val="0"/>
          <w:i w:val="0"/>
          <w:sz w:val="17"/>
        </w:rPr>
        <w:t>です（全国介護保険担当課長会議資料（令和8年7月15日）のスケジュール）。本改正をどこまで取り込むかは、告示を待って確かめます。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r>
        <w:rPr>
          <w:rFonts w:ascii="游ゴシック" w:hAnsi="游ゴシック" w:eastAsia="游ゴシック"/>
          <w:b/>
          <w:i w:val="0"/>
          <w:sz w:val="21"/>
        </w:rPr>
        <w:t>この体制は、第4章1に定めた「本町の地域包括ケアの姿」を令和22年に向けて保つためのものです。</w:t>
      </w:r>
    </w:p>
    <w:p>
      <w:pPr>
        <w:keepNext/>
        <w:spacing w:before="200" w:after="40"/>
      </w:pPr>
      <w:r>
        <w:rPr>
          <w:rFonts w:ascii="游ゴシック" w:hAnsi="游ゴシック" w:eastAsia="游ゴシック"/>
          <w:b/>
          <w:i w:val="0"/>
          <w:color w:val="1F4D78"/>
          <w:sz w:val="22"/>
        </w:rPr>
        <w:t>【表124】第6章12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本町は「中山間・人口減少地域」の類型に当たります（第1章4）。</w:t>
      </w:r>
      <w:r>
        <w:rPr>
          <w:rFonts w:ascii="游ゴシック" w:hAnsi="游ゴシック" w:eastAsia="游ゴシック"/>
          <w:b w:val="0"/>
          <w:i w:val="0"/>
          <w:sz w:val="21"/>
        </w:rPr>
        <w:t>旧夏井村の区域は、介護保険の特定地域の対象となる見込みです（第1章2）。特定地域では、地域の実情に応じた人員配置基準や包括的な評価の仕組みによる「特定地域サービス」と、事業者が少ない場合に町が事業として行う「特定地域居宅サービス等事業」を使えるようになります（令和9年4月1日施行）。</w:t>
      </w:r>
      <w:r>
        <w:rPr>
          <w:rFonts w:ascii="游ゴシック" w:hAnsi="游ゴシック" w:eastAsia="游ゴシック"/>
          <w:b/>
          <w:i w:val="0"/>
          <w:sz w:val="21"/>
        </w:rPr>
        <w:t>町内の事業所の休廃止の兆しを早く把握し、既存の指定サービスでは提供が続けられなくなったときに、これらを選択肢として検討します</w:t>
      </w:r>
      <w:r>
        <w:rPr>
          <w:rFonts w:ascii="游ゴシック" w:hAnsi="游ゴシック" w:eastAsia="游ゴシック"/>
          <w:b w:val="0"/>
          <w:i w:val="0"/>
          <w:sz w:val="21"/>
        </w:rPr>
        <w:t>（対象サービスと基準は国で検討中。【決定後に記載】）。</w:t>
      </w: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なお、第10期の国の基本指針は令和8年11月頃に告示の予定です。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【表125】資料編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地域分析の指標</w:t>
            </w:r>
          </w:p>
        </w:tc>
        <w:tc>
          <w:tcPr>
            <w:tcW w:type="dxa" w:w="3767"/>
            <w:vAlign w:val="center"/>
          </w:tcPr>
          <w:p>
            <w:pPr>
              <w:spacing w:before="20" w:after="20"/>
            </w:pPr>
            <w:r>
              <w:rPr>
                <w:rFonts w:ascii="游ゴシック" w:hAnsi="游ゴシック" w:eastAsia="游ゴシック"/>
                <w:b/>
                <w:i w:val="0"/>
                <w:sz w:val="17"/>
              </w:rPr>
              <w:t>国の基本指針の案の別表1の指標と本計画の対応</w:t>
            </w:r>
          </w:p>
        </w:tc>
        <w:tc>
          <w:tcPr>
            <w:tcW w:type="dxa" w:w="2827"/>
            <w:vAlign w:val="center"/>
          </w:tcPr>
          <w:p>
            <w:pPr>
              <w:spacing w:before="20" w:after="20"/>
            </w:pPr>
            <w:r>
              <w:rPr>
                <w:rFonts w:ascii="游ゴシック" w:hAnsi="游ゴシック" w:eastAsia="游ゴシック"/>
                <w:b/>
                <w:i w:val="0"/>
                <w:sz w:val="17"/>
              </w:rPr>
              <w:t>本資料編12に掲載</w:t>
            </w:r>
          </w:p>
        </w:tc>
      </w:tr>
      <w:tr>
        <w:tc>
          <w:tcPr>
            <w:tcW w:type="dxa" w:w="3158"/>
            <w:vAlign w:val="center"/>
          </w:tcPr>
          <w:p>
            <w:pPr>
              <w:spacing w:before="20" w:after="20"/>
            </w:pPr>
            <w:r>
              <w:rPr>
                <w:rFonts w:ascii="游ゴシック" w:hAnsi="游ゴシック" w:eastAsia="游ゴシック"/>
                <w:b/>
                <w:i w:val="0"/>
                <w:sz w:val="17"/>
              </w:rPr>
              <w:t>13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本資料編13に掲載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【表126】資料編8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spacing w:before="60" w:after="60"/>
      </w:pPr>
      <w:r>
        <w:rPr>
          <w:rFonts w:ascii="游ゴシック" w:hAnsi="游ゴシック" w:eastAsia="游ゴシック"/>
          <w:b/>
          <w:i w:val="0"/>
          <w:sz w:val="21"/>
        </w:rPr>
        <w:t>成果指標は、アウトプット指標とアウトカム指標に分けて扱います。</w:t>
      </w:r>
      <w:r>
        <w:rPr>
          <w:rFonts w:ascii="游ゴシック" w:hAnsi="游ゴシック" w:eastAsia="游ゴシック"/>
          <w:b w:val="0"/>
          <w:i w:val="0"/>
          <w:sz w:val="21"/>
        </w:rPr>
        <w:t>アウトプット指標は事業の実施量と到達（回数・件数・箇所数・受診率など）を、アウトカム指標は高齢者の状態や地域のサービス基盤の変化を測ります。第5章に置いた成果指標48件の内訳は、アウトプット指標30件、アウトカム指標18件です。</w:t>
      </w:r>
      <w:r>
        <w:rPr>
          <w:rFonts w:ascii="游ゴシック" w:hAnsi="游ゴシック" w:eastAsia="游ゴシック"/>
          <w:b/>
          <w:i w:val="0"/>
          <w:sz w:val="21"/>
        </w:rPr>
        <w:t>アウトプットが目標に届いてもアウトカムが動かないときは、事業の中身を見直します（資料編10）。</w:t>
      </w:r>
    </w:p>
    <w:p>
      <w:pPr>
        <w:keepNext/>
        <w:spacing w:before="200" w:after="40"/>
      </w:pPr>
      <w:r>
        <w:rPr>
          <w:rFonts w:ascii="游ゴシック" w:hAnsi="游ゴシック" w:eastAsia="游ゴシック"/>
          <w:b/>
          <w:i w:val="0"/>
          <w:color w:val="1F4D78"/>
          <w:sz w:val="22"/>
        </w:rPr>
        <w:t>【表127】資料編8　成果指標の定義（2）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4876"/>
        <w:gridCol w:w="1701"/>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成果指標</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種類</w:t>
            </w:r>
          </w:p>
        </w:tc>
      </w:tr>
      <w:tr>
        <w:tc>
          <w:tcPr>
            <w:tcW w:type="dxa" w:w="3175"/>
            <w:vAlign w:val="center"/>
          </w:tcPr>
          <w:p>
            <w:pPr>
              <w:spacing w:before="20" w:after="20"/>
            </w:pPr>
            <w:r>
              <w:rPr>
                <w:rFonts w:ascii="游ゴシック" w:hAnsi="游ゴシック" w:eastAsia="游ゴシック"/>
                <w:b w:val="0"/>
                <w:i w:val="0"/>
                <w:sz w:val="17"/>
              </w:rPr>
              <w:t>基本目標1① 健康づくりの推進</w:t>
            </w:r>
          </w:p>
        </w:tc>
        <w:tc>
          <w:tcPr>
            <w:tcW w:type="dxa" w:w="4876"/>
            <w:vAlign w:val="center"/>
          </w:tcPr>
          <w:p>
            <w:pPr>
              <w:spacing w:before="20" w:after="20"/>
            </w:pPr>
            <w:r>
              <w:rPr>
                <w:rFonts w:ascii="游ゴシック" w:hAnsi="游ゴシック" w:eastAsia="游ゴシック"/>
                <w:b w:val="0"/>
                <w:i w:val="0"/>
                <w:sz w:val="17"/>
              </w:rPr>
              <w:t>特定健診受診率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後期高齢者健診受診率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基本目標1② 介護予防・日常生活支援総合事業の推進</w:t>
            </w:r>
          </w:p>
        </w:tc>
        <w:tc>
          <w:tcPr>
            <w:tcW w:type="dxa" w:w="4876"/>
            <w:vAlign w:val="center"/>
          </w:tcPr>
          <w:p>
            <w:pPr>
              <w:spacing w:before="20" w:after="20"/>
            </w:pPr>
            <w:r>
              <w:rPr>
                <w:rFonts w:ascii="游ゴシック" w:hAnsi="游ゴシック" w:eastAsia="游ゴシック"/>
                <w:b w:val="0"/>
                <w:i w:val="0"/>
                <w:sz w:val="17"/>
              </w:rPr>
              <w:t>週1回以上の通いの場の箇所数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通いの場への参加率（65歳以上）</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転倒リスク該当者の割合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閉じこもり傾向該当者の割合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一般介護予防事業費</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基本目標1③ 生きがいづくりと社会参加の推進</w:t>
            </w:r>
          </w:p>
        </w:tc>
        <w:tc>
          <w:tcPr>
            <w:tcW w:type="dxa" w:w="4876"/>
            <w:vAlign w:val="center"/>
          </w:tcPr>
          <w:p>
            <w:pPr>
              <w:spacing w:before="20" w:after="20"/>
            </w:pPr>
            <w:r>
              <w:rPr>
                <w:rFonts w:ascii="游ゴシック" w:hAnsi="游ゴシック" w:eastAsia="游ゴシック"/>
                <w:b w:val="0"/>
                <w:i w:val="0"/>
                <w:sz w:val="17"/>
              </w:rPr>
              <w:t>社会的役割の低下該当者の割合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老人クラブ会員数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シルバー人材センター会員数・就業実績</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基本目標2① 地域の支え合いの支援</w:t>
            </w:r>
          </w:p>
        </w:tc>
        <w:tc>
          <w:tcPr>
            <w:tcW w:type="dxa" w:w="4876"/>
            <w:vAlign w:val="center"/>
          </w:tcPr>
          <w:p>
            <w:pPr>
              <w:spacing w:before="20" w:after="20"/>
            </w:pPr>
            <w:r>
              <w:rPr>
                <w:rFonts w:ascii="游ゴシック" w:hAnsi="游ゴシック" w:eastAsia="游ゴシック"/>
                <w:b w:val="0"/>
                <w:i w:val="0"/>
                <w:sz w:val="17"/>
              </w:rPr>
              <w:t>協議体の開催回数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地域の支え合い活動の把握件数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基本目標2② 包括的支援事業・任意事業の推進</w:t>
            </w:r>
          </w:p>
        </w:tc>
        <w:tc>
          <w:tcPr>
            <w:tcW w:type="dxa" w:w="4876"/>
            <w:vAlign w:val="center"/>
          </w:tcPr>
          <w:p>
            <w:pPr>
              <w:spacing w:before="20" w:after="20"/>
            </w:pPr>
            <w:r>
              <w:rPr>
                <w:rFonts w:ascii="游ゴシック" w:hAnsi="游ゴシック" w:eastAsia="游ゴシック"/>
                <w:b w:val="0"/>
                <w:i w:val="0"/>
                <w:sz w:val="17"/>
              </w:rPr>
              <w:t>地域包括支援センターの相談件数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地域包括支援センターの認知度</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地域ケア会議の開催回数・検討件数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居宅介護支援事業所数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基本目標2③ 認知症施策の充実</w:t>
            </w:r>
          </w:p>
        </w:tc>
        <w:tc>
          <w:tcPr>
            <w:tcW w:type="dxa" w:w="4876"/>
            <w:vAlign w:val="center"/>
          </w:tcPr>
          <w:p>
            <w:pPr>
              <w:spacing w:before="20" w:after="20"/>
            </w:pPr>
            <w:r>
              <w:rPr>
                <w:rFonts w:ascii="游ゴシック" w:hAnsi="游ゴシック" w:eastAsia="游ゴシック"/>
                <w:b w:val="0"/>
                <w:i w:val="0"/>
                <w:sz w:val="17"/>
              </w:rPr>
              <w:t>認知症に関する相談窓口の認知度</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認知症地域支援推進員の活動実績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認知症カフェの箇所数・参加者数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認知症サポーター数（65歳以上人口10万対）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基本目標2④ 災害時等の要支援者への対応</w:t>
            </w:r>
          </w:p>
        </w:tc>
        <w:tc>
          <w:tcPr>
            <w:tcW w:type="dxa" w:w="4876"/>
            <w:vAlign w:val="center"/>
          </w:tcPr>
          <w:p>
            <w:pPr>
              <w:spacing w:before="20" w:after="20"/>
            </w:pPr>
            <w:r>
              <w:rPr>
                <w:rFonts w:ascii="游ゴシック" w:hAnsi="游ゴシック" w:eastAsia="游ゴシック"/>
                <w:b w:val="0"/>
                <w:i w:val="0"/>
                <w:sz w:val="17"/>
              </w:rPr>
              <w:t>個別避難計画の策定率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福祉避難所の指定数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基本目標2⑤ 多様な生活支援の充実</w:t>
            </w:r>
          </w:p>
        </w:tc>
        <w:tc>
          <w:tcPr>
            <w:tcW w:type="dxa" w:w="4876"/>
            <w:vAlign w:val="center"/>
          </w:tcPr>
          <w:p>
            <w:pPr>
              <w:spacing w:before="20" w:after="20"/>
            </w:pPr>
            <w:r>
              <w:rPr>
                <w:rFonts w:ascii="游ゴシック" w:hAnsi="游ゴシック" w:eastAsia="游ゴシック"/>
                <w:b w:val="0"/>
                <w:i w:val="0"/>
                <w:sz w:val="17"/>
              </w:rPr>
              <w:t>移送・外出支援の利用者数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短期入所の利用者数・利用日数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配食・緊急通報等の利用者数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基本目標2⑥ 介護人材の確保とサービスの質の向上</w:t>
            </w:r>
          </w:p>
        </w:tc>
        <w:tc>
          <w:tcPr>
            <w:tcW w:type="dxa" w:w="4876"/>
            <w:vAlign w:val="center"/>
          </w:tcPr>
          <w:p>
            <w:pPr>
              <w:spacing w:before="20" w:after="20"/>
            </w:pPr>
            <w:r>
              <w:rPr>
                <w:rFonts w:ascii="游ゴシック" w:hAnsi="游ゴシック" w:eastAsia="游ゴシック"/>
                <w:b w:val="0"/>
                <w:i w:val="0"/>
                <w:sz w:val="17"/>
              </w:rPr>
              <w:t>町内介護サービス事業所数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介護サービス自給率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県事業・基金の活用件数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介護職員の定着（町内事業所の離職率）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基本目標2⑦ 在宅医療・介護連携の推進</w:t>
            </w:r>
          </w:p>
        </w:tc>
        <w:tc>
          <w:tcPr>
            <w:tcW w:type="dxa" w:w="4876"/>
            <w:vAlign w:val="center"/>
          </w:tcPr>
          <w:p>
            <w:pPr>
              <w:spacing w:before="20" w:after="20"/>
            </w:pPr>
            <w:r>
              <w:rPr>
                <w:rFonts w:ascii="游ゴシック" w:hAnsi="游ゴシック" w:eastAsia="游ゴシック"/>
                <w:b w:val="0"/>
                <w:i w:val="0"/>
                <w:sz w:val="17"/>
              </w:rPr>
              <w:t>4つの場面ごとの目指すべき姿の設定</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多職種研修の開催回数・参加者数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入院時情報連携加算の算定者数割合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退院・退所加算の算定者数割合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取組の検証の実施</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基本目標3① 自立支援・重度化防止に向けた取り組み</w:t>
            </w:r>
          </w:p>
        </w:tc>
        <w:tc>
          <w:tcPr>
            <w:tcW w:type="dxa" w:w="4876"/>
            <w:vAlign w:val="center"/>
          </w:tcPr>
          <w:p>
            <w:pPr>
              <w:spacing w:before="20" w:after="20"/>
            </w:pPr>
            <w:r>
              <w:rPr>
                <w:rFonts w:ascii="游ゴシック" w:hAnsi="游ゴシック" w:eastAsia="游ゴシック"/>
                <w:b w:val="0"/>
                <w:i w:val="0"/>
                <w:sz w:val="17"/>
              </w:rPr>
              <w:t>地域ケア会議の開催回数・検討件数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要介護認定の適正化の実施状況</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ケアプラン点検の実施件数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医療情報との突合の実施割合</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要介護度の維持・改善率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基本目標3② 介護保険サービス等の充実</w:t>
            </w:r>
          </w:p>
        </w:tc>
        <w:tc>
          <w:tcPr>
            <w:tcW w:type="dxa" w:w="4876"/>
            <w:vAlign w:val="center"/>
          </w:tcPr>
          <w:p>
            <w:pPr>
              <w:spacing w:before="20" w:after="20"/>
            </w:pPr>
            <w:r>
              <w:rPr>
                <w:rFonts w:ascii="游ゴシック" w:hAnsi="游ゴシック" w:eastAsia="游ゴシック"/>
                <w:b w:val="0"/>
                <w:i w:val="0"/>
                <w:sz w:val="17"/>
              </w:rPr>
              <w:t>在宅サービス受給率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認定者に対する受給者の比率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サービス未利用者の割合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未利用理由の把握状況</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介護老人福祉施設の町内自給率</w:t>
            </w:r>
          </w:p>
        </w:tc>
        <w:tc>
          <w:tcPr>
            <w:tcW w:type="dxa" w:w="1701"/>
            <w:vAlign w:val="center"/>
          </w:tcPr>
          <w:p>
            <w:pPr>
              <w:spacing w:before="20" w:after="20"/>
            </w:pPr>
            <w:r>
              <w:rPr>
                <w:rFonts w:ascii="游ゴシック" w:hAnsi="游ゴシック" w:eastAsia="游ゴシック"/>
                <w:b w:val="0"/>
                <w:i w:val="0"/>
                <w:sz w:val="17"/>
              </w:rPr>
              <w:t>アウトカム</w:t>
            </w:r>
          </w:p>
        </w:tc>
      </w:tr>
    </w:tbl>
    <w:p>
      <w:pPr>
        <w:spacing w:after="40"/>
      </w:pP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【表128】資料編9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【表129】資料編10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【表130】資料編11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地域分析の指標（国の基本指針の案の別表1）</w:t>
      </w:r>
      <w:bookmarkEnd w:id="152"/>
    </w:p>
    <w:p>
      <w:pPr>
        <w:spacing w:before="60" w:after="60"/>
      </w:pPr>
      <w:r>
        <w:rPr>
          <w:rFonts w:ascii="游ゴシック" w:hAnsi="游ゴシック" w:eastAsia="游ゴシック"/>
          <w:b/>
          <w:i w:val="0"/>
          <w:sz w:val="21"/>
        </w:rPr>
        <w:t>国の第10期の基本指針の案は、新たに別表1を設け、計画の策定に当たって確認すべき指標・状況を11の事項に分けて示しています。</w:t>
      </w:r>
      <w:r>
        <w:rPr>
          <w:rFonts w:ascii="游ゴシック" w:hAnsi="游ゴシック" w:eastAsia="游ゴシック"/>
          <w:b w:val="0"/>
          <w:i w:val="0"/>
          <w:sz w:val="21"/>
        </w:rPr>
        <w:t xml:space="preserve"> 本計画で把握しているものと、まだ取れていないものは次のとおりです。</w:t>
      </w:r>
    </w:p>
    <w:p>
      <w:pPr>
        <w:keepNext/>
        <w:spacing w:before="200" w:after="40"/>
      </w:pPr>
      <w:r>
        <w:rPr>
          <w:rFonts w:ascii="游ゴシック" w:hAnsi="游ゴシック" w:eastAsia="游ゴシック"/>
          <w:b/>
          <w:i w:val="0"/>
          <w:color w:val="1F4D78"/>
          <w:sz w:val="22"/>
        </w:rPr>
        <w:t>【表131】資料編12　地域分析の指標（国の基本指針の案の別表1）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402"/>
        <w:gridCol w:w="2041"/>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確認すべき指標・状況（主なもの）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本計画の箇所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8"/>
            <w:vAlign w:val="center"/>
          </w:tcPr>
          <w:p>
            <w:pPr>
              <w:spacing w:before="20" w:after="20"/>
            </w:pPr>
            <w:r>
              <w:rPr>
                <w:rFonts w:ascii="游ゴシック" w:hAnsi="游ゴシック" w:eastAsia="游ゴシック"/>
                <w:b w:val="0"/>
                <w:i w:val="0"/>
                <w:sz w:val="17"/>
              </w:rPr>
              <w:t>一　地勢と交通</w:t>
            </w:r>
          </w:p>
        </w:tc>
        <w:tc>
          <w:tcPr>
            <w:tcW w:type="dxa" w:w="3402"/>
            <w:vAlign w:val="center"/>
          </w:tcPr>
          <w:p>
            <w:pPr>
              <w:spacing w:before="20" w:after="20"/>
            </w:pPr>
            <w:r>
              <w:rPr>
                <w:rFonts w:ascii="游ゴシック" w:hAnsi="游ゴシック" w:eastAsia="游ゴシック"/>
                <w:b w:val="0"/>
                <w:i w:val="0"/>
                <w:sz w:val="17"/>
              </w:rPr>
              <w:t>地域特性、交通機関の状況、地理的状況</w:t>
            </w:r>
          </w:p>
        </w:tc>
        <w:tc>
          <w:tcPr>
            <w:tcW w:type="dxa" w:w="2041"/>
            <w:vAlign w:val="center"/>
          </w:tcPr>
          <w:p>
            <w:pPr>
              <w:spacing w:before="20" w:after="20"/>
            </w:pPr>
            <w:r>
              <w:rPr>
                <w:rFonts w:ascii="游ゴシック" w:hAnsi="游ゴシック" w:eastAsia="游ゴシック"/>
                <w:b w:val="0"/>
                <w:i w:val="0"/>
                <w:sz w:val="17"/>
              </w:rPr>
              <w:t>第1章5</w:t>
            </w:r>
          </w:p>
        </w:tc>
        <w:tc>
          <w:tcPr>
            <w:tcW w:type="dxa" w:w="2381"/>
            <w:vAlign w:val="center"/>
          </w:tcPr>
          <w:p>
            <w:pPr>
              <w:spacing w:before="20" w:after="20"/>
            </w:pPr>
            <w:r>
              <w:rPr>
                <w:rFonts w:ascii="游ゴシック" w:hAnsi="游ゴシック" w:eastAsia="游ゴシック"/>
                <w:b w:val="0"/>
                <w:i w:val="0"/>
                <w:sz w:val="17"/>
              </w:rPr>
              <w:t>町の面積・公共交通の運行状況は【町データ待ち】</w:t>
            </w:r>
          </w:p>
        </w:tc>
      </w:tr>
      <w:tr>
        <w:tc>
          <w:tcPr>
            <w:tcW w:type="dxa" w:w="1928"/>
            <w:vAlign w:val="center"/>
          </w:tcPr>
          <w:p>
            <w:pPr>
              <w:spacing w:before="20" w:after="20"/>
            </w:pPr>
            <w:r>
              <w:rPr>
                <w:rFonts w:ascii="游ゴシック" w:hAnsi="游ゴシック" w:eastAsia="游ゴシック"/>
                <w:b w:val="0"/>
                <w:i w:val="0"/>
                <w:sz w:val="17"/>
              </w:rPr>
              <w:t>二　人口構造</w:t>
            </w:r>
          </w:p>
        </w:tc>
        <w:tc>
          <w:tcPr>
            <w:tcW w:type="dxa" w:w="3402"/>
            <w:vAlign w:val="center"/>
          </w:tcPr>
          <w:p>
            <w:pPr>
              <w:spacing w:before="20" w:after="20"/>
            </w:pPr>
            <w:r>
              <w:rPr>
                <w:rFonts w:ascii="游ゴシック" w:hAnsi="游ゴシック" w:eastAsia="游ゴシック"/>
                <w:b w:val="0"/>
                <w:i w:val="0"/>
                <w:sz w:val="17"/>
              </w:rPr>
              <w:t>年齢三区分人口、高齢化率、世帯数（単身高齢・高齢夫婦のみ）</w:t>
            </w:r>
          </w:p>
        </w:tc>
        <w:tc>
          <w:tcPr>
            <w:tcW w:type="dxa" w:w="2041"/>
            <w:vAlign w:val="center"/>
          </w:tcPr>
          <w:p>
            <w:pPr>
              <w:spacing w:before="20" w:after="20"/>
            </w:pPr>
            <w:r>
              <w:rPr>
                <w:rFonts w:ascii="游ゴシック" w:hAnsi="游ゴシック" w:eastAsia="游ゴシック"/>
                <w:b w:val="0"/>
                <w:i w:val="0"/>
                <w:sz w:val="17"/>
              </w:rPr>
              <w:t>第2章1・6</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三　人口動態</w:t>
            </w:r>
          </w:p>
        </w:tc>
        <w:tc>
          <w:tcPr>
            <w:tcW w:type="dxa" w:w="3402"/>
            <w:vAlign w:val="center"/>
          </w:tcPr>
          <w:p>
            <w:pPr>
              <w:spacing w:before="20" w:after="20"/>
            </w:pPr>
            <w:r>
              <w:rPr>
                <w:rFonts w:ascii="游ゴシック" w:hAnsi="游ゴシック" w:eastAsia="游ゴシック"/>
                <w:b w:val="0"/>
                <w:i w:val="0"/>
                <w:sz w:val="17"/>
              </w:rPr>
              <w:t>出生数、死亡数、健康寿命、死亡場所別の死亡数</w:t>
            </w:r>
          </w:p>
        </w:tc>
        <w:tc>
          <w:tcPr>
            <w:tcW w:type="dxa" w:w="2041"/>
            <w:vAlign w:val="center"/>
          </w:tcPr>
          <w:p>
            <w:pPr>
              <w:spacing w:before="20" w:after="20"/>
            </w:pPr>
            <w:r>
              <w:rPr>
                <w:rFonts w:ascii="游ゴシック" w:hAnsi="游ゴシック" w:eastAsia="游ゴシック"/>
                <w:b w:val="0"/>
                <w:i w:val="0"/>
                <w:sz w:val="17"/>
              </w:rPr>
              <w:t>第2章1</w:t>
            </w:r>
          </w:p>
        </w:tc>
        <w:tc>
          <w:tcPr>
            <w:tcW w:type="dxa" w:w="2381"/>
            <w:vAlign w:val="center"/>
          </w:tcPr>
          <w:p>
            <w:pPr>
              <w:spacing w:before="20" w:after="20"/>
            </w:pPr>
            <w:r>
              <w:rPr>
                <w:rFonts w:ascii="游ゴシック" w:hAnsi="游ゴシック" w:eastAsia="游ゴシック"/>
                <w:b w:val="0"/>
                <w:i w:val="0"/>
                <w:sz w:val="17"/>
              </w:rPr>
              <w:t>在宅死亡者数（人口10万対、令和元年度）は自宅190.0・老人ホーム10.0・介護老人保健施設20.0。死亡総数と病院での死亡は【町データ待ち】</w:t>
            </w:r>
          </w:p>
        </w:tc>
      </w:tr>
      <w:tr>
        <w:tc>
          <w:tcPr>
            <w:tcW w:type="dxa" w:w="1928"/>
            <w:vAlign w:val="center"/>
          </w:tcPr>
          <w:p>
            <w:pPr>
              <w:spacing w:before="20" w:after="20"/>
            </w:pPr>
            <w:r>
              <w:rPr>
                <w:rFonts w:ascii="游ゴシック" w:hAnsi="游ゴシック" w:eastAsia="游ゴシック"/>
                <w:b w:val="0"/>
                <w:i w:val="0"/>
                <w:sz w:val="17"/>
              </w:rPr>
              <w:t>四　認定者数の状況</w:t>
            </w:r>
          </w:p>
        </w:tc>
        <w:tc>
          <w:tcPr>
            <w:tcW w:type="dxa" w:w="3402"/>
            <w:vAlign w:val="center"/>
          </w:tcPr>
          <w:p>
            <w:pPr>
              <w:spacing w:before="20" w:after="20"/>
            </w:pPr>
            <w:r>
              <w:rPr>
                <w:rFonts w:ascii="游ゴシック" w:hAnsi="游ゴシック" w:eastAsia="游ゴシック"/>
                <w:b w:val="0"/>
                <w:i w:val="0"/>
                <w:sz w:val="17"/>
              </w:rPr>
              <w:t>要介護度別の認定者数、年齢調整後の認定率</w:t>
            </w:r>
          </w:p>
        </w:tc>
        <w:tc>
          <w:tcPr>
            <w:tcW w:type="dxa" w:w="2041"/>
            <w:vAlign w:val="center"/>
          </w:tcPr>
          <w:p>
            <w:pPr>
              <w:spacing w:before="20" w:after="20"/>
            </w:pPr>
            <w:r>
              <w:rPr>
                <w:rFonts w:ascii="游ゴシック" w:hAnsi="游ゴシック" w:eastAsia="游ゴシック"/>
                <w:b w:val="0"/>
                <w:i w:val="0"/>
                <w:sz w:val="17"/>
              </w:rPr>
              <w:t>第2章3</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五　介護サービス等の利用状況</w:t>
            </w:r>
          </w:p>
        </w:tc>
        <w:tc>
          <w:tcPr>
            <w:tcW w:type="dxa" w:w="3402"/>
            <w:vAlign w:val="center"/>
          </w:tcPr>
          <w:p>
            <w:pPr>
              <w:spacing w:before="20" w:after="20"/>
            </w:pPr>
            <w:r>
              <w:rPr>
                <w:rFonts w:ascii="游ゴシック" w:hAnsi="游ゴシック" w:eastAsia="游ゴシック"/>
                <w:b w:val="0"/>
                <w:i w:val="0"/>
                <w:sz w:val="17"/>
              </w:rPr>
              <w:t>受給率、町内事業所による提供割合、1人当たり費用額、介護SCR</w:t>
            </w:r>
          </w:p>
        </w:tc>
        <w:tc>
          <w:tcPr>
            <w:tcW w:type="dxa" w:w="2041"/>
            <w:vAlign w:val="center"/>
          </w:tcPr>
          <w:p>
            <w:pPr>
              <w:spacing w:before="20" w:after="20"/>
            </w:pPr>
            <w:r>
              <w:rPr>
                <w:rFonts w:ascii="游ゴシック" w:hAnsi="游ゴシック" w:eastAsia="游ゴシック"/>
                <w:b w:val="0"/>
                <w:i w:val="0"/>
                <w:sz w:val="17"/>
              </w:rPr>
              <w:t>第2章3・5・本節</w:t>
            </w:r>
          </w:p>
        </w:tc>
        <w:tc>
          <w:tcPr>
            <w:tcW w:type="dxa" w:w="2381"/>
            <w:vAlign w:val="center"/>
          </w:tcPr>
          <w:p>
            <w:pPr>
              <w:spacing w:before="20" w:after="20"/>
            </w:pPr>
            <w:r>
              <w:rPr>
                <w:rFonts w:ascii="游ゴシック" w:hAnsi="游ゴシック" w:eastAsia="游ゴシック"/>
                <w:b w:val="0"/>
                <w:i w:val="0"/>
                <w:sz w:val="17"/>
              </w:rPr>
              <w:t>把握済み（介護SCRは下表）</w:t>
            </w:r>
          </w:p>
        </w:tc>
      </w:tr>
      <w:tr>
        <w:tc>
          <w:tcPr>
            <w:tcW w:type="dxa" w:w="1928"/>
            <w:vAlign w:val="center"/>
          </w:tcPr>
          <w:p>
            <w:pPr>
              <w:spacing w:before="20" w:after="20"/>
            </w:pPr>
            <w:r>
              <w:rPr>
                <w:rFonts w:ascii="游ゴシック" w:hAnsi="游ゴシック" w:eastAsia="游ゴシック"/>
                <w:b w:val="0"/>
                <w:i w:val="0"/>
                <w:sz w:val="17"/>
              </w:rPr>
              <w:t>六　介護サービス見込量</w:t>
            </w:r>
          </w:p>
        </w:tc>
        <w:tc>
          <w:tcPr>
            <w:tcW w:type="dxa" w:w="3402"/>
            <w:vAlign w:val="center"/>
          </w:tcPr>
          <w:p>
            <w:pPr>
              <w:spacing w:before="20" w:after="20"/>
            </w:pPr>
            <w:r>
              <w:rPr>
                <w:rFonts w:ascii="游ゴシック" w:hAnsi="游ゴシック" w:eastAsia="游ゴシック"/>
                <w:b w:val="0"/>
                <w:i w:val="0"/>
                <w:sz w:val="17"/>
              </w:rPr>
              <w:t>サービス別の見込量、計画と実績の乖離、家族の就業の状況</w:t>
            </w:r>
          </w:p>
        </w:tc>
        <w:tc>
          <w:tcPr>
            <w:tcW w:type="dxa" w:w="2041"/>
            <w:vAlign w:val="center"/>
          </w:tcPr>
          <w:p>
            <w:pPr>
              <w:spacing w:before="20" w:after="20"/>
            </w:pPr>
            <w:r>
              <w:rPr>
                <w:rFonts w:ascii="游ゴシック" w:hAnsi="游ゴシック" w:eastAsia="游ゴシック"/>
                <w:b w:val="0"/>
                <w:i w:val="0"/>
                <w:sz w:val="17"/>
              </w:rPr>
              <w:t>第2章2・第3章3・第6章2</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七　介護保険施設・事業所の状況</w:t>
            </w:r>
          </w:p>
        </w:tc>
        <w:tc>
          <w:tcPr>
            <w:tcW w:type="dxa" w:w="3402"/>
            <w:vAlign w:val="center"/>
          </w:tcPr>
          <w:p>
            <w:pPr>
              <w:spacing w:before="20" w:after="20"/>
            </w:pPr>
            <w:r>
              <w:rPr>
                <w:rFonts w:ascii="游ゴシック" w:hAnsi="游ゴシック" w:eastAsia="游ゴシック"/>
                <w:b w:val="0"/>
                <w:i w:val="0"/>
                <w:sz w:val="17"/>
              </w:rPr>
              <w:t>事業所数、利用者数、入所率、稼働率、従事者数</w:t>
            </w:r>
          </w:p>
        </w:tc>
        <w:tc>
          <w:tcPr>
            <w:tcW w:type="dxa" w:w="2041"/>
            <w:vAlign w:val="center"/>
          </w:tcPr>
          <w:p>
            <w:pPr>
              <w:spacing w:before="20" w:after="20"/>
            </w:pPr>
            <w:r>
              <w:rPr>
                <w:rFonts w:ascii="游ゴシック" w:hAnsi="游ゴシック" w:eastAsia="游ゴシック"/>
                <w:b w:val="0"/>
                <w:i w:val="0"/>
                <w:sz w:val="17"/>
              </w:rPr>
              <w:t>第2章5</w:t>
            </w:r>
          </w:p>
        </w:tc>
        <w:tc>
          <w:tcPr>
            <w:tcW w:type="dxa" w:w="2381"/>
            <w:vAlign w:val="center"/>
          </w:tcPr>
          <w:p>
            <w:pPr>
              <w:spacing w:before="20" w:after="20"/>
            </w:pPr>
            <w:r>
              <w:rPr>
                <w:rFonts w:ascii="游ゴシック" w:hAnsi="游ゴシック" w:eastAsia="游ゴシック"/>
                <w:b w:val="0"/>
                <w:i w:val="0"/>
                <w:sz w:val="17"/>
              </w:rPr>
              <w:t>町内の事業所数は把握（令和6年度、居宅サービス等18）。施設・居住系の事業所数は【見える化出力待ち】、事業所別の稼働率・従事者数は【町データ待ち】</w:t>
            </w:r>
          </w:p>
        </w:tc>
      </w:tr>
      <w:tr>
        <w:tc>
          <w:tcPr>
            <w:tcW w:type="dxa" w:w="1928"/>
            <w:vAlign w:val="center"/>
          </w:tcPr>
          <w:p>
            <w:pPr>
              <w:spacing w:before="20" w:after="20"/>
            </w:pPr>
            <w:r>
              <w:rPr>
                <w:rFonts w:ascii="游ゴシック" w:hAnsi="游ゴシック" w:eastAsia="游ゴシック"/>
                <w:b w:val="0"/>
                <w:i w:val="0"/>
                <w:sz w:val="17"/>
              </w:rPr>
              <w:t>八　高齢者向け住まいの状況</w:t>
            </w:r>
          </w:p>
        </w:tc>
        <w:tc>
          <w:tcPr>
            <w:tcW w:type="dxa" w:w="3402"/>
            <w:vAlign w:val="center"/>
          </w:tcPr>
          <w:p>
            <w:pPr>
              <w:spacing w:before="20" w:after="20"/>
            </w:pPr>
            <w:r>
              <w:rPr>
                <w:rFonts w:ascii="游ゴシック" w:hAnsi="游ゴシック" w:eastAsia="游ゴシック"/>
                <w:b w:val="0"/>
                <w:i w:val="0"/>
                <w:sz w:val="17"/>
              </w:rPr>
              <w:t>有料老人ホーム等の定員、要介護者である入居者の状況</w:t>
            </w:r>
          </w:p>
        </w:tc>
        <w:tc>
          <w:tcPr>
            <w:tcW w:type="dxa" w:w="2041"/>
            <w:vAlign w:val="center"/>
          </w:tcPr>
          <w:p>
            <w:pPr>
              <w:spacing w:before="20" w:after="20"/>
            </w:pPr>
            <w:r>
              <w:rPr>
                <w:rFonts w:ascii="游ゴシック" w:hAnsi="游ゴシック" w:eastAsia="游ゴシック"/>
                <w:b w:val="0"/>
                <w:i w:val="0"/>
                <w:sz w:val="17"/>
              </w:rPr>
              <w:t>第2章5・第6章2</w:t>
            </w:r>
          </w:p>
        </w:tc>
        <w:tc>
          <w:tcPr>
            <w:tcW w:type="dxa" w:w="2381"/>
            <w:vAlign w:val="center"/>
          </w:tcPr>
          <w:p>
            <w:pPr>
              <w:spacing w:before="20" w:after="20"/>
            </w:pPr>
            <w:r>
              <w:rPr>
                <w:rFonts w:ascii="游ゴシック" w:hAnsi="游ゴシック" w:eastAsia="游ゴシック"/>
                <w:b w:val="0"/>
                <w:i w:val="0"/>
                <w:sz w:val="17"/>
              </w:rPr>
              <w:t>入居定員総数は県から提供を受ける（【町データ待ち】）</w:t>
            </w:r>
          </w:p>
        </w:tc>
      </w:tr>
      <w:tr>
        <w:tc>
          <w:tcPr>
            <w:tcW w:type="dxa" w:w="1928"/>
            <w:vAlign w:val="center"/>
          </w:tcPr>
          <w:p>
            <w:pPr>
              <w:spacing w:before="20" w:after="20"/>
            </w:pPr>
            <w:r>
              <w:rPr>
                <w:rFonts w:ascii="游ゴシック" w:hAnsi="游ゴシック" w:eastAsia="游ゴシック"/>
                <w:b w:val="0"/>
                <w:i w:val="0"/>
                <w:sz w:val="17"/>
              </w:rPr>
              <w:t>九　地域支援事業の状況</w:t>
            </w:r>
          </w:p>
        </w:tc>
        <w:tc>
          <w:tcPr>
            <w:tcW w:type="dxa" w:w="3402"/>
            <w:vAlign w:val="center"/>
          </w:tcPr>
          <w:p>
            <w:pPr>
              <w:spacing w:before="20" w:after="20"/>
            </w:pPr>
            <w:r>
              <w:rPr>
                <w:rFonts w:ascii="游ゴシック" w:hAnsi="游ゴシック" w:eastAsia="游ゴシック"/>
                <w:b w:val="0"/>
                <w:i w:val="0"/>
                <w:sz w:val="17"/>
              </w:rPr>
              <w:t>通いの場の数・参加者数、地域包括支援センターの相談体制</w:t>
            </w:r>
          </w:p>
        </w:tc>
        <w:tc>
          <w:tcPr>
            <w:tcW w:type="dxa" w:w="2041"/>
            <w:vAlign w:val="center"/>
          </w:tcPr>
          <w:p>
            <w:pPr>
              <w:spacing w:before="20" w:after="20"/>
            </w:pPr>
            <w:r>
              <w:rPr>
                <w:rFonts w:ascii="游ゴシック" w:hAnsi="游ゴシック" w:eastAsia="游ゴシック"/>
                <w:b w:val="0"/>
                <w:i w:val="0"/>
                <w:sz w:val="17"/>
              </w:rPr>
              <w:t>第3章2・第5章 基本目標1②・2②</w:t>
            </w:r>
          </w:p>
        </w:tc>
        <w:tc>
          <w:tcPr>
            <w:tcW w:type="dxa" w:w="2381"/>
            <w:vAlign w:val="center"/>
          </w:tcPr>
          <w:p>
            <w:pPr>
              <w:spacing w:before="20" w:after="20"/>
            </w:pPr>
            <w:r>
              <w:rPr>
                <w:rFonts w:ascii="游ゴシック" w:hAnsi="游ゴシック" w:eastAsia="游ゴシック"/>
                <w:b w:val="0"/>
                <w:i w:val="0"/>
                <w:sz w:val="17"/>
              </w:rPr>
              <w:t>相談件数は【町データ待ち】</w:t>
            </w:r>
          </w:p>
        </w:tc>
      </w:tr>
      <w:tr>
        <w:tc>
          <w:tcPr>
            <w:tcW w:type="dxa" w:w="1928"/>
            <w:vAlign w:val="center"/>
          </w:tcPr>
          <w:p>
            <w:pPr>
              <w:keepNext/>
              <w:spacing w:before="20" w:after="20"/>
            </w:pPr>
            <w:r>
              <w:rPr>
                <w:rFonts w:ascii="游ゴシック" w:hAnsi="游ゴシック" w:eastAsia="游ゴシック"/>
                <w:b w:val="0"/>
                <w:i w:val="0"/>
                <w:sz w:val="17"/>
              </w:rPr>
              <w:t>十　医療介護連携の状況</w:t>
            </w:r>
          </w:p>
        </w:tc>
        <w:tc>
          <w:tcPr>
            <w:tcW w:type="dxa" w:w="3402"/>
            <w:vAlign w:val="center"/>
          </w:tcPr>
          <w:p>
            <w:pPr>
              <w:keepNext/>
              <w:spacing w:before="20" w:after="20"/>
            </w:pPr>
            <w:r>
              <w:rPr>
                <w:rFonts w:ascii="游ゴシック" w:hAnsi="游ゴシック" w:eastAsia="游ゴシック"/>
                <w:b w:val="0"/>
                <w:i w:val="0"/>
                <w:sz w:val="17"/>
              </w:rPr>
              <w:t>医療介護連携に関する加算の算定状況</w:t>
            </w:r>
          </w:p>
        </w:tc>
        <w:tc>
          <w:tcPr>
            <w:tcW w:type="dxa" w:w="2041"/>
            <w:vAlign w:val="center"/>
          </w:tcPr>
          <w:p>
            <w:pPr>
              <w:keepNext/>
              <w:spacing w:before="20" w:after="20"/>
            </w:pPr>
            <w:r>
              <w:rPr>
                <w:rFonts w:ascii="游ゴシック" w:hAnsi="游ゴシック" w:eastAsia="游ゴシック"/>
                <w:b w:val="0"/>
                <w:i w:val="0"/>
                <w:sz w:val="17"/>
              </w:rPr>
              <w:t>第5章 基本目標2⑦</w:t>
            </w:r>
          </w:p>
        </w:tc>
        <w:tc>
          <w:tcPr>
            <w:tcW w:type="dxa" w:w="2381"/>
            <w:vAlign w:val="center"/>
          </w:tcPr>
          <w:p>
            <w:pPr>
              <w:keepNext/>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十一　認知症の人の数及び関連施策の状況</w:t>
            </w:r>
          </w:p>
        </w:tc>
        <w:tc>
          <w:tcPr>
            <w:tcW w:type="dxa" w:w="3402"/>
            <w:vAlign w:val="center"/>
          </w:tcPr>
          <w:p>
            <w:pPr>
              <w:spacing w:before="20" w:after="20"/>
            </w:pPr>
            <w:r>
              <w:rPr>
                <w:rFonts w:ascii="游ゴシック" w:hAnsi="游ゴシック" w:eastAsia="游ゴシック"/>
                <w:b w:val="0"/>
                <w:i w:val="0"/>
                <w:sz w:val="17"/>
              </w:rPr>
              <w:t>認知症の人の数・推計値、認知症カフェ等の社会参加の場</w:t>
            </w:r>
          </w:p>
        </w:tc>
        <w:tc>
          <w:tcPr>
            <w:tcW w:type="dxa" w:w="2041"/>
            <w:vAlign w:val="center"/>
          </w:tcPr>
          <w:p>
            <w:pPr>
              <w:spacing w:before="20" w:after="20"/>
            </w:pPr>
            <w:r>
              <w:rPr>
                <w:rFonts w:ascii="游ゴシック" w:hAnsi="游ゴシック" w:eastAsia="游ゴシック"/>
                <w:b w:val="0"/>
                <w:i w:val="0"/>
                <w:sz w:val="17"/>
              </w:rPr>
              <w:t>第2章6・第5章 基本目標2③</w:t>
            </w:r>
          </w:p>
        </w:tc>
        <w:tc>
          <w:tcPr>
            <w:tcW w:type="dxa" w:w="2381"/>
            <w:vAlign w:val="center"/>
          </w:tcPr>
          <w:p>
            <w:pPr>
              <w:spacing w:before="20" w:after="20"/>
            </w:pPr>
            <w:r>
              <w:rPr>
                <w:rFonts w:ascii="游ゴシック" w:hAnsi="游ゴシック" w:eastAsia="游ゴシック"/>
                <w:b w:val="0"/>
                <w:i w:val="0"/>
                <w:sz w:val="17"/>
              </w:rPr>
              <w:t>把握済み（自立度Ⅲa・Ⅲbは未受領）</w:t>
            </w:r>
          </w:p>
        </w:tc>
      </w:tr>
    </w:tbl>
    <w:p>
      <w:pPr>
        <w:spacing w:after="40"/>
      </w:pPr>
    </w:p>
    <w:p>
      <w:pPr>
        <w:spacing w:before="40" w:after="160"/>
        <w:ind w:left="113"/>
      </w:pPr>
      <w:r>
        <w:rPr>
          <w:rFonts w:ascii="游ゴシック" w:hAnsi="游ゴシック" w:eastAsia="游ゴシック"/>
          <w:b w:val="0"/>
          <w:i w:val="0"/>
          <w:sz w:val="17"/>
        </w:rPr>
        <w:t>資料：全国介護保険担当課長会議資料（令和8年7月15日）資料3-1、社会保障審議会介護保険部会（第135回）資料2-2「基本指針（案）について（新旧案）」。</w:t>
      </w:r>
      <w:r>
        <w:rPr>
          <w:rFonts w:ascii="游ゴシック" w:hAnsi="游ゴシック" w:eastAsia="游ゴシック"/>
          <w:b/>
          <w:i w:val="0"/>
          <w:sz w:val="17"/>
        </w:rPr>
        <w:t>別表1は基本指針の案であり、告示（令和8年11月頃の予定）で確定します。</w:t>
      </w:r>
      <w:r>
        <w:rPr>
          <w:rFonts w:ascii="游ゴシック" w:hAnsi="游ゴシック" w:eastAsia="游ゴシック"/>
          <w:b w:val="0"/>
          <w:i w:val="0"/>
          <w:sz w:val="17"/>
        </w:rPr>
        <w:t xml:space="preserve"> 死亡総数と病院での死亡は、人口動態統計で取得します。</w:t>
      </w:r>
    </w:p>
    <w:p>
      <w:pPr>
        <w:spacing w:before="60" w:after="60"/>
      </w:pPr>
      <w:r>
        <w:rPr>
          <w:rFonts w:ascii="游ゴシック" w:hAnsi="游ゴシック" w:eastAsia="游ゴシック"/>
          <w:b/>
          <w:i w:val="0"/>
          <w:sz w:val="21"/>
        </w:rPr>
        <w:t>本町の介護SCR（利用者住所地ベース、全国＝100）は次のとおりです。</w:t>
      </w:r>
    </w:p>
    <w:p>
      <w:pPr>
        <w:keepNext/>
        <w:spacing w:before="200" w:after="40"/>
      </w:pPr>
      <w:r>
        <w:rPr>
          <w:rFonts w:ascii="游ゴシック" w:hAnsi="游ゴシック" w:eastAsia="游ゴシック"/>
          <w:b/>
          <w:i w:val="0"/>
          <w:color w:val="1F4D78"/>
          <w:sz w:val="22"/>
        </w:rPr>
        <w:t>【表132】資料編12　地域分析の指標（国の基本指針の案の別表1）（2）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77"/>
        <w:gridCol w:w="1077"/>
        <w:gridCol w:w="1077"/>
        <w:gridCol w:w="1134"/>
        <w:gridCol w:w="1077"/>
        <w:gridCol w:w="1134"/>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県中圏域</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福島県</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175"/>
            <w:vAlign w:val="center"/>
          </w:tcPr>
          <w:p>
            <w:pPr>
              <w:spacing w:before="20" w:after="20"/>
            </w:pPr>
            <w:r>
              <w:rPr>
                <w:rFonts w:ascii="游ゴシック" w:hAnsi="游ゴシック" w:eastAsia="游ゴシック"/>
                <w:b w:val="0"/>
                <w:i w:val="0"/>
                <w:sz w:val="17"/>
              </w:rPr>
              <w:t>介護給付系</w:t>
            </w:r>
          </w:p>
        </w:tc>
        <w:tc>
          <w:tcPr>
            <w:tcW w:type="dxa" w:w="1077"/>
            <w:vAlign w:val="center"/>
          </w:tcPr>
          <w:p>
            <w:pPr>
              <w:spacing w:before="20" w:after="20"/>
              <w:jc w:val="right"/>
            </w:pPr>
            <w:r>
              <w:rPr>
                <w:rFonts w:ascii="游ゴシック" w:hAnsi="游ゴシック" w:eastAsia="游ゴシック"/>
                <w:b w:val="0"/>
                <w:i w:val="0"/>
                <w:sz w:val="17"/>
              </w:rPr>
              <w:t>76.9</w:t>
            </w:r>
          </w:p>
        </w:tc>
        <w:tc>
          <w:tcPr>
            <w:tcW w:type="dxa" w:w="1077"/>
            <w:vAlign w:val="center"/>
          </w:tcPr>
          <w:p>
            <w:pPr>
              <w:spacing w:before="20" w:after="20"/>
              <w:jc w:val="right"/>
            </w:pPr>
            <w:r>
              <w:rPr>
                <w:rFonts w:ascii="游ゴシック" w:hAnsi="游ゴシック" w:eastAsia="游ゴシック"/>
                <w:b w:val="0"/>
                <w:i w:val="0"/>
                <w:sz w:val="17"/>
              </w:rPr>
              <w:t>73.8</w:t>
            </w:r>
          </w:p>
        </w:tc>
        <w:tc>
          <w:tcPr>
            <w:tcW w:type="dxa" w:w="1077"/>
            <w:vAlign w:val="center"/>
          </w:tcPr>
          <w:p>
            <w:pPr>
              <w:spacing w:before="20" w:after="20"/>
              <w:jc w:val="right"/>
            </w:pPr>
            <w:r>
              <w:rPr>
                <w:rFonts w:ascii="游ゴシック" w:hAnsi="游ゴシック" w:eastAsia="游ゴシック"/>
                <w:b/>
                <w:i w:val="0"/>
                <w:sz w:val="17"/>
              </w:rPr>
              <w:t>73.0</w:t>
            </w:r>
          </w:p>
        </w:tc>
        <w:tc>
          <w:tcPr>
            <w:tcW w:type="dxa" w:w="1134"/>
            <w:vAlign w:val="center"/>
          </w:tcPr>
          <w:p>
            <w:pPr>
              <w:spacing w:before="20" w:after="20"/>
              <w:jc w:val="right"/>
            </w:pPr>
            <w:r>
              <w:rPr>
                <w:rFonts w:ascii="游ゴシック" w:hAnsi="游ゴシック" w:eastAsia="游ゴシック"/>
                <w:b w:val="0"/>
                <w:i w:val="0"/>
                <w:sz w:val="17"/>
              </w:rPr>
              <w:t>83.7</w:t>
            </w:r>
          </w:p>
        </w:tc>
        <w:tc>
          <w:tcPr>
            <w:tcW w:type="dxa" w:w="1077"/>
            <w:vAlign w:val="center"/>
          </w:tcPr>
          <w:p>
            <w:pPr>
              <w:spacing w:before="20" w:after="20"/>
              <w:jc w:val="right"/>
            </w:pPr>
            <w:r>
              <w:rPr>
                <w:rFonts w:ascii="游ゴシック" w:hAnsi="游ゴシック" w:eastAsia="游ゴシック"/>
                <w:b w:val="0"/>
                <w:i w:val="0"/>
                <w:sz w:val="17"/>
              </w:rPr>
              <w:t>87.7</w:t>
            </w:r>
          </w:p>
        </w:tc>
        <w:tc>
          <w:tcPr>
            <w:tcW w:type="dxa" w:w="1134"/>
            <w:vAlign w:val="center"/>
          </w:tcPr>
          <w:p>
            <w:pPr>
              <w:spacing w:before="20" w:after="20"/>
              <w:jc w:val="right"/>
            </w:pPr>
            <w:r>
              <w:rPr>
                <w:rFonts w:ascii="游ゴシック" w:hAnsi="游ゴシック" w:eastAsia="游ゴシック"/>
                <w:b w:val="0"/>
                <w:i w:val="0"/>
                <w:sz w:val="17"/>
              </w:rPr>
              <w:t>29位</w:t>
            </w:r>
          </w:p>
        </w:tc>
      </w:tr>
      <w:tr>
        <w:tc>
          <w:tcPr>
            <w:tcW w:type="dxa" w:w="3175"/>
            <w:vAlign w:val="center"/>
          </w:tcPr>
          <w:p>
            <w:pPr>
              <w:spacing w:before="20" w:after="20"/>
            </w:pPr>
            <w:r>
              <w:rPr>
                <w:rFonts w:ascii="游ゴシック" w:hAnsi="游ゴシック" w:eastAsia="游ゴシック"/>
                <w:b w:val="0"/>
                <w:i w:val="0"/>
                <w:sz w:val="17"/>
              </w:rPr>
              <w:t>訪問系</w:t>
            </w:r>
          </w:p>
        </w:tc>
        <w:tc>
          <w:tcPr>
            <w:tcW w:type="dxa" w:w="1077"/>
            <w:vAlign w:val="center"/>
          </w:tcPr>
          <w:p>
            <w:pPr>
              <w:spacing w:before="20" w:after="20"/>
              <w:jc w:val="right"/>
            </w:pPr>
            <w:r>
              <w:rPr>
                <w:rFonts w:ascii="游ゴシック" w:hAnsi="游ゴシック" w:eastAsia="游ゴシック"/>
                <w:b w:val="0"/>
                <w:i w:val="0"/>
                <w:sz w:val="17"/>
              </w:rPr>
              <w:t>39.1</w:t>
            </w:r>
          </w:p>
        </w:tc>
        <w:tc>
          <w:tcPr>
            <w:tcW w:type="dxa" w:w="1077"/>
            <w:vAlign w:val="center"/>
          </w:tcPr>
          <w:p>
            <w:pPr>
              <w:spacing w:before="20" w:after="20"/>
              <w:jc w:val="right"/>
            </w:pPr>
            <w:r>
              <w:rPr>
                <w:rFonts w:ascii="游ゴシック" w:hAnsi="游ゴシック" w:eastAsia="游ゴシック"/>
                <w:b w:val="0"/>
                <w:i w:val="0"/>
                <w:sz w:val="17"/>
              </w:rPr>
              <w:t>34.4</w:t>
            </w:r>
          </w:p>
        </w:tc>
        <w:tc>
          <w:tcPr>
            <w:tcW w:type="dxa" w:w="1077"/>
            <w:vAlign w:val="center"/>
          </w:tcPr>
          <w:p>
            <w:pPr>
              <w:spacing w:before="20" w:after="20"/>
              <w:jc w:val="right"/>
            </w:pPr>
            <w:r>
              <w:rPr>
                <w:rFonts w:ascii="游ゴシック" w:hAnsi="游ゴシック" w:eastAsia="游ゴシック"/>
                <w:b/>
                <w:i w:val="0"/>
                <w:sz w:val="17"/>
              </w:rPr>
              <w:t>33.4</w:t>
            </w:r>
          </w:p>
        </w:tc>
        <w:tc>
          <w:tcPr>
            <w:tcW w:type="dxa" w:w="1134"/>
            <w:vAlign w:val="center"/>
          </w:tcPr>
          <w:p>
            <w:pPr>
              <w:spacing w:before="20" w:after="20"/>
              <w:jc w:val="right"/>
            </w:pPr>
            <w:r>
              <w:rPr>
                <w:rFonts w:ascii="游ゴシック" w:hAnsi="游ゴシック" w:eastAsia="游ゴシック"/>
                <w:b w:val="0"/>
                <w:i w:val="0"/>
                <w:sz w:val="17"/>
              </w:rPr>
              <w:t>59.5</w:t>
            </w:r>
          </w:p>
        </w:tc>
        <w:tc>
          <w:tcPr>
            <w:tcW w:type="dxa" w:w="1077"/>
            <w:vAlign w:val="center"/>
          </w:tcPr>
          <w:p>
            <w:pPr>
              <w:spacing w:before="20" w:after="20"/>
              <w:jc w:val="right"/>
            </w:pPr>
            <w:r>
              <w:rPr>
                <w:rFonts w:ascii="游ゴシック" w:hAnsi="游ゴシック" w:eastAsia="游ゴシック"/>
                <w:b w:val="0"/>
                <w:i w:val="0"/>
                <w:sz w:val="17"/>
              </w:rPr>
              <w:t>58.0</w:t>
            </w:r>
          </w:p>
        </w:tc>
        <w:tc>
          <w:tcPr>
            <w:tcW w:type="dxa" w:w="1134"/>
            <w:vAlign w:val="center"/>
          </w:tcPr>
          <w:p>
            <w:pPr>
              <w:spacing w:before="20" w:after="20"/>
              <w:jc w:val="right"/>
            </w:pPr>
            <w:r>
              <w:rPr>
                <w:rFonts w:ascii="游ゴシック" w:hAnsi="游ゴシック" w:eastAsia="游ゴシック"/>
                <w:b w:val="0"/>
                <w:i w:val="0"/>
                <w:sz w:val="17"/>
              </w:rPr>
              <w:t>34位</w:t>
            </w:r>
          </w:p>
        </w:tc>
      </w:tr>
      <w:tr>
        <w:tc>
          <w:tcPr>
            <w:tcW w:type="dxa" w:w="3175"/>
            <w:vAlign w:val="center"/>
          </w:tcPr>
          <w:p>
            <w:pPr>
              <w:spacing w:before="20" w:after="20"/>
            </w:pPr>
            <w:r>
              <w:rPr>
                <w:rFonts w:ascii="游ゴシック" w:hAnsi="游ゴシック" w:eastAsia="游ゴシック"/>
                <w:b w:val="0"/>
                <w:i w:val="0"/>
                <w:sz w:val="17"/>
              </w:rPr>
              <w:t>通所系</w:t>
            </w:r>
          </w:p>
        </w:tc>
        <w:tc>
          <w:tcPr>
            <w:tcW w:type="dxa" w:w="1077"/>
            <w:vAlign w:val="center"/>
          </w:tcPr>
          <w:p>
            <w:pPr>
              <w:spacing w:before="20" w:after="20"/>
              <w:jc w:val="right"/>
            </w:pPr>
            <w:r>
              <w:rPr>
                <w:rFonts w:ascii="游ゴシック" w:hAnsi="游ゴシック" w:eastAsia="游ゴシック"/>
                <w:b w:val="0"/>
                <w:i w:val="0"/>
                <w:sz w:val="17"/>
              </w:rPr>
              <w:t>96.4</w:t>
            </w:r>
          </w:p>
        </w:tc>
        <w:tc>
          <w:tcPr>
            <w:tcW w:type="dxa" w:w="1077"/>
            <w:vAlign w:val="center"/>
          </w:tcPr>
          <w:p>
            <w:pPr>
              <w:spacing w:before="20" w:after="20"/>
              <w:jc w:val="right"/>
            </w:pPr>
            <w:r>
              <w:rPr>
                <w:rFonts w:ascii="游ゴシック" w:hAnsi="游ゴシック" w:eastAsia="游ゴシック"/>
                <w:b w:val="0"/>
                <w:i w:val="0"/>
                <w:sz w:val="17"/>
              </w:rPr>
              <w:t>93.3</w:t>
            </w:r>
          </w:p>
        </w:tc>
        <w:tc>
          <w:tcPr>
            <w:tcW w:type="dxa" w:w="1077"/>
            <w:vAlign w:val="center"/>
          </w:tcPr>
          <w:p>
            <w:pPr>
              <w:spacing w:before="20" w:after="20"/>
              <w:jc w:val="right"/>
            </w:pPr>
            <w:r>
              <w:rPr>
                <w:rFonts w:ascii="游ゴシック" w:hAnsi="游ゴシック" w:eastAsia="游ゴシック"/>
                <w:b/>
                <w:i w:val="0"/>
                <w:sz w:val="17"/>
              </w:rPr>
              <w:t>90.2</w:t>
            </w:r>
          </w:p>
        </w:tc>
        <w:tc>
          <w:tcPr>
            <w:tcW w:type="dxa" w:w="1134"/>
            <w:vAlign w:val="center"/>
          </w:tcPr>
          <w:p>
            <w:pPr>
              <w:spacing w:before="20" w:after="20"/>
              <w:jc w:val="right"/>
            </w:pPr>
            <w:r>
              <w:rPr>
                <w:rFonts w:ascii="游ゴシック" w:hAnsi="游ゴシック" w:eastAsia="游ゴシック"/>
                <w:b w:val="0"/>
                <w:i w:val="0"/>
                <w:sz w:val="17"/>
              </w:rPr>
              <w:t>97.1</w:t>
            </w:r>
          </w:p>
        </w:tc>
        <w:tc>
          <w:tcPr>
            <w:tcW w:type="dxa" w:w="1077"/>
            <w:vAlign w:val="center"/>
          </w:tcPr>
          <w:p>
            <w:pPr>
              <w:spacing w:before="20" w:after="20"/>
              <w:jc w:val="right"/>
            </w:pPr>
            <w:r>
              <w:rPr>
                <w:rFonts w:ascii="游ゴシック" w:hAnsi="游ゴシック" w:eastAsia="游ゴシック"/>
                <w:b w:val="0"/>
                <w:i w:val="0"/>
                <w:sz w:val="17"/>
              </w:rPr>
              <w:t>98.4</w:t>
            </w:r>
          </w:p>
        </w:tc>
        <w:tc>
          <w:tcPr>
            <w:tcW w:type="dxa" w:w="1134"/>
            <w:vAlign w:val="center"/>
          </w:tcPr>
          <w:p>
            <w:pPr>
              <w:spacing w:before="20" w:after="20"/>
              <w:jc w:val="right"/>
            </w:pPr>
            <w:r>
              <w:rPr>
                <w:rFonts w:ascii="游ゴシック" w:hAnsi="游ゴシック" w:eastAsia="游ゴシック"/>
                <w:b w:val="0"/>
                <w:i w:val="0"/>
                <w:sz w:val="17"/>
              </w:rPr>
              <w:t>23位</w:t>
            </w:r>
          </w:p>
        </w:tc>
      </w:tr>
      <w:tr>
        <w:tc>
          <w:tcPr>
            <w:tcW w:type="dxa" w:w="3175"/>
            <w:vAlign w:val="center"/>
          </w:tcPr>
          <w:p>
            <w:pPr>
              <w:spacing w:before="20" w:after="20"/>
            </w:pPr>
            <w:r>
              <w:rPr>
                <w:rFonts w:ascii="游ゴシック" w:hAnsi="游ゴシック" w:eastAsia="游ゴシック"/>
                <w:b w:val="0"/>
                <w:i w:val="0"/>
                <w:sz w:val="17"/>
              </w:rPr>
              <w:t>短期入所系</w:t>
            </w:r>
          </w:p>
        </w:tc>
        <w:tc>
          <w:tcPr>
            <w:tcW w:type="dxa" w:w="1077"/>
            <w:vAlign w:val="center"/>
          </w:tcPr>
          <w:p>
            <w:pPr>
              <w:spacing w:before="20" w:after="20"/>
              <w:jc w:val="right"/>
            </w:pPr>
            <w:r>
              <w:rPr>
                <w:rFonts w:ascii="游ゴシック" w:hAnsi="游ゴシック" w:eastAsia="游ゴシック"/>
                <w:b w:val="0"/>
                <w:i w:val="0"/>
                <w:sz w:val="17"/>
              </w:rPr>
              <w:t>117.0</w:t>
            </w:r>
          </w:p>
        </w:tc>
        <w:tc>
          <w:tcPr>
            <w:tcW w:type="dxa" w:w="1077"/>
            <w:vAlign w:val="center"/>
          </w:tcPr>
          <w:p>
            <w:pPr>
              <w:spacing w:before="20" w:after="20"/>
              <w:jc w:val="right"/>
            </w:pPr>
            <w:r>
              <w:rPr>
                <w:rFonts w:ascii="游ゴシック" w:hAnsi="游ゴシック" w:eastAsia="游ゴシック"/>
                <w:b w:val="0"/>
                <w:i w:val="0"/>
                <w:sz w:val="17"/>
              </w:rPr>
              <w:t>81.6</w:t>
            </w:r>
          </w:p>
        </w:tc>
        <w:tc>
          <w:tcPr>
            <w:tcW w:type="dxa" w:w="1077"/>
            <w:vAlign w:val="center"/>
          </w:tcPr>
          <w:p>
            <w:pPr>
              <w:spacing w:before="20" w:after="20"/>
              <w:jc w:val="right"/>
            </w:pPr>
            <w:r>
              <w:rPr>
                <w:rFonts w:ascii="游ゴシック" w:hAnsi="游ゴシック" w:eastAsia="游ゴシック"/>
                <w:b/>
                <w:i w:val="0"/>
                <w:sz w:val="17"/>
              </w:rPr>
              <w:t>92.0</w:t>
            </w:r>
          </w:p>
        </w:tc>
        <w:tc>
          <w:tcPr>
            <w:tcW w:type="dxa" w:w="1134"/>
            <w:vAlign w:val="center"/>
          </w:tcPr>
          <w:p>
            <w:pPr>
              <w:spacing w:before="20" w:after="20"/>
              <w:jc w:val="right"/>
            </w:pPr>
            <w:r>
              <w:rPr>
                <w:rFonts w:ascii="游ゴシック" w:hAnsi="游ゴシック" w:eastAsia="游ゴシック"/>
                <w:b w:val="0"/>
                <w:i w:val="0"/>
                <w:sz w:val="17"/>
              </w:rPr>
              <w:t>136.4</w:t>
            </w:r>
          </w:p>
        </w:tc>
        <w:tc>
          <w:tcPr>
            <w:tcW w:type="dxa" w:w="1077"/>
            <w:vAlign w:val="center"/>
          </w:tcPr>
          <w:p>
            <w:pPr>
              <w:spacing w:before="20" w:after="20"/>
              <w:jc w:val="right"/>
            </w:pPr>
            <w:r>
              <w:rPr>
                <w:rFonts w:ascii="游ゴシック" w:hAnsi="游ゴシック" w:eastAsia="游ゴシック"/>
                <w:b w:val="0"/>
                <w:i w:val="0"/>
                <w:sz w:val="17"/>
              </w:rPr>
              <w:t>134.5</w:t>
            </w:r>
          </w:p>
        </w:tc>
        <w:tc>
          <w:tcPr>
            <w:tcW w:type="dxa" w:w="1134"/>
            <w:vAlign w:val="center"/>
          </w:tcPr>
          <w:p>
            <w:pPr>
              <w:spacing w:before="20" w:after="20"/>
              <w:jc w:val="right"/>
            </w:pPr>
            <w:r>
              <w:rPr>
                <w:rFonts w:ascii="游ゴシック" w:hAnsi="游ゴシック" w:eastAsia="游ゴシック"/>
                <w:b w:val="0"/>
                <w:i w:val="0"/>
                <w:sz w:val="17"/>
              </w:rPr>
              <w:t>49位</w:t>
            </w:r>
          </w:p>
        </w:tc>
      </w:tr>
      <w:tr>
        <w:tc>
          <w:tcPr>
            <w:tcW w:type="dxa" w:w="3175"/>
            <w:vAlign w:val="center"/>
          </w:tcPr>
          <w:p>
            <w:pPr>
              <w:spacing w:before="20" w:after="20"/>
            </w:pPr>
            <w:r>
              <w:rPr>
                <w:rFonts w:ascii="游ゴシック" w:hAnsi="游ゴシック" w:eastAsia="游ゴシック"/>
                <w:b w:val="0"/>
                <w:i w:val="0"/>
                <w:sz w:val="17"/>
              </w:rPr>
              <w:t>多機能系</w:t>
            </w:r>
          </w:p>
        </w:tc>
        <w:tc>
          <w:tcPr>
            <w:tcW w:type="dxa" w:w="1077"/>
            <w:vAlign w:val="center"/>
          </w:tcPr>
          <w:p>
            <w:pPr>
              <w:spacing w:before="20" w:after="20"/>
              <w:jc w:val="right"/>
            </w:pPr>
            <w:r>
              <w:rPr>
                <w:rFonts w:ascii="游ゴシック" w:hAnsi="游ゴシック" w:eastAsia="游ゴシック"/>
                <w:b w:val="0"/>
                <w:i w:val="0"/>
                <w:sz w:val="17"/>
              </w:rPr>
              <w:t>224.8</w:t>
            </w:r>
          </w:p>
        </w:tc>
        <w:tc>
          <w:tcPr>
            <w:tcW w:type="dxa" w:w="1077"/>
            <w:vAlign w:val="center"/>
          </w:tcPr>
          <w:p>
            <w:pPr>
              <w:spacing w:before="20" w:after="20"/>
              <w:jc w:val="right"/>
            </w:pPr>
            <w:r>
              <w:rPr>
                <w:rFonts w:ascii="游ゴシック" w:hAnsi="游ゴシック" w:eastAsia="游ゴシック"/>
                <w:b w:val="0"/>
                <w:i w:val="0"/>
                <w:sz w:val="17"/>
              </w:rPr>
              <w:t>206.8</w:t>
            </w:r>
          </w:p>
        </w:tc>
        <w:tc>
          <w:tcPr>
            <w:tcW w:type="dxa" w:w="1077"/>
            <w:vAlign w:val="center"/>
          </w:tcPr>
          <w:p>
            <w:pPr>
              <w:spacing w:before="20" w:after="20"/>
              <w:jc w:val="right"/>
            </w:pPr>
            <w:r>
              <w:rPr>
                <w:rFonts w:ascii="游ゴシック" w:hAnsi="游ゴシック" w:eastAsia="游ゴシック"/>
                <w:b/>
                <w:i w:val="0"/>
                <w:sz w:val="17"/>
              </w:rPr>
              <w:t>221.3</w:t>
            </w:r>
          </w:p>
        </w:tc>
        <w:tc>
          <w:tcPr>
            <w:tcW w:type="dxa" w:w="1134"/>
            <w:vAlign w:val="center"/>
          </w:tcPr>
          <w:p>
            <w:pPr>
              <w:spacing w:before="20" w:after="20"/>
              <w:jc w:val="right"/>
            </w:pPr>
            <w:r>
              <w:rPr>
                <w:rFonts w:ascii="游ゴシック" w:hAnsi="游ゴシック" w:eastAsia="游ゴシック"/>
                <w:b w:val="0"/>
                <w:i w:val="0"/>
                <w:sz w:val="17"/>
              </w:rPr>
              <w:t>150.8</w:t>
            </w:r>
          </w:p>
        </w:tc>
        <w:tc>
          <w:tcPr>
            <w:tcW w:type="dxa" w:w="1077"/>
            <w:vAlign w:val="center"/>
          </w:tcPr>
          <w:p>
            <w:pPr>
              <w:spacing w:before="20" w:after="20"/>
              <w:jc w:val="right"/>
            </w:pPr>
            <w:r>
              <w:rPr>
                <w:rFonts w:ascii="游ゴシック" w:hAnsi="游ゴシック" w:eastAsia="游ゴシック"/>
                <w:b w:val="0"/>
                <w:i w:val="0"/>
                <w:sz w:val="17"/>
              </w:rPr>
              <w:t>121.1</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施設系</w:t>
            </w:r>
          </w:p>
        </w:tc>
        <w:tc>
          <w:tcPr>
            <w:tcW w:type="dxa" w:w="1077"/>
            <w:vAlign w:val="center"/>
          </w:tcPr>
          <w:p>
            <w:pPr>
              <w:spacing w:before="20" w:after="20"/>
              <w:jc w:val="right"/>
            </w:pPr>
            <w:r>
              <w:rPr>
                <w:rFonts w:ascii="游ゴシック" w:hAnsi="游ゴシック" w:eastAsia="游ゴシック"/>
                <w:b w:val="0"/>
                <w:i w:val="0"/>
                <w:sz w:val="17"/>
              </w:rPr>
              <w:t>106.6</w:t>
            </w:r>
          </w:p>
        </w:tc>
        <w:tc>
          <w:tcPr>
            <w:tcW w:type="dxa" w:w="1077"/>
            <w:vAlign w:val="center"/>
          </w:tcPr>
          <w:p>
            <w:pPr>
              <w:spacing w:before="20" w:after="20"/>
              <w:jc w:val="right"/>
            </w:pPr>
            <w:r>
              <w:rPr>
                <w:rFonts w:ascii="游ゴシック" w:hAnsi="游ゴシック" w:eastAsia="游ゴシック"/>
                <w:b w:val="0"/>
                <w:i w:val="0"/>
                <w:sz w:val="17"/>
              </w:rPr>
              <w:t>107.9</w:t>
            </w:r>
          </w:p>
        </w:tc>
        <w:tc>
          <w:tcPr>
            <w:tcW w:type="dxa" w:w="1077"/>
            <w:vAlign w:val="center"/>
          </w:tcPr>
          <w:p>
            <w:pPr>
              <w:spacing w:before="20" w:after="20"/>
              <w:jc w:val="right"/>
            </w:pPr>
            <w:r>
              <w:rPr>
                <w:rFonts w:ascii="游ゴシック" w:hAnsi="游ゴシック" w:eastAsia="游ゴシック"/>
                <w:b/>
                <w:i w:val="0"/>
                <w:sz w:val="17"/>
              </w:rPr>
              <w:t>117.8</w:t>
            </w:r>
          </w:p>
        </w:tc>
        <w:tc>
          <w:tcPr>
            <w:tcW w:type="dxa" w:w="1134"/>
            <w:vAlign w:val="center"/>
          </w:tcPr>
          <w:p>
            <w:pPr>
              <w:spacing w:before="20" w:after="20"/>
              <w:jc w:val="right"/>
            </w:pPr>
            <w:r>
              <w:rPr>
                <w:rFonts w:ascii="游ゴシック" w:hAnsi="游ゴシック" w:eastAsia="游ゴシック"/>
                <w:b w:val="0"/>
                <w:i w:val="0"/>
                <w:sz w:val="17"/>
              </w:rPr>
              <w:t>106.3</w:t>
            </w:r>
          </w:p>
        </w:tc>
        <w:tc>
          <w:tcPr>
            <w:tcW w:type="dxa" w:w="1077"/>
            <w:vAlign w:val="center"/>
          </w:tcPr>
          <w:p>
            <w:pPr>
              <w:spacing w:before="20" w:after="20"/>
              <w:jc w:val="right"/>
            </w:pPr>
            <w:r>
              <w:rPr>
                <w:rFonts w:ascii="游ゴシック" w:hAnsi="游ゴシック" w:eastAsia="游ゴシック"/>
                <w:b w:val="0"/>
                <w:i w:val="0"/>
                <w:sz w:val="17"/>
              </w:rPr>
              <w:t>115.5</w:t>
            </w:r>
          </w:p>
        </w:tc>
        <w:tc>
          <w:tcPr>
            <w:tcW w:type="dxa" w:w="1134"/>
            <w:vAlign w:val="center"/>
          </w:tcPr>
          <w:p>
            <w:pPr>
              <w:spacing w:before="20" w:after="20"/>
              <w:jc w:val="right"/>
            </w:pPr>
            <w:r>
              <w:rPr>
                <w:rFonts w:ascii="游ゴシック" w:hAnsi="游ゴシック" w:eastAsia="游ゴシック"/>
                <w:b w:val="0"/>
                <w:i w:val="0"/>
                <w:sz w:val="17"/>
              </w:rPr>
              <w:t>43位</w:t>
            </w:r>
          </w:p>
        </w:tc>
      </w:tr>
      <w:tr>
        <w:tc>
          <w:tcPr>
            <w:tcW w:type="dxa" w:w="3175"/>
            <w:vAlign w:val="center"/>
          </w:tcPr>
          <w:p>
            <w:pPr>
              <w:spacing w:before="20" w:after="20"/>
            </w:pPr>
            <w:r>
              <w:rPr>
                <w:rFonts w:ascii="游ゴシック" w:hAnsi="游ゴシック" w:eastAsia="游ゴシック"/>
                <w:b w:val="0"/>
                <w:i w:val="0"/>
                <w:sz w:val="17"/>
              </w:rPr>
              <w:t>居住系</w:t>
            </w:r>
          </w:p>
        </w:tc>
        <w:tc>
          <w:tcPr>
            <w:tcW w:type="dxa" w:w="1077"/>
            <w:vAlign w:val="center"/>
          </w:tcPr>
          <w:p>
            <w:pPr>
              <w:spacing w:before="20" w:after="20"/>
              <w:jc w:val="right"/>
            </w:pPr>
            <w:r>
              <w:rPr>
                <w:rFonts w:ascii="游ゴシック" w:hAnsi="游ゴシック" w:eastAsia="游ゴシック"/>
                <w:b w:val="0"/>
                <w:i w:val="0"/>
                <w:sz w:val="17"/>
              </w:rPr>
              <w:t>88.5</w:t>
            </w:r>
          </w:p>
        </w:tc>
        <w:tc>
          <w:tcPr>
            <w:tcW w:type="dxa" w:w="1077"/>
            <w:vAlign w:val="center"/>
          </w:tcPr>
          <w:p>
            <w:pPr>
              <w:spacing w:before="20" w:after="20"/>
              <w:jc w:val="right"/>
            </w:pPr>
            <w:r>
              <w:rPr>
                <w:rFonts w:ascii="游ゴシック" w:hAnsi="游ゴシック" w:eastAsia="游ゴシック"/>
                <w:b w:val="0"/>
                <w:i w:val="0"/>
                <w:sz w:val="17"/>
              </w:rPr>
              <w:t>99.5</w:t>
            </w:r>
          </w:p>
        </w:tc>
        <w:tc>
          <w:tcPr>
            <w:tcW w:type="dxa" w:w="1077"/>
            <w:vAlign w:val="center"/>
          </w:tcPr>
          <w:p>
            <w:pPr>
              <w:spacing w:before="20" w:after="20"/>
              <w:jc w:val="right"/>
            </w:pPr>
            <w:r>
              <w:rPr>
                <w:rFonts w:ascii="游ゴシック" w:hAnsi="游ゴシック" w:eastAsia="游ゴシック"/>
                <w:b/>
                <w:i w:val="0"/>
                <w:sz w:val="17"/>
              </w:rPr>
              <w:t>96.3</w:t>
            </w:r>
          </w:p>
        </w:tc>
        <w:tc>
          <w:tcPr>
            <w:tcW w:type="dxa" w:w="1134"/>
            <w:vAlign w:val="center"/>
          </w:tcPr>
          <w:p>
            <w:pPr>
              <w:spacing w:before="20" w:after="20"/>
              <w:jc w:val="right"/>
            </w:pPr>
            <w:r>
              <w:rPr>
                <w:rFonts w:ascii="游ゴシック" w:hAnsi="游ゴシック" w:eastAsia="游ゴシック"/>
                <w:b w:val="0"/>
                <w:i w:val="0"/>
                <w:sz w:val="17"/>
              </w:rPr>
              <w:t>91.6</w:t>
            </w:r>
          </w:p>
        </w:tc>
        <w:tc>
          <w:tcPr>
            <w:tcW w:type="dxa" w:w="1077"/>
            <w:vAlign w:val="center"/>
          </w:tcPr>
          <w:p>
            <w:pPr>
              <w:spacing w:before="20" w:after="20"/>
              <w:jc w:val="right"/>
            </w:pPr>
            <w:r>
              <w:rPr>
                <w:rFonts w:ascii="游ゴシック" w:hAnsi="游ゴシック" w:eastAsia="游ゴシック"/>
                <w:b w:val="0"/>
                <w:i w:val="0"/>
                <w:sz w:val="17"/>
              </w:rPr>
              <w:t>84.3</w:t>
            </w:r>
          </w:p>
        </w:tc>
        <w:tc>
          <w:tcPr>
            <w:tcW w:type="dxa" w:w="1134"/>
            <w:vAlign w:val="center"/>
          </w:tcPr>
          <w:p>
            <w:pPr>
              <w:spacing w:before="20" w:after="20"/>
              <w:jc w:val="right"/>
            </w:pPr>
            <w:r>
              <w:rPr>
                <w:rFonts w:ascii="游ゴシック" w:hAnsi="游ゴシック" w:eastAsia="游ゴシック"/>
                <w:b w:val="0"/>
                <w:i w:val="0"/>
                <w:sz w:val="17"/>
              </w:rPr>
              <w:t>10位</w:t>
            </w:r>
          </w:p>
        </w:tc>
      </w:tr>
      <w:tr>
        <w:tc>
          <w:tcPr>
            <w:tcW w:type="dxa" w:w="3175"/>
            <w:vAlign w:val="center"/>
          </w:tcPr>
          <w:p>
            <w:pPr>
              <w:spacing w:before="20" w:after="20"/>
            </w:pPr>
            <w:r>
              <w:rPr>
                <w:rFonts w:ascii="游ゴシック" w:hAnsi="游ゴシック" w:eastAsia="游ゴシック"/>
                <w:b w:val="0"/>
                <w:i w:val="0"/>
                <w:sz w:val="17"/>
              </w:rPr>
              <w:t>訪問介護</w:t>
            </w:r>
          </w:p>
        </w:tc>
        <w:tc>
          <w:tcPr>
            <w:tcW w:type="dxa" w:w="1077"/>
            <w:vAlign w:val="center"/>
          </w:tcPr>
          <w:p>
            <w:pPr>
              <w:spacing w:before="20" w:after="20"/>
              <w:jc w:val="right"/>
            </w:pPr>
            <w:r>
              <w:rPr>
                <w:rFonts w:ascii="游ゴシック" w:hAnsi="游ゴシック" w:eastAsia="游ゴシック"/>
                <w:b w:val="0"/>
                <w:i w:val="0"/>
                <w:sz w:val="17"/>
              </w:rPr>
              <w:t>51.6</w:t>
            </w:r>
          </w:p>
        </w:tc>
        <w:tc>
          <w:tcPr>
            <w:tcW w:type="dxa" w:w="1077"/>
            <w:vAlign w:val="center"/>
          </w:tcPr>
          <w:p>
            <w:pPr>
              <w:spacing w:before="20" w:after="20"/>
              <w:jc w:val="right"/>
            </w:pPr>
            <w:r>
              <w:rPr>
                <w:rFonts w:ascii="游ゴシック" w:hAnsi="游ゴシック" w:eastAsia="游ゴシック"/>
                <w:b w:val="0"/>
                <w:i w:val="0"/>
                <w:sz w:val="17"/>
              </w:rPr>
              <w:t>47.9</w:t>
            </w:r>
          </w:p>
        </w:tc>
        <w:tc>
          <w:tcPr>
            <w:tcW w:type="dxa" w:w="1077"/>
            <w:vAlign w:val="center"/>
          </w:tcPr>
          <w:p>
            <w:pPr>
              <w:spacing w:before="20" w:after="20"/>
              <w:jc w:val="right"/>
            </w:pPr>
            <w:r>
              <w:rPr>
                <w:rFonts w:ascii="游ゴシック" w:hAnsi="游ゴシック" w:eastAsia="游ゴシック"/>
                <w:b/>
                <w:i w:val="0"/>
                <w:sz w:val="17"/>
              </w:rPr>
              <w:t>47.5</w:t>
            </w:r>
          </w:p>
        </w:tc>
        <w:tc>
          <w:tcPr>
            <w:tcW w:type="dxa" w:w="1134"/>
            <w:vAlign w:val="center"/>
          </w:tcPr>
          <w:p>
            <w:pPr>
              <w:spacing w:before="20" w:after="20"/>
              <w:jc w:val="right"/>
            </w:pPr>
            <w:r>
              <w:rPr>
                <w:rFonts w:ascii="游ゴシック" w:hAnsi="游ゴシック" w:eastAsia="游ゴシック"/>
                <w:b w:val="0"/>
                <w:i w:val="0"/>
                <w:sz w:val="17"/>
              </w:rPr>
              <w:t>56.5</w:t>
            </w:r>
          </w:p>
        </w:tc>
        <w:tc>
          <w:tcPr>
            <w:tcW w:type="dxa" w:w="1077"/>
            <w:vAlign w:val="center"/>
          </w:tcPr>
          <w:p>
            <w:pPr>
              <w:spacing w:before="20" w:after="20"/>
              <w:jc w:val="right"/>
            </w:pPr>
            <w:r>
              <w:rPr>
                <w:rFonts w:ascii="游ゴシック" w:hAnsi="游ゴシック" w:eastAsia="游ゴシック"/>
                <w:b w:val="0"/>
                <w:i w:val="0"/>
                <w:sz w:val="17"/>
              </w:rPr>
              <w:t>72.3</w:t>
            </w:r>
          </w:p>
        </w:tc>
        <w:tc>
          <w:tcPr>
            <w:tcW w:type="dxa" w:w="1134"/>
            <w:vAlign w:val="center"/>
          </w:tcPr>
          <w:p>
            <w:pPr>
              <w:spacing w:before="20" w:after="20"/>
              <w:jc w:val="right"/>
            </w:pPr>
            <w:r>
              <w:rPr>
                <w:rFonts w:ascii="游ゴシック" w:hAnsi="游ゴシック" w:eastAsia="游ゴシック"/>
                <w:b w:val="0"/>
                <w:i w:val="0"/>
                <w:sz w:val="17"/>
              </w:rPr>
              <w:t>26位</w:t>
            </w:r>
          </w:p>
        </w:tc>
      </w:tr>
      <w:tr>
        <w:tc>
          <w:tcPr>
            <w:tcW w:type="dxa" w:w="3175"/>
            <w:vAlign w:val="center"/>
          </w:tcPr>
          <w:p>
            <w:pPr>
              <w:spacing w:before="20" w:after="20"/>
            </w:pPr>
            <w:r>
              <w:rPr>
                <w:rFonts w:ascii="游ゴシック" w:hAnsi="游ゴシック" w:eastAsia="游ゴシック"/>
                <w:b w:val="0"/>
                <w:i w:val="0"/>
                <w:sz w:val="17"/>
              </w:rPr>
              <w:t>訪問介護（通院等乗降介助）</w:t>
            </w:r>
          </w:p>
        </w:tc>
        <w:tc>
          <w:tcPr>
            <w:tcW w:type="dxa" w:w="1077"/>
            <w:vAlign w:val="center"/>
          </w:tcPr>
          <w:p>
            <w:pPr>
              <w:spacing w:before="20" w:after="20"/>
              <w:jc w:val="right"/>
            </w:pPr>
            <w:r>
              <w:rPr>
                <w:rFonts w:ascii="游ゴシック" w:hAnsi="游ゴシック" w:eastAsia="游ゴシック"/>
                <w:b w:val="0"/>
                <w:i w:val="0"/>
                <w:sz w:val="17"/>
              </w:rPr>
              <w:t>548.4</w:t>
            </w:r>
          </w:p>
        </w:tc>
        <w:tc>
          <w:tcPr>
            <w:tcW w:type="dxa" w:w="1077"/>
            <w:vAlign w:val="center"/>
          </w:tcPr>
          <w:p>
            <w:pPr>
              <w:spacing w:before="20" w:after="20"/>
              <w:jc w:val="right"/>
            </w:pPr>
            <w:r>
              <w:rPr>
                <w:rFonts w:ascii="游ゴシック" w:hAnsi="游ゴシック" w:eastAsia="游ゴシック"/>
                <w:b w:val="0"/>
                <w:i w:val="0"/>
                <w:sz w:val="17"/>
              </w:rPr>
              <w:t>493.0</w:t>
            </w:r>
          </w:p>
        </w:tc>
        <w:tc>
          <w:tcPr>
            <w:tcW w:type="dxa" w:w="1077"/>
            <w:vAlign w:val="center"/>
          </w:tcPr>
          <w:p>
            <w:pPr>
              <w:spacing w:before="20" w:after="20"/>
              <w:jc w:val="right"/>
            </w:pPr>
            <w:r>
              <w:rPr>
                <w:rFonts w:ascii="游ゴシック" w:hAnsi="游ゴシック" w:eastAsia="游ゴシック"/>
                <w:b/>
                <w:i w:val="0"/>
                <w:sz w:val="17"/>
              </w:rPr>
              <w:t>441.5</w:t>
            </w:r>
          </w:p>
        </w:tc>
        <w:tc>
          <w:tcPr>
            <w:tcW w:type="dxa" w:w="1134"/>
            <w:vAlign w:val="center"/>
          </w:tcPr>
          <w:p>
            <w:pPr>
              <w:spacing w:before="20" w:after="20"/>
              <w:jc w:val="right"/>
            </w:pPr>
            <w:r>
              <w:rPr>
                <w:rFonts w:ascii="游ゴシック" w:hAnsi="游ゴシック" w:eastAsia="游ゴシック"/>
                <w:b w:val="0"/>
                <w:i w:val="0"/>
                <w:sz w:val="17"/>
              </w:rPr>
              <w:t>366.4</w:t>
            </w:r>
          </w:p>
        </w:tc>
        <w:tc>
          <w:tcPr>
            <w:tcW w:type="dxa" w:w="1077"/>
            <w:vAlign w:val="center"/>
          </w:tcPr>
          <w:p>
            <w:pPr>
              <w:spacing w:before="20" w:after="20"/>
              <w:jc w:val="right"/>
            </w:pPr>
            <w:r>
              <w:rPr>
                <w:rFonts w:ascii="游ゴシック" w:hAnsi="游ゴシック" w:eastAsia="游ゴシック"/>
                <w:b w:val="0"/>
                <w:i w:val="0"/>
                <w:sz w:val="17"/>
              </w:rPr>
              <w:t>293.5</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訪問看護</w:t>
            </w:r>
          </w:p>
        </w:tc>
        <w:tc>
          <w:tcPr>
            <w:tcW w:type="dxa" w:w="1077"/>
            <w:vAlign w:val="center"/>
          </w:tcPr>
          <w:p>
            <w:pPr>
              <w:spacing w:before="20" w:after="20"/>
              <w:jc w:val="right"/>
            </w:pPr>
            <w:r>
              <w:rPr>
                <w:rFonts w:ascii="游ゴシック" w:hAnsi="游ゴシック" w:eastAsia="游ゴシック"/>
                <w:b w:val="0"/>
                <w:i w:val="0"/>
                <w:sz w:val="17"/>
              </w:rPr>
              <w:t>79.3</w:t>
            </w:r>
          </w:p>
        </w:tc>
        <w:tc>
          <w:tcPr>
            <w:tcW w:type="dxa" w:w="1077"/>
            <w:vAlign w:val="center"/>
          </w:tcPr>
          <w:p>
            <w:pPr>
              <w:spacing w:before="20" w:after="20"/>
              <w:jc w:val="right"/>
            </w:pPr>
            <w:r>
              <w:rPr>
                <w:rFonts w:ascii="游ゴシック" w:hAnsi="游ゴシック" w:eastAsia="游ゴシック"/>
                <w:b w:val="0"/>
                <w:i w:val="0"/>
                <w:sz w:val="17"/>
              </w:rPr>
              <w:t>65.6</w:t>
            </w:r>
          </w:p>
        </w:tc>
        <w:tc>
          <w:tcPr>
            <w:tcW w:type="dxa" w:w="1077"/>
            <w:vAlign w:val="center"/>
          </w:tcPr>
          <w:p>
            <w:pPr>
              <w:spacing w:before="20" w:after="20"/>
              <w:jc w:val="right"/>
            </w:pPr>
            <w:r>
              <w:rPr>
                <w:rFonts w:ascii="游ゴシック" w:hAnsi="游ゴシック" w:eastAsia="游ゴシック"/>
                <w:b/>
                <w:i w:val="0"/>
                <w:sz w:val="17"/>
              </w:rPr>
              <w:t>60.4</w:t>
            </w:r>
          </w:p>
        </w:tc>
        <w:tc>
          <w:tcPr>
            <w:tcW w:type="dxa" w:w="1134"/>
            <w:vAlign w:val="center"/>
          </w:tcPr>
          <w:p>
            <w:pPr>
              <w:spacing w:before="20" w:after="20"/>
              <w:jc w:val="right"/>
            </w:pPr>
            <w:r>
              <w:rPr>
                <w:rFonts w:ascii="游ゴシック" w:hAnsi="游ゴシック" w:eastAsia="游ゴシック"/>
                <w:b w:val="0"/>
                <w:i w:val="0"/>
                <w:sz w:val="17"/>
              </w:rPr>
              <w:t>92.1</w:t>
            </w:r>
          </w:p>
        </w:tc>
        <w:tc>
          <w:tcPr>
            <w:tcW w:type="dxa" w:w="1077"/>
            <w:vAlign w:val="center"/>
          </w:tcPr>
          <w:p>
            <w:pPr>
              <w:spacing w:before="20" w:after="20"/>
              <w:jc w:val="right"/>
            </w:pPr>
            <w:r>
              <w:rPr>
                <w:rFonts w:ascii="游ゴシック" w:hAnsi="游ゴシック" w:eastAsia="游ゴシック"/>
                <w:b w:val="0"/>
                <w:i w:val="0"/>
                <w:sz w:val="17"/>
              </w:rPr>
              <w:t>73.6</w:t>
            </w:r>
          </w:p>
        </w:tc>
        <w:tc>
          <w:tcPr>
            <w:tcW w:type="dxa" w:w="1134"/>
            <w:vAlign w:val="center"/>
          </w:tcPr>
          <w:p>
            <w:pPr>
              <w:spacing w:before="20" w:after="20"/>
              <w:jc w:val="right"/>
            </w:pPr>
            <w:r>
              <w:rPr>
                <w:rFonts w:ascii="游ゴシック" w:hAnsi="游ゴシック" w:eastAsia="游ゴシック"/>
                <w:b w:val="0"/>
                <w:i w:val="0"/>
                <w:sz w:val="17"/>
              </w:rPr>
              <w:t>25位</w:t>
            </w:r>
          </w:p>
        </w:tc>
      </w:tr>
      <w:tr>
        <w:tc>
          <w:tcPr>
            <w:tcW w:type="dxa" w:w="3175"/>
            <w:vAlign w:val="center"/>
          </w:tcPr>
          <w:p>
            <w:pPr>
              <w:spacing w:before="20" w:after="20"/>
            </w:pPr>
            <w:r>
              <w:rPr>
                <w:rFonts w:ascii="游ゴシック" w:hAnsi="游ゴシック" w:eastAsia="游ゴシック"/>
                <w:b w:val="0"/>
                <w:i w:val="0"/>
                <w:sz w:val="17"/>
              </w:rPr>
              <w:t>居宅療養管理指導</w:t>
            </w:r>
          </w:p>
        </w:tc>
        <w:tc>
          <w:tcPr>
            <w:tcW w:type="dxa" w:w="1077"/>
            <w:vAlign w:val="center"/>
          </w:tcPr>
          <w:p>
            <w:pPr>
              <w:spacing w:before="20" w:after="20"/>
              <w:jc w:val="right"/>
            </w:pPr>
            <w:r>
              <w:rPr>
                <w:rFonts w:ascii="游ゴシック" w:hAnsi="游ゴシック" w:eastAsia="游ゴシック"/>
                <w:b w:val="0"/>
                <w:i w:val="0"/>
                <w:sz w:val="17"/>
              </w:rPr>
              <w:t>8.5</w:t>
            </w:r>
          </w:p>
        </w:tc>
        <w:tc>
          <w:tcPr>
            <w:tcW w:type="dxa" w:w="1077"/>
            <w:vAlign w:val="center"/>
          </w:tcPr>
          <w:p>
            <w:pPr>
              <w:spacing w:before="20" w:after="20"/>
              <w:jc w:val="right"/>
            </w:pPr>
            <w:r>
              <w:rPr>
                <w:rFonts w:ascii="游ゴシック" w:hAnsi="游ゴシック" w:eastAsia="游ゴシック"/>
                <w:b w:val="0"/>
                <w:i w:val="0"/>
                <w:sz w:val="17"/>
              </w:rPr>
              <w:t>8.6</w:t>
            </w:r>
          </w:p>
        </w:tc>
        <w:tc>
          <w:tcPr>
            <w:tcW w:type="dxa" w:w="1077"/>
            <w:vAlign w:val="center"/>
          </w:tcPr>
          <w:p>
            <w:pPr>
              <w:spacing w:before="20" w:after="20"/>
              <w:jc w:val="right"/>
            </w:pPr>
            <w:r>
              <w:rPr>
                <w:rFonts w:ascii="游ゴシック" w:hAnsi="游ゴシック" w:eastAsia="游ゴシック"/>
                <w:b/>
                <w:i w:val="0"/>
                <w:sz w:val="17"/>
              </w:rPr>
              <w:t>7.2</w:t>
            </w:r>
          </w:p>
        </w:tc>
        <w:tc>
          <w:tcPr>
            <w:tcW w:type="dxa" w:w="1134"/>
            <w:vAlign w:val="center"/>
          </w:tcPr>
          <w:p>
            <w:pPr>
              <w:spacing w:before="20" w:after="20"/>
              <w:jc w:val="right"/>
            </w:pPr>
            <w:r>
              <w:rPr>
                <w:rFonts w:ascii="游ゴシック" w:hAnsi="游ゴシック" w:eastAsia="游ゴシック"/>
                <w:b w:val="0"/>
                <w:i w:val="0"/>
                <w:sz w:val="17"/>
              </w:rPr>
              <w:t>39.0</w:t>
            </w:r>
          </w:p>
        </w:tc>
        <w:tc>
          <w:tcPr>
            <w:tcW w:type="dxa" w:w="1077"/>
            <w:vAlign w:val="center"/>
          </w:tcPr>
          <w:p>
            <w:pPr>
              <w:spacing w:before="20" w:after="20"/>
              <w:jc w:val="right"/>
            </w:pPr>
            <w:r>
              <w:rPr>
                <w:rFonts w:ascii="游ゴシック" w:hAnsi="游ゴシック" w:eastAsia="游ゴシック"/>
                <w:b w:val="0"/>
                <w:i w:val="0"/>
                <w:sz w:val="17"/>
              </w:rPr>
              <w:t>33.3</w:t>
            </w:r>
          </w:p>
        </w:tc>
        <w:tc>
          <w:tcPr>
            <w:tcW w:type="dxa" w:w="1134"/>
            <w:vAlign w:val="center"/>
          </w:tcPr>
          <w:p>
            <w:pPr>
              <w:spacing w:before="20" w:after="20"/>
              <w:jc w:val="right"/>
            </w:pPr>
            <w:r>
              <w:rPr>
                <w:rFonts w:ascii="游ゴシック" w:hAnsi="游ゴシック" w:eastAsia="游ゴシック"/>
                <w:b w:val="0"/>
                <w:i w:val="0"/>
                <w:sz w:val="17"/>
              </w:rPr>
              <w:t>40位</w:t>
            </w:r>
          </w:p>
        </w:tc>
      </w:tr>
      <w:tr>
        <w:tc>
          <w:tcPr>
            <w:tcW w:type="dxa" w:w="3175"/>
            <w:vAlign w:val="center"/>
          </w:tcPr>
          <w:p>
            <w:pPr>
              <w:spacing w:before="20" w:after="20"/>
            </w:pPr>
            <w:r>
              <w:rPr>
                <w:rFonts w:ascii="游ゴシック" w:hAnsi="游ゴシック" w:eastAsia="游ゴシック"/>
                <w:b w:val="0"/>
                <w:i w:val="0"/>
                <w:sz w:val="17"/>
              </w:rPr>
              <w:t>通所リハビリテーション</w:t>
            </w:r>
          </w:p>
        </w:tc>
        <w:tc>
          <w:tcPr>
            <w:tcW w:type="dxa" w:w="1077"/>
            <w:vAlign w:val="center"/>
          </w:tcPr>
          <w:p>
            <w:pPr>
              <w:spacing w:before="20" w:after="20"/>
              <w:jc w:val="right"/>
            </w:pPr>
            <w:r>
              <w:rPr>
                <w:rFonts w:ascii="游ゴシック" w:hAnsi="游ゴシック" w:eastAsia="游ゴシック"/>
                <w:b w:val="0"/>
                <w:i w:val="0"/>
                <w:sz w:val="17"/>
              </w:rPr>
              <w:t>61.2</w:t>
            </w:r>
          </w:p>
        </w:tc>
        <w:tc>
          <w:tcPr>
            <w:tcW w:type="dxa" w:w="1077"/>
            <w:vAlign w:val="center"/>
          </w:tcPr>
          <w:p>
            <w:pPr>
              <w:spacing w:before="20" w:after="20"/>
              <w:jc w:val="right"/>
            </w:pPr>
            <w:r>
              <w:rPr>
                <w:rFonts w:ascii="游ゴシック" w:hAnsi="游ゴシック" w:eastAsia="游ゴシック"/>
                <w:b w:val="0"/>
                <w:i w:val="0"/>
                <w:sz w:val="17"/>
              </w:rPr>
              <w:t>52.7</w:t>
            </w:r>
          </w:p>
        </w:tc>
        <w:tc>
          <w:tcPr>
            <w:tcW w:type="dxa" w:w="1077"/>
            <w:vAlign w:val="center"/>
          </w:tcPr>
          <w:p>
            <w:pPr>
              <w:spacing w:before="20" w:after="20"/>
              <w:jc w:val="right"/>
            </w:pPr>
            <w:r>
              <w:rPr>
                <w:rFonts w:ascii="游ゴシック" w:hAnsi="游ゴシック" w:eastAsia="游ゴシック"/>
                <w:b/>
                <w:i w:val="0"/>
                <w:sz w:val="17"/>
              </w:rPr>
              <w:t>52.4</w:t>
            </w:r>
          </w:p>
        </w:tc>
        <w:tc>
          <w:tcPr>
            <w:tcW w:type="dxa" w:w="1134"/>
            <w:vAlign w:val="center"/>
          </w:tcPr>
          <w:p>
            <w:pPr>
              <w:spacing w:before="20" w:after="20"/>
              <w:jc w:val="right"/>
            </w:pPr>
            <w:r>
              <w:rPr>
                <w:rFonts w:ascii="游ゴシック" w:hAnsi="游ゴシック" w:eastAsia="游ゴシック"/>
                <w:b w:val="0"/>
                <w:i w:val="0"/>
                <w:sz w:val="17"/>
              </w:rPr>
              <w:t>102.3</w:t>
            </w:r>
          </w:p>
        </w:tc>
        <w:tc>
          <w:tcPr>
            <w:tcW w:type="dxa" w:w="1077"/>
            <w:vAlign w:val="center"/>
          </w:tcPr>
          <w:p>
            <w:pPr>
              <w:spacing w:before="20" w:after="20"/>
              <w:jc w:val="right"/>
            </w:pPr>
            <w:r>
              <w:rPr>
                <w:rFonts w:ascii="游ゴシック" w:hAnsi="游ゴシック" w:eastAsia="游ゴシック"/>
                <w:b w:val="0"/>
                <w:i w:val="0"/>
                <w:sz w:val="17"/>
              </w:rPr>
              <w:t>100.0</w:t>
            </w:r>
          </w:p>
        </w:tc>
        <w:tc>
          <w:tcPr>
            <w:tcW w:type="dxa" w:w="1134"/>
            <w:vAlign w:val="center"/>
          </w:tcPr>
          <w:p>
            <w:pPr>
              <w:spacing w:before="20" w:after="20"/>
              <w:jc w:val="right"/>
            </w:pPr>
            <w:r>
              <w:rPr>
                <w:rFonts w:ascii="游ゴシック" w:hAnsi="游ゴシック" w:eastAsia="游ゴシック"/>
                <w:b w:val="0"/>
                <w:i w:val="0"/>
                <w:sz w:val="17"/>
              </w:rPr>
              <w:t>40位</w:t>
            </w:r>
          </w:p>
        </w:tc>
      </w:tr>
      <w:tr>
        <w:tc>
          <w:tcPr>
            <w:tcW w:type="dxa" w:w="3175"/>
            <w:vAlign w:val="center"/>
          </w:tcPr>
          <w:p>
            <w:pPr>
              <w:spacing w:before="20" w:after="20"/>
            </w:pPr>
            <w:r>
              <w:rPr>
                <w:rFonts w:ascii="游ゴシック" w:hAnsi="游ゴシック" w:eastAsia="游ゴシック"/>
                <w:b w:val="0"/>
                <w:i w:val="0"/>
                <w:sz w:val="17"/>
              </w:rPr>
              <w:t>小規模多機能型居宅介護</w:t>
            </w:r>
          </w:p>
        </w:tc>
        <w:tc>
          <w:tcPr>
            <w:tcW w:type="dxa" w:w="1077"/>
            <w:vAlign w:val="center"/>
          </w:tcPr>
          <w:p>
            <w:pPr>
              <w:spacing w:before="20" w:after="20"/>
              <w:jc w:val="right"/>
            </w:pPr>
            <w:r>
              <w:rPr>
                <w:rFonts w:ascii="游ゴシック" w:hAnsi="游ゴシック" w:eastAsia="游ゴシック"/>
                <w:b w:val="0"/>
                <w:i w:val="0"/>
                <w:sz w:val="17"/>
              </w:rPr>
              <w:t>240.4</w:t>
            </w:r>
          </w:p>
        </w:tc>
        <w:tc>
          <w:tcPr>
            <w:tcW w:type="dxa" w:w="1077"/>
            <w:vAlign w:val="center"/>
          </w:tcPr>
          <w:p>
            <w:pPr>
              <w:spacing w:before="20" w:after="20"/>
              <w:jc w:val="right"/>
            </w:pPr>
            <w:r>
              <w:rPr>
                <w:rFonts w:ascii="游ゴシック" w:hAnsi="游ゴシック" w:eastAsia="游ゴシック"/>
                <w:b w:val="0"/>
                <w:i w:val="0"/>
                <w:sz w:val="17"/>
              </w:rPr>
              <w:t>220.2</w:t>
            </w:r>
          </w:p>
        </w:tc>
        <w:tc>
          <w:tcPr>
            <w:tcW w:type="dxa" w:w="1077"/>
            <w:vAlign w:val="center"/>
          </w:tcPr>
          <w:p>
            <w:pPr>
              <w:spacing w:before="20" w:after="20"/>
              <w:jc w:val="right"/>
            </w:pPr>
            <w:r>
              <w:rPr>
                <w:rFonts w:ascii="游ゴシック" w:hAnsi="游ゴシック" w:eastAsia="游ゴシック"/>
                <w:b/>
                <w:i w:val="0"/>
                <w:sz w:val="17"/>
              </w:rPr>
              <w:t>241.4</w:t>
            </w:r>
          </w:p>
        </w:tc>
        <w:tc>
          <w:tcPr>
            <w:tcW w:type="dxa" w:w="1134"/>
            <w:vAlign w:val="center"/>
          </w:tcPr>
          <w:p>
            <w:pPr>
              <w:spacing w:before="20" w:after="20"/>
              <w:jc w:val="right"/>
            </w:pPr>
            <w:r>
              <w:rPr>
                <w:rFonts w:ascii="游ゴシック" w:hAnsi="游ゴシック" w:eastAsia="游ゴシック"/>
                <w:b w:val="0"/>
                <w:i w:val="0"/>
                <w:sz w:val="17"/>
              </w:rPr>
              <w:t>172.6</w:t>
            </w:r>
          </w:p>
        </w:tc>
        <w:tc>
          <w:tcPr>
            <w:tcW w:type="dxa" w:w="1077"/>
            <w:vAlign w:val="center"/>
          </w:tcPr>
          <w:p>
            <w:pPr>
              <w:spacing w:before="20" w:after="20"/>
              <w:jc w:val="right"/>
            </w:pPr>
            <w:r>
              <w:rPr>
                <w:rFonts w:ascii="游ゴシック" w:hAnsi="游ゴシック" w:eastAsia="游ゴシック"/>
                <w:b w:val="0"/>
                <w:i w:val="0"/>
                <w:sz w:val="17"/>
              </w:rPr>
              <w:t>123.8</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認知症対応型共同生活介護</w:t>
            </w:r>
          </w:p>
        </w:tc>
        <w:tc>
          <w:tcPr>
            <w:tcW w:type="dxa" w:w="1077"/>
            <w:vAlign w:val="center"/>
          </w:tcPr>
          <w:p>
            <w:pPr>
              <w:spacing w:before="20" w:after="20"/>
              <w:jc w:val="right"/>
            </w:pPr>
            <w:r>
              <w:rPr>
                <w:rFonts w:ascii="游ゴシック" w:hAnsi="游ゴシック" w:eastAsia="游ゴシック"/>
                <w:b w:val="0"/>
                <w:i w:val="0"/>
                <w:sz w:val="17"/>
              </w:rPr>
              <w:t>195.0</w:t>
            </w:r>
          </w:p>
        </w:tc>
        <w:tc>
          <w:tcPr>
            <w:tcW w:type="dxa" w:w="1077"/>
            <w:vAlign w:val="center"/>
          </w:tcPr>
          <w:p>
            <w:pPr>
              <w:spacing w:before="20" w:after="20"/>
              <w:jc w:val="right"/>
            </w:pPr>
            <w:r>
              <w:rPr>
                <w:rFonts w:ascii="游ゴシック" w:hAnsi="游ゴシック" w:eastAsia="游ゴシック"/>
                <w:b w:val="0"/>
                <w:i w:val="0"/>
                <w:sz w:val="17"/>
              </w:rPr>
              <w:t>222.7</w:t>
            </w:r>
          </w:p>
        </w:tc>
        <w:tc>
          <w:tcPr>
            <w:tcW w:type="dxa" w:w="1077"/>
            <w:vAlign w:val="center"/>
          </w:tcPr>
          <w:p>
            <w:pPr>
              <w:spacing w:before="20" w:after="20"/>
              <w:jc w:val="right"/>
            </w:pPr>
            <w:r>
              <w:rPr>
                <w:rFonts w:ascii="游ゴシック" w:hAnsi="游ゴシック" w:eastAsia="游ゴシック"/>
                <w:b/>
                <w:i w:val="0"/>
                <w:sz w:val="17"/>
              </w:rPr>
              <w:t>209.9</w:t>
            </w:r>
          </w:p>
        </w:tc>
        <w:tc>
          <w:tcPr>
            <w:tcW w:type="dxa" w:w="1134"/>
            <w:vAlign w:val="center"/>
          </w:tcPr>
          <w:p>
            <w:pPr>
              <w:spacing w:before="20" w:after="20"/>
              <w:jc w:val="right"/>
            </w:pPr>
            <w:r>
              <w:rPr>
                <w:rFonts w:ascii="游ゴシック" w:hAnsi="游ゴシック" w:eastAsia="游ゴシック"/>
                <w:b w:val="0"/>
                <w:i w:val="0"/>
                <w:sz w:val="17"/>
              </w:rPr>
              <w:t>127.2</w:t>
            </w:r>
          </w:p>
        </w:tc>
        <w:tc>
          <w:tcPr>
            <w:tcW w:type="dxa" w:w="1077"/>
            <w:vAlign w:val="center"/>
          </w:tcPr>
          <w:p>
            <w:pPr>
              <w:spacing w:before="20" w:after="20"/>
              <w:jc w:val="right"/>
            </w:pPr>
            <w:r>
              <w:rPr>
                <w:rFonts w:ascii="游ゴシック" w:hAnsi="游ゴシック" w:eastAsia="游ゴシック"/>
                <w:b w:val="0"/>
                <w:i w:val="0"/>
                <w:sz w:val="17"/>
              </w:rPr>
              <w:t>102.2</w:t>
            </w:r>
          </w:p>
        </w:tc>
        <w:tc>
          <w:tcPr>
            <w:tcW w:type="dxa" w:w="1134"/>
            <w:vAlign w:val="center"/>
          </w:tcPr>
          <w:p>
            <w:pPr>
              <w:spacing w:before="20" w:after="20"/>
              <w:jc w:val="right"/>
            </w:pPr>
            <w:r>
              <w:rPr>
                <w:rFonts w:ascii="游ゴシック" w:hAnsi="游ゴシック" w:eastAsia="游ゴシック"/>
                <w:b w:val="0"/>
                <w:i w:val="0"/>
                <w:sz w:val="17"/>
              </w:rPr>
              <w:t>3位</w:t>
            </w:r>
          </w:p>
        </w:tc>
      </w:tr>
    </w:tbl>
    <w:p>
      <w:pPr>
        <w:spacing w:after="40"/>
      </w:pPr>
    </w:p>
    <w:p>
      <w:pPr>
        <w:spacing w:before="40" w:after="160"/>
        <w:ind w:left="113"/>
      </w:pPr>
      <w:r>
        <w:rPr>
          <w:rFonts w:ascii="游ゴシック" w:hAnsi="游ゴシック" w:eastAsia="游ゴシック"/>
          <w:b w:val="0"/>
          <w:i w:val="0"/>
          <w:sz w:val="17"/>
        </w:rPr>
        <w:t>資料：厚生労働科学研究費補助金〈長寿科学政策研究〉「2040年を見据えた地域特性に応じた介護サービス提供体制の最適化と科学的介護の推進に関する調査研究」（研究代表者：陣内裕成）の介護SCRデータセット（介護DB・住民基本台帳人口による）。県内順位は県内59市町村のうち値の高い順（令和5年度）。</w:t>
      </w:r>
      <w:r>
        <w:rPr>
          <w:rFonts w:ascii="游ゴシック" w:hAnsi="游ゴシック" w:eastAsia="游ゴシック"/>
          <w:b/>
          <w:i w:val="0"/>
          <w:sz w:val="17"/>
        </w:rPr>
        <w:t>小規模な町では年度の振れが大きいため、3か年の推移で読みます。</w:t>
      </w:r>
    </w:p>
    <w:p>
      <w:pPr>
        <w:pStyle w:val="Heading2"/>
        <w:keepNext/>
        <w:spacing w:before="180" w:after="100"/>
      </w:pPr>
      <w:bookmarkStart w:id="153" w:name="_Toc_053"/>
      <w:r>
        <w:rPr>
          <w:rFonts w:ascii="游ゴシック" w:hAnsi="游ゴシック" w:eastAsia="游ゴシック"/>
          <w:b/>
          <w:i w:val="0"/>
          <w:color w:val="2E74B5"/>
          <w:sz w:val="25"/>
        </w:rPr>
        <w:t>13　図表番号一覧</w:t>
      </w:r>
      <w:bookmarkEnd w:id="153"/>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第1章7　計画の策定体制（2）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第4章3　関連計画との役割分担（3）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第4章3　関連計画との役割分担（4）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特定地域居宅サービス等事業の対象（介護保険法第115条の45第3項）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【表126】</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【表127】</w:t>
            </w:r>
          </w:p>
        </w:tc>
        <w:tc>
          <w:tcPr>
            <w:tcW w:type="dxa" w:w="7597"/>
            <w:vAlign w:val="center"/>
          </w:tcPr>
          <w:p>
            <w:pPr>
              <w:spacing w:before="20" w:after="20"/>
            </w:pPr>
            <w:r>
              <w:rPr>
                <w:rFonts w:ascii="游ゴシック" w:hAnsi="游ゴシック" w:eastAsia="游ゴシック"/>
                <w:b w:val="0"/>
                <w:i w:val="0"/>
                <w:sz w:val="17"/>
              </w:rPr>
              <w:t>資料編8　成果指標の定義（2）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【表128】</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【表129】</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【表130】</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【表131】</w:t>
            </w:r>
          </w:p>
        </w:tc>
        <w:tc>
          <w:tcPr>
            <w:tcW w:type="dxa" w:w="7597"/>
            <w:vAlign w:val="center"/>
          </w:tcPr>
          <w:p>
            <w:pPr>
              <w:spacing w:before="20" w:after="20"/>
            </w:pPr>
            <w:r>
              <w:rPr>
                <w:rFonts w:ascii="游ゴシック" w:hAnsi="游ゴシック" w:eastAsia="游ゴシック"/>
                <w:b w:val="0"/>
                <w:i w:val="0"/>
                <w:sz w:val="17"/>
              </w:rPr>
              <w:t>資料編12　地域分析の指標（国の基本指針の案の別表1）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【表132】</w:t>
            </w:r>
          </w:p>
        </w:tc>
        <w:tc>
          <w:tcPr>
            <w:tcW w:type="dxa" w:w="7597"/>
            <w:vAlign w:val="center"/>
          </w:tcPr>
          <w:p>
            <w:pPr>
              <w:spacing w:before="20" w:after="20"/>
            </w:pPr>
            <w:r>
              <w:rPr>
                <w:rFonts w:ascii="游ゴシック" w:hAnsi="游ゴシック" w:eastAsia="游ゴシック"/>
                <w:b w:val="0"/>
                <w:i w:val="0"/>
                <w:sz w:val="17"/>
              </w:rPr>
              <w:t>資料編12　地域分析の指標（国の基本指針の案の別表1）（2）</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4" w:name="_Toc_054"/>
      <w:r>
        <w:rPr>
          <w:rFonts w:ascii="游ゴシック" w:hAnsi="游ゴシック" w:eastAsia="游ゴシック"/>
          <w:b/>
          <w:i w:val="0"/>
          <w:color w:val="2E74B5"/>
          <w:sz w:val="30"/>
        </w:rPr>
        <w:t>参考　本素案の確定に必要な事項</w:t>
      </w:r>
      <w:bookmarkEnd w:id="154"/>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庁内の検討体制（会議の名称・構成・開催予定）</w:t>
            </w:r>
          </w:p>
        </w:tc>
        <w:tc>
          <w:tcPr>
            <w:tcW w:type="dxa" w:w="4063"/>
            <w:vAlign w:val="center"/>
          </w:tcPr>
          <w:p>
            <w:pPr>
              <w:spacing w:before="20" w:after="20"/>
            </w:pPr>
            <w:r>
              <w:rPr>
                <w:rFonts w:ascii="游ゴシック" w:hAnsi="游ゴシック" w:eastAsia="游ゴシック"/>
                <w:b w:val="0"/>
                <w:i w:val="0"/>
                <w:sz w:val="17"/>
              </w:rPr>
              <w:t>第1章7</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健康増進計画・データヘルス計画・特定健康診査等実施計画の計画名と期間</w:t>
            </w:r>
          </w:p>
        </w:tc>
        <w:tc>
          <w:tcPr>
            <w:tcW w:type="dxa" w:w="4063"/>
            <w:vAlign w:val="center"/>
          </w:tcPr>
          <w:p>
            <w:pPr>
              <w:spacing w:before="20" w:after="20"/>
            </w:pPr>
            <w:r>
              <w:rPr>
                <w:rFonts w:ascii="游ゴシック" w:hAnsi="游ゴシック" w:eastAsia="游ゴシック"/>
                <w:b w:val="0"/>
                <w:i w:val="0"/>
                <w:sz w:val="17"/>
              </w:rPr>
              <w:t>第4章3</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重層的支援体制整備事業の実施の有無</w:t>
            </w:r>
          </w:p>
        </w:tc>
        <w:tc>
          <w:tcPr>
            <w:tcW w:type="dxa" w:w="4063"/>
            <w:vAlign w:val="center"/>
          </w:tcPr>
          <w:p>
            <w:pPr>
              <w:spacing w:before="20" w:after="20"/>
            </w:pPr>
            <w:r>
              <w:rPr>
                <w:rFonts w:ascii="游ゴシック" w:hAnsi="游ゴシック" w:eastAsia="游ゴシック"/>
                <w:b w:val="0"/>
                <w:i w:val="0"/>
                <w:sz w:val="17"/>
              </w:rPr>
              <w:t>第1章2</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町内事業所の離職率、ICT・ケアプランデータ連携システムの導入状況</w:t>
            </w:r>
          </w:p>
        </w:tc>
        <w:tc>
          <w:tcPr>
            <w:tcW w:type="dxa" w:w="4063"/>
            <w:vAlign w:val="center"/>
          </w:tcPr>
          <w:p>
            <w:pPr>
              <w:spacing w:before="20" w:after="20"/>
            </w:pPr>
            <w:r>
              <w:rPr>
                <w:rFonts w:ascii="游ゴシック" w:hAnsi="游ゴシック" w:eastAsia="游ゴシック"/>
                <w:b w:val="0"/>
                <w:i w:val="0"/>
                <w:sz w:val="17"/>
              </w:rPr>
              <w:t>第5章 基本目標2⑥</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地域医療介護総合確保基金のメニューと県の交付要綱（県）</w:t>
            </w:r>
          </w:p>
        </w:tc>
        <w:tc>
          <w:tcPr>
            <w:tcW w:type="dxa" w:w="4063"/>
            <w:vAlign w:val="center"/>
          </w:tcPr>
          <w:p>
            <w:pPr>
              <w:spacing w:before="20" w:after="20"/>
            </w:pPr>
            <w:r>
              <w:rPr>
                <w:rFonts w:ascii="游ゴシック" w:hAnsi="游ゴシック" w:eastAsia="游ゴシック"/>
                <w:b w:val="0"/>
                <w:i w:val="0"/>
                <w:sz w:val="17"/>
              </w:rPr>
              <w:t>第5章 基本目標2⑥</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地域ケア会議の資料（開催回数・検討件数・事例）</w:t>
            </w:r>
          </w:p>
        </w:tc>
        <w:tc>
          <w:tcPr>
            <w:tcW w:type="dxa" w:w="4063"/>
            <w:vAlign w:val="center"/>
          </w:tcPr>
          <w:p>
            <w:pPr>
              <w:spacing w:before="20" w:after="20"/>
            </w:pPr>
            <w:r>
              <w:rPr>
                <w:rFonts w:ascii="游ゴシック" w:hAnsi="游ゴシック" w:eastAsia="游ゴシック"/>
                <w:b w:val="0"/>
                <w:i w:val="0"/>
                <w:sz w:val="17"/>
              </w:rPr>
              <w:t>第5章 基本目標2②・3①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在宅介護実態調査の個票と、認定データとの連携の有無</w:t>
            </w:r>
          </w:p>
        </w:tc>
        <w:tc>
          <w:tcPr>
            <w:tcW w:type="dxa" w:w="4063"/>
            <w:vAlign w:val="center"/>
          </w:tcPr>
          <w:p>
            <w:pPr>
              <w:spacing w:before="20" w:after="20"/>
            </w:pPr>
            <w:r>
              <w:rPr>
                <w:rFonts w:ascii="游ゴシック" w:hAnsi="游ゴシック" w:eastAsia="游ゴシック"/>
                <w:b w:val="0"/>
                <w:i w:val="0"/>
                <w:sz w:val="17"/>
              </w:rPr>
              <w:t>第2章2</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