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令和8年度 第2回 小野町自立支援協議会</w:t>
      </w:r>
    </w:p>
    <w:p>
      <w:pPr>
        <w:spacing w:before="360" w:after="120"/>
        <w:jc w:val="center"/>
      </w:pPr>
      <w:r>
        <w:rPr>
          <w:rFonts w:ascii="游ゴシック" w:hAnsi="游ゴシック" w:eastAsia="游ゴシック"/>
          <w:b/>
          <w:i w:val="0"/>
          <w:color w:val="2E74B5"/>
          <w:sz w:val="44"/>
        </w:rPr>
        <w:t>想定問答集（事務局用）</w:t>
      </w:r>
    </w:p>
    <w:p>
      <w:pPr>
        <w:spacing w:after="120"/>
        <w:jc w:val="center"/>
      </w:pPr>
      <w:r>
        <w:rPr>
          <w:rFonts w:ascii="游ゴシック" w:hAnsi="游ゴシック" w:eastAsia="游ゴシック"/>
          <w:b w:val="0"/>
          <w:i w:val="0"/>
          <w:sz w:val="26"/>
        </w:rPr>
        <w:t>おのまち障がい者計画・第4期障がい児福祉計画・第8期障がい福祉計画</w:t>
      </w:r>
    </w:p>
    <w:p>
      <w:pPr>
        <w:spacing w:after="120"/>
        <w:jc w:val="center"/>
      </w:pPr>
      <w:r>
        <w:rPr>
          <w:rFonts w:ascii="游ゴシック" w:hAnsi="游ゴシック" w:eastAsia="游ゴシック"/>
          <w:b w:val="0"/>
          <w:i w:val="0"/>
          <w:sz w:val="26"/>
        </w:rPr>
        <w:t>令和8年10月21日</w:t>
      </w:r>
    </w:p>
    <w:p>
      <w:pPr>
        <w:spacing w:after="120"/>
        <w:jc w:val="center"/>
      </w:pPr>
      <w:r>
        <w:rPr>
          <w:rFonts w:ascii="游ゴシック" w:hAnsi="游ゴシック" w:eastAsia="游ゴシック"/>
          <w:b w:val="0"/>
          <w:i w:val="0"/>
          <w:sz w:val="26"/>
        </w:rPr>
        <w:t>※ 事務局の準備用です。委員の皆様には配布しません</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本書の使い方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A　計画全般</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B　アンケート調査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C　手帳所持者・人口</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D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E　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F　財源</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G　防災・権利擁護・移動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H　今後の進め方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本書の使い方</w:t>
      </w:r>
      <w:bookmarkEnd w:id="101"/>
    </w:p>
    <w:p>
      <w:pPr>
        <w:spacing w:before="60" w:after="60"/>
      </w:pPr>
      <w:r>
        <w:rPr>
          <w:rFonts w:ascii="游ゴシック" w:hAnsi="游ゴシック" w:eastAsia="游ゴシック"/>
          <w:b/>
          <w:i w:val="0"/>
          <w:sz w:val="21"/>
        </w:rPr>
        <w:t>協議会資料の各項目について、委員から出そうな質問と回答（案）をまとめました。</w:t>
      </w:r>
      <w:r>
        <w:rPr>
          <w:rFonts w:ascii="游ゴシック" w:hAnsi="游ゴシック" w:eastAsia="游ゴシック"/>
          <w:b w:val="0"/>
          <w:i w:val="0"/>
          <w:sz w:val="21"/>
        </w:rPr>
        <w:t xml:space="preserve"> 回答の数値は協議会資料と同じ原典によります。「補足（事務局用）」の欄は、回答の根拠と、答える前に町で確かめておきたいことです。【町データ待ち】【決定後に記載】の付いた問は、協議会までに町で確認をお願いします。</w:t>
      </w:r>
    </w:p>
    <w:p>
      <w:pPr>
        <w:pStyle w:val="Heading1"/>
        <w:keepNext/>
        <w:spacing w:before="240" w:after="100"/>
      </w:pPr>
      <w:bookmarkStart w:id="102" w:name="_Toc_002"/>
      <w:r>
        <w:rPr>
          <w:rFonts w:ascii="游ゴシック" w:hAnsi="游ゴシック" w:eastAsia="游ゴシック"/>
          <w:b/>
          <w:i w:val="0"/>
          <w:color w:val="2E74B5"/>
          <w:sz w:val="30"/>
        </w:rPr>
        <w:t>A　計画全般</w:t>
      </w:r>
      <w:bookmarkEnd w:id="102"/>
    </w:p>
    <w:p>
      <w:pPr>
        <w:keepNext/>
        <w:spacing w:before="200" w:after="40"/>
      </w:pPr>
      <w:r>
        <w:rPr>
          <w:rFonts w:ascii="游ゴシック" w:hAnsi="游ゴシック" w:eastAsia="游ゴシック"/>
          <w:b/>
          <w:i w:val="0"/>
          <w:color w:val="1F4D78"/>
          <w:sz w:val="22"/>
        </w:rPr>
        <w:t>【表1】計画全般の想定問答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268"/>
        <w:gridCol w:w="4309"/>
        <w:gridCol w:w="2665"/>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想定される質問</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回答（案）</w:t>
            </w:r>
          </w:p>
        </w:tc>
        <w:tc>
          <w:tcPr>
            <w:tcW w:type="dxa" w:w="2665"/>
            <w:shd w:val="clear" w:fill="1F3864"/>
            <w:vAlign w:val="center"/>
          </w:tcPr>
          <w:p>
            <w:pPr>
              <w:spacing w:before="20" w:after="20"/>
              <w:jc w:val="center"/>
            </w:pPr>
            <w:r>
              <w:rPr>
                <w:rFonts w:ascii="游ゴシック" w:hAnsi="游ゴシック" w:eastAsia="游ゴシック"/>
                <w:b/>
                <w:i w:val="0"/>
                <w:color w:val="FFFFFF"/>
                <w:sz w:val="17"/>
              </w:rPr>
              <w:t>補足（事務局用）</w:t>
            </w:r>
          </w:p>
        </w:tc>
      </w:tr>
      <w:tr>
        <w:tc>
          <w:tcPr>
            <w:tcW w:type="dxa" w:w="510"/>
            <w:vAlign w:val="center"/>
          </w:tcPr>
          <w:p>
            <w:pPr>
              <w:spacing w:before="20" w:after="20"/>
            </w:pPr>
            <w:r>
              <w:rPr>
                <w:rFonts w:ascii="游ゴシック" w:hAnsi="游ゴシック" w:eastAsia="游ゴシック"/>
                <w:b w:val="0"/>
                <w:i w:val="0"/>
                <w:sz w:val="17"/>
              </w:rPr>
              <w:t>1</w:t>
            </w:r>
          </w:p>
        </w:tc>
        <w:tc>
          <w:tcPr>
            <w:tcW w:type="dxa" w:w="2268"/>
            <w:vAlign w:val="center"/>
          </w:tcPr>
          <w:p>
            <w:pPr>
              <w:spacing w:before="20" w:after="20"/>
            </w:pPr>
            <w:r>
              <w:rPr>
                <w:rFonts w:ascii="游ゴシック" w:hAnsi="游ゴシック" w:eastAsia="游ゴシック"/>
                <w:b w:val="0"/>
                <w:i w:val="0"/>
                <w:sz w:val="17"/>
              </w:rPr>
              <w:t>3つの計画を1冊にするのはなぜか。</w:t>
            </w:r>
          </w:p>
        </w:tc>
        <w:tc>
          <w:tcPr>
            <w:tcW w:type="dxa" w:w="4309"/>
            <w:vAlign w:val="center"/>
          </w:tcPr>
          <w:p>
            <w:pPr>
              <w:spacing w:before="20" w:after="20"/>
            </w:pPr>
            <w:r>
              <w:rPr>
                <w:rFonts w:ascii="游ゴシック" w:hAnsi="游ゴシック" w:eastAsia="游ゴシック"/>
                <w:b w:val="0"/>
                <w:i w:val="0"/>
                <w:sz w:val="17"/>
              </w:rPr>
              <w:t>障がい者計画（障害者基本法）、障がい福祉計画（障害者総合支援法）、障がい児福祉計画（児童福祉法）は、対象と施策が重なるため、一体のものとして作成します。法律でも一体の作成が認められています。</w:t>
            </w:r>
          </w:p>
        </w:tc>
        <w:tc>
          <w:tcPr>
            <w:tcW w:type="dxa" w:w="2665"/>
            <w:vAlign w:val="center"/>
          </w:tcPr>
          <w:p>
            <w:pPr>
              <w:spacing w:before="20" w:after="20"/>
            </w:pPr>
            <w:r>
              <w:rPr>
                <w:rFonts w:ascii="游ゴシック" w:hAnsi="游ゴシック" w:eastAsia="游ゴシック"/>
                <w:b w:val="0"/>
                <w:i w:val="0"/>
                <w:sz w:val="17"/>
              </w:rPr>
              <w:t>障害者総合支援法第88条第6項、児童福祉法第33条の20第6項</w:t>
            </w:r>
          </w:p>
        </w:tc>
      </w:tr>
      <w:tr>
        <w:tc>
          <w:tcPr>
            <w:tcW w:type="dxa" w:w="510"/>
            <w:vAlign w:val="center"/>
          </w:tcPr>
          <w:p>
            <w:pPr>
              <w:spacing w:before="20" w:after="20"/>
            </w:pPr>
            <w:r>
              <w:rPr>
                <w:rFonts w:ascii="游ゴシック" w:hAnsi="游ゴシック" w:eastAsia="游ゴシック"/>
                <w:b w:val="0"/>
                <w:i w:val="0"/>
                <w:sz w:val="17"/>
              </w:rPr>
              <w:t>2</w:t>
            </w:r>
          </w:p>
        </w:tc>
        <w:tc>
          <w:tcPr>
            <w:tcW w:type="dxa" w:w="2268"/>
            <w:vAlign w:val="center"/>
          </w:tcPr>
          <w:p>
            <w:pPr>
              <w:spacing w:before="20" w:after="20"/>
            </w:pPr>
            <w:r>
              <w:rPr>
                <w:rFonts w:ascii="游ゴシック" w:hAnsi="游ゴシック" w:eastAsia="游ゴシック"/>
                <w:b w:val="0"/>
                <w:i w:val="0"/>
                <w:sz w:val="17"/>
              </w:rPr>
              <w:t>計画の期間は。</w:t>
            </w:r>
          </w:p>
        </w:tc>
        <w:tc>
          <w:tcPr>
            <w:tcW w:type="dxa" w:w="4309"/>
            <w:vAlign w:val="center"/>
          </w:tcPr>
          <w:p>
            <w:pPr>
              <w:spacing w:before="20" w:after="20"/>
            </w:pPr>
            <w:r>
              <w:rPr>
                <w:rFonts w:ascii="游ゴシック" w:hAnsi="游ゴシック" w:eastAsia="游ゴシック"/>
                <w:b w:val="0"/>
                <w:i w:val="0"/>
                <w:sz w:val="17"/>
              </w:rPr>
              <w:t>3つの計画とも、令和9年度から令和11年度までの3年間です。</w:t>
            </w:r>
          </w:p>
        </w:tc>
        <w:tc>
          <w:tcPr>
            <w:tcW w:type="dxa" w:w="2665"/>
            <w:vAlign w:val="center"/>
          </w:tcPr>
          <w:p>
            <w:pPr>
              <w:spacing w:before="20" w:after="20"/>
            </w:pPr>
            <w:r>
              <w:rPr>
                <w:rFonts w:ascii="游ゴシック" w:hAnsi="游ゴシック" w:eastAsia="游ゴシック"/>
                <w:b w:val="0"/>
                <w:i w:val="0"/>
                <w:sz w:val="17"/>
              </w:rPr>
              <w:t>第1回資料・素案 第1部第1章3</w:t>
            </w:r>
          </w:p>
        </w:tc>
      </w:tr>
      <w:tr>
        <w:tc>
          <w:tcPr>
            <w:tcW w:type="dxa" w:w="510"/>
            <w:vAlign w:val="center"/>
          </w:tcPr>
          <w:p>
            <w:pPr>
              <w:keepNext/>
              <w:spacing w:before="20" w:after="20"/>
            </w:pPr>
            <w:r>
              <w:rPr>
                <w:rFonts w:ascii="游ゴシック" w:hAnsi="游ゴシック" w:eastAsia="游ゴシック"/>
                <w:b w:val="0"/>
                <w:i w:val="0"/>
                <w:sz w:val="17"/>
              </w:rPr>
              <w:t>3</w:t>
            </w:r>
          </w:p>
        </w:tc>
        <w:tc>
          <w:tcPr>
            <w:tcW w:type="dxa" w:w="2268"/>
            <w:vAlign w:val="center"/>
          </w:tcPr>
          <w:p>
            <w:pPr>
              <w:keepNext/>
              <w:spacing w:before="20" w:after="20"/>
            </w:pPr>
            <w:r>
              <w:rPr>
                <w:rFonts w:ascii="游ゴシック" w:hAnsi="游ゴシック" w:eastAsia="游ゴシック"/>
                <w:b w:val="0"/>
                <w:i w:val="0"/>
                <w:sz w:val="17"/>
              </w:rPr>
              <w:t>この協議会と、法改正でいう「支援協議会」の関係は。</w:t>
            </w:r>
          </w:p>
        </w:tc>
        <w:tc>
          <w:tcPr>
            <w:tcW w:type="dxa" w:w="4309"/>
            <w:vAlign w:val="center"/>
          </w:tcPr>
          <w:p>
            <w:pPr>
              <w:keepNext/>
              <w:spacing w:before="20" w:after="20"/>
            </w:pPr>
            <w:r>
              <w:rPr>
                <w:rFonts w:ascii="游ゴシック" w:hAnsi="游ゴシック" w:eastAsia="游ゴシック"/>
                <w:b w:val="0"/>
                <w:i w:val="0"/>
                <w:sz w:val="17"/>
              </w:rPr>
              <w:t>令和9年4月1日から、障害者総合支援法の「協議会」が「支援協議会」に改められます。計画を定めるときは、あらかじめ支援協議会の意見を聴くよう努めることとされており、本協議会のご意見を伺って策定します。</w:t>
            </w:r>
          </w:p>
        </w:tc>
        <w:tc>
          <w:tcPr>
            <w:tcW w:type="dxa" w:w="2665"/>
            <w:vAlign w:val="center"/>
          </w:tcPr>
          <w:p>
            <w:pPr>
              <w:keepNext/>
              <w:spacing w:before="20" w:after="20"/>
            </w:pPr>
            <w:r>
              <w:rPr>
                <w:rFonts w:ascii="游ゴシック" w:hAnsi="游ゴシック" w:eastAsia="游ゴシック"/>
                <w:b w:val="0"/>
                <w:i w:val="0"/>
                <w:sz w:val="17"/>
              </w:rPr>
              <w:t>令和8年法律第51号。法第88条第9項・児童福祉法第33条の20第9項。本協議会が支援協議会に当たることは、町で設置要綱を確認しておく</w:t>
            </w:r>
          </w:p>
        </w:tc>
      </w:tr>
      <w:tr>
        <w:tc>
          <w:tcPr>
            <w:tcW w:type="dxa" w:w="510"/>
            <w:vAlign w:val="center"/>
          </w:tcPr>
          <w:p>
            <w:pPr>
              <w:spacing w:before="20" w:after="20"/>
            </w:pPr>
            <w:r>
              <w:rPr>
                <w:rFonts w:ascii="游ゴシック" w:hAnsi="游ゴシック" w:eastAsia="游ゴシック"/>
                <w:b w:val="0"/>
                <w:i w:val="0"/>
                <w:sz w:val="17"/>
              </w:rPr>
              <w:t>4</w:t>
            </w:r>
          </w:p>
        </w:tc>
        <w:tc>
          <w:tcPr>
            <w:tcW w:type="dxa" w:w="2268"/>
            <w:vAlign w:val="center"/>
          </w:tcPr>
          <w:p>
            <w:pPr>
              <w:spacing w:before="20" w:after="20"/>
            </w:pPr>
            <w:r>
              <w:rPr>
                <w:rFonts w:ascii="游ゴシック" w:hAnsi="游ゴシック" w:eastAsia="游ゴシック"/>
                <w:b w:val="0"/>
                <w:i w:val="0"/>
                <w:sz w:val="17"/>
              </w:rPr>
              <w:t>県の計画との関係は。</w:t>
            </w:r>
          </w:p>
        </w:tc>
        <w:tc>
          <w:tcPr>
            <w:tcW w:type="dxa" w:w="4309"/>
            <w:vAlign w:val="center"/>
          </w:tcPr>
          <w:p>
            <w:pPr>
              <w:spacing w:before="20" w:after="20"/>
            </w:pPr>
            <w:r>
              <w:rPr>
                <w:rFonts w:ascii="游ゴシック" w:hAnsi="游ゴシック" w:eastAsia="游ゴシック"/>
                <w:b w:val="0"/>
                <w:i w:val="0"/>
                <w:sz w:val="17"/>
              </w:rPr>
              <w:t>県の障がい者計画・障がい福祉計画と調和を図ります。県の次期計画の策定状況を確かめ、整合をとります。</w:t>
            </w:r>
          </w:p>
        </w:tc>
        <w:tc>
          <w:tcPr>
            <w:tcW w:type="dxa" w:w="2665"/>
            <w:vAlign w:val="center"/>
          </w:tcPr>
          <w:p>
            <w:pPr>
              <w:spacing w:before="20" w:after="20"/>
            </w:pPr>
            <w:r>
              <w:rPr>
                <w:rFonts w:ascii="游ゴシック" w:hAnsi="游ゴシック" w:eastAsia="游ゴシック"/>
                <w:b w:val="0"/>
                <w:i w:val="0"/>
                <w:sz w:val="17"/>
              </w:rPr>
              <w:t>第1回資料4(1)。第5次福島県障がい者計画は令和9年度で満了</w:t>
            </w:r>
          </w:p>
        </w:tc>
      </w:tr>
    </w:tbl>
    <w:p>
      <w:pPr>
        <w:spacing w:after="40"/>
      </w:pPr>
    </w:p>
    <w:p>
      <w:pPr>
        <w:pStyle w:val="Heading1"/>
        <w:keepNext/>
        <w:spacing w:before="240" w:after="100"/>
      </w:pPr>
      <w:bookmarkStart w:id="103" w:name="_Toc_003"/>
      <w:r>
        <w:rPr>
          <w:rFonts w:ascii="游ゴシック" w:hAnsi="游ゴシック" w:eastAsia="游ゴシック"/>
          <w:b/>
          <w:i w:val="0"/>
          <w:color w:val="2E74B5"/>
          <w:sz w:val="30"/>
        </w:rPr>
        <w:t>B　アンケート調査</w:t>
      </w:r>
      <w:bookmarkEnd w:id="103"/>
    </w:p>
    <w:p>
      <w:pPr>
        <w:keepNext/>
        <w:spacing w:before="200" w:after="40"/>
      </w:pPr>
      <w:r>
        <w:rPr>
          <w:rFonts w:ascii="游ゴシック" w:hAnsi="游ゴシック" w:eastAsia="游ゴシック"/>
          <w:b/>
          <w:i w:val="0"/>
          <w:color w:val="1F4D78"/>
          <w:sz w:val="22"/>
        </w:rPr>
        <w:t>【表2】アンケート調査の想定問答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268"/>
        <w:gridCol w:w="4309"/>
        <w:gridCol w:w="2665"/>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想定される質問</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回答（案）</w:t>
            </w:r>
          </w:p>
        </w:tc>
        <w:tc>
          <w:tcPr>
            <w:tcW w:type="dxa" w:w="2665"/>
            <w:shd w:val="clear" w:fill="1F3864"/>
            <w:vAlign w:val="center"/>
          </w:tcPr>
          <w:p>
            <w:pPr>
              <w:spacing w:before="20" w:after="20"/>
              <w:jc w:val="center"/>
            </w:pPr>
            <w:r>
              <w:rPr>
                <w:rFonts w:ascii="游ゴシック" w:hAnsi="游ゴシック" w:eastAsia="游ゴシック"/>
                <w:b/>
                <w:i w:val="0"/>
                <w:color w:val="FFFFFF"/>
                <w:sz w:val="17"/>
              </w:rPr>
              <w:t>補足（事務局用）</w:t>
            </w:r>
          </w:p>
        </w:tc>
      </w:tr>
      <w:tr>
        <w:tc>
          <w:tcPr>
            <w:tcW w:type="dxa" w:w="510"/>
            <w:vAlign w:val="center"/>
          </w:tcPr>
          <w:p>
            <w:pPr>
              <w:spacing w:before="20" w:after="20"/>
            </w:pPr>
            <w:r>
              <w:rPr>
                <w:rFonts w:ascii="游ゴシック" w:hAnsi="游ゴシック" w:eastAsia="游ゴシック"/>
                <w:b w:val="0"/>
                <w:i w:val="0"/>
                <w:sz w:val="17"/>
              </w:rPr>
              <w:t>5</w:t>
            </w:r>
          </w:p>
        </w:tc>
        <w:tc>
          <w:tcPr>
            <w:tcW w:type="dxa" w:w="2268"/>
            <w:vAlign w:val="center"/>
          </w:tcPr>
          <w:p>
            <w:pPr>
              <w:spacing w:before="20" w:after="20"/>
            </w:pPr>
            <w:r>
              <w:rPr>
                <w:rFonts w:ascii="游ゴシック" w:hAnsi="游ゴシック" w:eastAsia="游ゴシック"/>
                <w:b w:val="0"/>
                <w:i w:val="0"/>
                <w:sz w:val="17"/>
              </w:rPr>
              <w:t>回答数が第1回で示した目安（400件程度）に届いていないが、結果は使えるのか。</w:t>
            </w:r>
          </w:p>
        </w:tc>
        <w:tc>
          <w:tcPr>
            <w:tcW w:type="dxa" w:w="4309"/>
            <w:vAlign w:val="center"/>
          </w:tcPr>
          <w:p>
            <w:pPr>
              <w:spacing w:before="20" w:after="20"/>
            </w:pPr>
            <w:r>
              <w:rPr>
                <w:rFonts w:ascii="游ゴシック" w:hAnsi="游ゴシック" w:eastAsia="游ゴシック"/>
                <w:b w:val="0"/>
                <w:i w:val="0"/>
                <w:sz w:val="17"/>
              </w:rPr>
              <w:t>配布523件に対し有効回答は284件（障がい者54.64%、障がい児51.02%）でした。前回調査（令和5年度）と同程度の回答率です。障がい者調査は回答者の68.3％が65歳以上で、高齢の方の状況を強く反映している点に留意して読み取ります。若い世代や障がい児については、関係機関・事業所への聞き取りと合わせて補います。</w:t>
            </w:r>
          </w:p>
        </w:tc>
        <w:tc>
          <w:tcPr>
            <w:tcW w:type="dxa" w:w="2665"/>
            <w:vAlign w:val="center"/>
          </w:tcPr>
          <w:p>
            <w:pPr>
              <w:spacing w:before="20" w:after="20"/>
            </w:pPr>
            <w:r>
              <w:rPr>
                <w:rFonts w:ascii="游ゴシック" w:hAnsi="游ゴシック" w:eastAsia="游ゴシック"/>
                <w:b w:val="0"/>
                <w:i w:val="0"/>
                <w:sz w:val="17"/>
              </w:rPr>
              <w:t>第1回資料では有効回答400件程度（回収率約67％）を目安とし、前回の回収率は54.3％。配布数は町で対象者を抽出した結果</w:t>
            </w:r>
          </w:p>
        </w:tc>
      </w:tr>
      <w:tr>
        <w:tc>
          <w:tcPr>
            <w:tcW w:type="dxa" w:w="510"/>
            <w:vAlign w:val="center"/>
          </w:tcPr>
          <w:p>
            <w:pPr>
              <w:spacing w:before="20" w:after="20"/>
            </w:pPr>
            <w:r>
              <w:rPr>
                <w:rFonts w:ascii="游ゴシック" w:hAnsi="游ゴシック" w:eastAsia="游ゴシック"/>
                <w:b w:val="0"/>
                <w:i w:val="0"/>
                <w:sz w:val="17"/>
              </w:rPr>
              <w:t>6</w:t>
            </w:r>
          </w:p>
        </w:tc>
        <w:tc>
          <w:tcPr>
            <w:tcW w:type="dxa" w:w="2268"/>
            <w:vAlign w:val="center"/>
          </w:tcPr>
          <w:p>
            <w:pPr>
              <w:spacing w:before="20" w:after="20"/>
            </w:pPr>
            <w:r>
              <w:rPr>
                <w:rFonts w:ascii="游ゴシック" w:hAnsi="游ゴシック" w:eastAsia="游ゴシック"/>
                <w:b w:val="0"/>
                <w:i w:val="0"/>
                <w:sz w:val="17"/>
              </w:rPr>
              <w:t>障がい児調査は25件しかないが、どう扱うのか。</w:t>
            </w:r>
          </w:p>
        </w:tc>
        <w:tc>
          <w:tcPr>
            <w:tcW w:type="dxa" w:w="4309"/>
            <w:vAlign w:val="center"/>
          </w:tcPr>
          <w:p>
            <w:pPr>
              <w:spacing w:before="20" w:after="20"/>
            </w:pPr>
            <w:r>
              <w:rPr>
                <w:rFonts w:ascii="游ゴシック" w:hAnsi="游ゴシック" w:eastAsia="游ゴシック"/>
                <w:b w:val="0"/>
                <w:i w:val="0"/>
                <w:sz w:val="17"/>
              </w:rPr>
              <w:t>件数が少ないため、割合は傾向を見るものとして扱い、学校、相談支援事業所、サービス事業所への聞き取りと合わせて計画に用います。</w:t>
            </w:r>
          </w:p>
        </w:tc>
        <w:tc>
          <w:tcPr>
            <w:tcW w:type="dxa" w:w="2665"/>
            <w:vAlign w:val="center"/>
          </w:tcPr>
          <w:p>
            <w:pPr>
              <w:spacing w:before="20" w:after="20"/>
            </w:pPr>
            <w:r>
              <w:rPr>
                <w:rFonts w:ascii="游ゴシック" w:hAnsi="游ゴシック" w:eastAsia="游ゴシック"/>
                <w:b w:val="0"/>
                <w:i w:val="0"/>
                <w:sz w:val="17"/>
              </w:rPr>
              <w:t>分析報告書 第2章3</w:t>
            </w:r>
          </w:p>
        </w:tc>
      </w:tr>
      <w:tr>
        <w:tc>
          <w:tcPr>
            <w:tcW w:type="dxa" w:w="510"/>
            <w:vAlign w:val="center"/>
          </w:tcPr>
          <w:p>
            <w:pPr>
              <w:spacing w:before="20" w:after="20"/>
            </w:pPr>
            <w:r>
              <w:rPr>
                <w:rFonts w:ascii="游ゴシック" w:hAnsi="游ゴシック" w:eastAsia="游ゴシック"/>
                <w:b w:val="0"/>
                <w:i w:val="0"/>
                <w:sz w:val="17"/>
              </w:rPr>
              <w:t>7</w:t>
            </w:r>
          </w:p>
        </w:tc>
        <w:tc>
          <w:tcPr>
            <w:tcW w:type="dxa" w:w="2268"/>
            <w:vAlign w:val="center"/>
          </w:tcPr>
          <w:p>
            <w:pPr>
              <w:spacing w:before="20" w:after="20"/>
            </w:pPr>
            <w:r>
              <w:rPr>
                <w:rFonts w:ascii="游ゴシック" w:hAnsi="游ゴシック" w:eastAsia="游ゴシック"/>
                <w:b w:val="0"/>
                <w:i w:val="0"/>
                <w:sz w:val="17"/>
              </w:rPr>
              <w:t>「今後利用したい」が多いサービスがあるのに、見込量があまり増えないのはなぜか。</w:t>
            </w:r>
          </w:p>
        </w:tc>
        <w:tc>
          <w:tcPr>
            <w:tcW w:type="dxa" w:w="4309"/>
            <w:vAlign w:val="center"/>
          </w:tcPr>
          <w:p>
            <w:pPr>
              <w:spacing w:before="20" w:after="20"/>
            </w:pPr>
            <w:r>
              <w:rPr>
                <w:rFonts w:ascii="游ゴシック" w:hAnsi="游ゴシック" w:eastAsia="游ゴシック"/>
                <w:b w:val="0"/>
                <w:i w:val="0"/>
                <w:sz w:val="17"/>
              </w:rPr>
              <w:t>利用意向は「あれば使いたい」というお考えも含むため、そのまま見込量にはしていません。見込量は利用の実績を基に置き、利用意向はどのサービスに重点を置くかを考える手がかりにしています。</w:t>
            </w:r>
          </w:p>
        </w:tc>
        <w:tc>
          <w:tcPr>
            <w:tcW w:type="dxa" w:w="2665"/>
            <w:vAlign w:val="center"/>
          </w:tcPr>
          <w:p>
            <w:pPr>
              <w:spacing w:before="20" w:after="20"/>
            </w:pPr>
            <w:r>
              <w:rPr>
                <w:rFonts w:ascii="游ゴシック" w:hAnsi="游ゴシック" w:eastAsia="游ゴシック"/>
                <w:b w:val="0"/>
                <w:i w:val="0"/>
                <w:sz w:val="17"/>
              </w:rPr>
              <w:t>分析報告書も「利用意向をそのまま見込量とすることはできない」と明記</w:t>
            </w:r>
          </w:p>
        </w:tc>
      </w:tr>
      <w:tr>
        <w:tc>
          <w:tcPr>
            <w:tcW w:type="dxa" w:w="510"/>
            <w:vAlign w:val="center"/>
          </w:tcPr>
          <w:p>
            <w:pPr>
              <w:spacing w:before="20" w:after="20"/>
            </w:pPr>
            <w:r>
              <w:rPr>
                <w:rFonts w:ascii="游ゴシック" w:hAnsi="游ゴシック" w:eastAsia="游ゴシック"/>
                <w:b w:val="0"/>
                <w:i w:val="0"/>
                <w:sz w:val="17"/>
              </w:rPr>
              <w:t>8</w:t>
            </w:r>
          </w:p>
        </w:tc>
        <w:tc>
          <w:tcPr>
            <w:tcW w:type="dxa" w:w="2268"/>
            <w:vAlign w:val="center"/>
          </w:tcPr>
          <w:p>
            <w:pPr>
              <w:spacing w:before="20" w:after="20"/>
            </w:pPr>
            <w:r>
              <w:rPr>
                <w:rFonts w:ascii="游ゴシック" w:hAnsi="游ゴシック" w:eastAsia="游ゴシック"/>
                <w:b w:val="0"/>
                <w:i w:val="0"/>
                <w:sz w:val="17"/>
              </w:rPr>
              <w:t>「現在利用している」の回答が、町の実績より多いのはなぜか。</w:t>
            </w:r>
          </w:p>
        </w:tc>
        <w:tc>
          <w:tcPr>
            <w:tcW w:type="dxa" w:w="4309"/>
            <w:vAlign w:val="center"/>
          </w:tcPr>
          <w:p>
            <w:pPr>
              <w:spacing w:before="20" w:after="20"/>
            </w:pPr>
            <w:r>
              <w:rPr>
                <w:rFonts w:ascii="游ゴシック" w:hAnsi="游ゴシック" w:eastAsia="游ゴシック"/>
                <w:b w:val="0"/>
                <w:i w:val="0"/>
                <w:sz w:val="17"/>
              </w:rPr>
              <w:t>介護保険のサービスを利用している方が29.7％おり、名前の似たサービス（相談支援とケアプランなど）を障がい福祉のサービスとして回答されている可能性があります。利用の実績は給付の実績で確かめています。</w:t>
            </w:r>
          </w:p>
        </w:tc>
        <w:tc>
          <w:tcPr>
            <w:tcW w:type="dxa" w:w="2665"/>
            <w:vAlign w:val="center"/>
          </w:tcPr>
          <w:p>
            <w:pPr>
              <w:spacing w:before="20" w:after="20"/>
            </w:pPr>
            <w:r>
              <w:rPr>
                <w:rFonts w:ascii="游ゴシック" w:hAnsi="游ゴシック" w:eastAsia="游ゴシック"/>
                <w:b w:val="0"/>
                <w:i w:val="0"/>
                <w:sz w:val="17"/>
              </w:rPr>
              <w:t>個票（回答コードのみ）があれば、介護保険の利用の有無で分けて集計し直せる。町に依頼中</w:t>
            </w:r>
          </w:p>
        </w:tc>
      </w:tr>
      <w:tr>
        <w:tc>
          <w:tcPr>
            <w:tcW w:type="dxa" w:w="510"/>
            <w:vAlign w:val="center"/>
          </w:tcPr>
          <w:p>
            <w:pPr>
              <w:spacing w:before="20" w:after="20"/>
            </w:pPr>
            <w:r>
              <w:rPr>
                <w:rFonts w:ascii="游ゴシック" w:hAnsi="游ゴシック" w:eastAsia="游ゴシック"/>
                <w:b w:val="0"/>
                <w:i w:val="0"/>
                <w:sz w:val="17"/>
              </w:rPr>
              <w:t>9</w:t>
            </w:r>
          </w:p>
        </w:tc>
        <w:tc>
          <w:tcPr>
            <w:tcW w:type="dxa" w:w="2268"/>
            <w:vAlign w:val="center"/>
          </w:tcPr>
          <w:p>
            <w:pPr>
              <w:spacing w:before="20" w:after="20"/>
            </w:pPr>
            <w:r>
              <w:rPr>
                <w:rFonts w:ascii="游ゴシック" w:hAnsi="游ゴシック" w:eastAsia="游ゴシック"/>
                <w:b w:val="0"/>
                <w:i w:val="0"/>
                <w:sz w:val="17"/>
              </w:rPr>
              <w:t>前回調査と比べてどう変わったのか。</w:t>
            </w:r>
          </w:p>
        </w:tc>
        <w:tc>
          <w:tcPr>
            <w:tcW w:type="dxa" w:w="4309"/>
            <w:vAlign w:val="center"/>
          </w:tcPr>
          <w:p>
            <w:pPr>
              <w:spacing w:before="20" w:after="20"/>
            </w:pPr>
            <w:r>
              <w:rPr>
                <w:rFonts w:ascii="游ゴシック" w:hAnsi="游ゴシック" w:eastAsia="游ゴシック"/>
                <w:b w:val="0"/>
                <w:i w:val="0"/>
                <w:sz w:val="17"/>
              </w:rPr>
              <w:t>比べられる設問を整理しており、素案では変化をお示しします。</w:t>
            </w:r>
          </w:p>
        </w:tc>
        <w:tc>
          <w:tcPr>
            <w:tcW w:type="dxa" w:w="2665"/>
            <w:vAlign w:val="center"/>
          </w:tcPr>
          <w:p>
            <w:pPr>
              <w:spacing w:before="20" w:after="20"/>
            </w:pPr>
            <w:r>
              <w:rPr>
                <w:rFonts w:ascii="游ゴシック" w:hAnsi="游ゴシック" w:eastAsia="游ゴシック"/>
                <w:b w:val="0"/>
                <w:i w:val="0"/>
                <w:sz w:val="17"/>
              </w:rPr>
              <w:t>前回調査の設問別の回答数を町に確認中（【町データ待ち】）</w:t>
            </w:r>
          </w:p>
        </w:tc>
      </w:tr>
      <w:tr>
        <w:tc>
          <w:tcPr>
            <w:tcW w:type="dxa" w:w="510"/>
            <w:vAlign w:val="center"/>
          </w:tcPr>
          <w:p>
            <w:pPr>
              <w:keepNext/>
              <w:spacing w:before="20" w:after="20"/>
            </w:pPr>
            <w:r>
              <w:rPr>
                <w:rFonts w:ascii="游ゴシック" w:hAnsi="游ゴシック" w:eastAsia="游ゴシック"/>
                <w:b w:val="0"/>
                <w:i w:val="0"/>
                <w:sz w:val="17"/>
              </w:rPr>
              <w:t>10</w:t>
            </w:r>
          </w:p>
        </w:tc>
        <w:tc>
          <w:tcPr>
            <w:tcW w:type="dxa" w:w="2268"/>
            <w:vAlign w:val="center"/>
          </w:tcPr>
          <w:p>
            <w:pPr>
              <w:keepNext/>
              <w:spacing w:before="20" w:after="20"/>
            </w:pPr>
            <w:r>
              <w:rPr>
                <w:rFonts w:ascii="游ゴシック" w:hAnsi="游ゴシック" w:eastAsia="游ゴシック"/>
                <w:b w:val="0"/>
                <w:i w:val="0"/>
                <w:sz w:val="17"/>
              </w:rPr>
              <w:t>障がい児の災害時の結果が資料にないのはなぜか。</w:t>
            </w:r>
          </w:p>
        </w:tc>
        <w:tc>
          <w:tcPr>
            <w:tcW w:type="dxa" w:w="4309"/>
            <w:vAlign w:val="center"/>
          </w:tcPr>
          <w:p>
            <w:pPr>
              <w:keepNext/>
              <w:spacing w:before="20" w:after="20"/>
            </w:pPr>
            <w:r>
              <w:rPr>
                <w:rFonts w:ascii="游ゴシック" w:hAnsi="游ゴシック" w:eastAsia="游ゴシック"/>
                <w:b w:val="0"/>
                <w:i w:val="0"/>
                <w:sz w:val="17"/>
              </w:rPr>
              <w:t>避難行動要支援者の登録や個別避難計画の希望についての回答を確認しているためです。確認ができ次第、素案に反映します。</w:t>
            </w:r>
          </w:p>
        </w:tc>
        <w:tc>
          <w:tcPr>
            <w:tcW w:type="dxa" w:w="2665"/>
            <w:vAlign w:val="center"/>
          </w:tcPr>
          <w:p>
            <w:pPr>
              <w:keepNext/>
              <w:spacing w:before="20" w:after="20"/>
            </w:pPr>
            <w:r>
              <w:rPr>
                <w:rFonts w:ascii="游ゴシック" w:hAnsi="游ゴシック" w:eastAsia="游ゴシック"/>
                <w:b w:val="0"/>
                <w:i w:val="0"/>
                <w:sz w:val="17"/>
              </w:rPr>
              <w:t>回答が整合しない（避難できない・わからない72.0％なのに、登録希望1件・計画希望0件）。原票の入力の確認を依頼中</w:t>
            </w:r>
          </w:p>
        </w:tc>
      </w:tr>
      <w:tr>
        <w:tc>
          <w:tcPr>
            <w:tcW w:type="dxa" w:w="510"/>
            <w:vAlign w:val="center"/>
          </w:tcPr>
          <w:p>
            <w:pPr>
              <w:spacing w:before="20" w:after="20"/>
            </w:pPr>
            <w:r>
              <w:rPr>
                <w:rFonts w:ascii="游ゴシック" w:hAnsi="游ゴシック" w:eastAsia="游ゴシック"/>
                <w:b w:val="0"/>
                <w:i w:val="0"/>
                <w:sz w:val="17"/>
              </w:rPr>
              <w:t>11</w:t>
            </w:r>
          </w:p>
        </w:tc>
        <w:tc>
          <w:tcPr>
            <w:tcW w:type="dxa" w:w="2268"/>
            <w:vAlign w:val="center"/>
          </w:tcPr>
          <w:p>
            <w:pPr>
              <w:spacing w:before="20" w:after="20"/>
            </w:pPr>
            <w:r>
              <w:rPr>
                <w:rFonts w:ascii="游ゴシック" w:hAnsi="游ゴシック" w:eastAsia="游ゴシック"/>
                <w:b w:val="0"/>
                <w:i w:val="0"/>
                <w:sz w:val="17"/>
              </w:rPr>
              <w:t>自由意見はどう扱うのか。</w:t>
            </w:r>
          </w:p>
        </w:tc>
        <w:tc>
          <w:tcPr>
            <w:tcW w:type="dxa" w:w="4309"/>
            <w:vAlign w:val="center"/>
          </w:tcPr>
          <w:p>
            <w:pPr>
              <w:spacing w:before="20" w:after="20"/>
            </w:pPr>
            <w:r>
              <w:rPr>
                <w:rFonts w:ascii="游ゴシック" w:hAnsi="游ゴシック" w:eastAsia="游ゴシック"/>
                <w:b w:val="0"/>
                <w:i w:val="0"/>
                <w:sz w:val="17"/>
              </w:rPr>
              <w:t>報告書に分野ごとに整理しています。個人が特定されるおそれのある表現は、掲載の前に確認します。</w:t>
            </w:r>
          </w:p>
        </w:tc>
        <w:tc>
          <w:tcPr>
            <w:tcW w:type="dxa" w:w="2665"/>
            <w:vAlign w:val="center"/>
          </w:tcPr>
          <w:p>
            <w:pPr>
              <w:spacing w:before="20" w:after="20"/>
            </w:pPr>
            <w:r>
              <w:rPr>
                <w:rFonts w:ascii="游ゴシック" w:hAnsi="游ゴシック" w:eastAsia="游ゴシック"/>
                <w:b w:val="0"/>
                <w:i w:val="0"/>
                <w:sz w:val="17"/>
              </w:rPr>
              <w:t>分析報告書 第3章9・第5章9・第6章3</w:t>
            </w:r>
          </w:p>
        </w:tc>
      </w:tr>
    </w:tbl>
    <w:p>
      <w:pPr>
        <w:spacing w:after="40"/>
      </w:pPr>
    </w:p>
    <w:p>
      <w:pPr>
        <w:pStyle w:val="Heading1"/>
        <w:keepNext/>
        <w:spacing w:before="240" w:after="100"/>
      </w:pPr>
      <w:bookmarkStart w:id="104" w:name="_Toc_004"/>
      <w:r>
        <w:rPr>
          <w:rFonts w:ascii="游ゴシック" w:hAnsi="游ゴシック" w:eastAsia="游ゴシック"/>
          <w:b/>
          <w:i w:val="0"/>
          <w:color w:val="2E74B5"/>
          <w:sz w:val="30"/>
        </w:rPr>
        <w:t>C　手帳所持者・人口</w:t>
      </w:r>
      <w:bookmarkEnd w:id="104"/>
    </w:p>
    <w:p>
      <w:pPr>
        <w:keepNext/>
        <w:spacing w:before="200" w:after="40"/>
      </w:pPr>
      <w:r>
        <w:rPr>
          <w:rFonts w:ascii="游ゴシック" w:hAnsi="游ゴシック" w:eastAsia="游ゴシック"/>
          <w:b/>
          <w:i w:val="0"/>
          <w:color w:val="1F4D78"/>
          <w:sz w:val="22"/>
        </w:rPr>
        <w:t>【表3】手帳所持者・人口の想定問答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268"/>
        <w:gridCol w:w="4309"/>
        <w:gridCol w:w="2665"/>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想定される質問</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回答（案）</w:t>
            </w:r>
          </w:p>
        </w:tc>
        <w:tc>
          <w:tcPr>
            <w:tcW w:type="dxa" w:w="2665"/>
            <w:shd w:val="clear" w:fill="1F3864"/>
            <w:vAlign w:val="center"/>
          </w:tcPr>
          <w:p>
            <w:pPr>
              <w:spacing w:before="20" w:after="20"/>
              <w:jc w:val="center"/>
            </w:pPr>
            <w:r>
              <w:rPr>
                <w:rFonts w:ascii="游ゴシック" w:hAnsi="游ゴシック" w:eastAsia="游ゴシック"/>
                <w:b/>
                <w:i w:val="0"/>
                <w:color w:val="FFFFFF"/>
                <w:sz w:val="17"/>
              </w:rPr>
              <w:t>補足（事務局用）</w:t>
            </w:r>
          </w:p>
        </w:tc>
      </w:tr>
      <w:tr>
        <w:tc>
          <w:tcPr>
            <w:tcW w:type="dxa" w:w="510"/>
            <w:vAlign w:val="center"/>
          </w:tcPr>
          <w:p>
            <w:pPr>
              <w:spacing w:before="20" w:after="20"/>
            </w:pPr>
            <w:r>
              <w:rPr>
                <w:rFonts w:ascii="游ゴシック" w:hAnsi="游ゴシック" w:eastAsia="游ゴシック"/>
                <w:b w:val="0"/>
                <w:i w:val="0"/>
                <w:sz w:val="17"/>
              </w:rPr>
              <w:t>12</w:t>
            </w:r>
          </w:p>
        </w:tc>
        <w:tc>
          <w:tcPr>
            <w:tcW w:type="dxa" w:w="2268"/>
            <w:vAlign w:val="center"/>
          </w:tcPr>
          <w:p>
            <w:pPr>
              <w:spacing w:before="20" w:after="20"/>
            </w:pPr>
            <w:r>
              <w:rPr>
                <w:rFonts w:ascii="游ゴシック" w:hAnsi="游ゴシック" w:eastAsia="游ゴシック"/>
                <w:b w:val="0"/>
                <w:i w:val="0"/>
                <w:sz w:val="17"/>
              </w:rPr>
              <w:t>手帳を持っている方が減っているのはなぜか。</w:t>
            </w:r>
          </w:p>
        </w:tc>
        <w:tc>
          <w:tcPr>
            <w:tcW w:type="dxa" w:w="4309"/>
            <w:vAlign w:val="center"/>
          </w:tcPr>
          <w:p>
            <w:pPr>
              <w:spacing w:before="20" w:after="20"/>
            </w:pPr>
            <w:r>
              <w:rPr>
                <w:rFonts w:ascii="游ゴシック" w:hAnsi="游ゴシック" w:eastAsia="游ゴシック"/>
                <w:b w:val="0"/>
                <w:i w:val="0"/>
                <w:sz w:val="17"/>
              </w:rPr>
              <w:t>全体では令和元年の578人から令和8年の495人に減っています。人口の減少のほか、亡くなられた方や返還、新たな申請の動きが考えられます。要因は町で確認しています。</w:t>
            </w:r>
          </w:p>
        </w:tc>
        <w:tc>
          <w:tcPr>
            <w:tcW w:type="dxa" w:w="2665"/>
            <w:vAlign w:val="center"/>
          </w:tcPr>
          <w:p>
            <w:pPr>
              <w:spacing w:before="20" w:after="20"/>
            </w:pPr>
            <w:r>
              <w:rPr>
                <w:rFonts w:ascii="游ゴシック" w:hAnsi="游ゴシック" w:eastAsia="游ゴシック"/>
                <w:b w:val="0"/>
                <w:i w:val="0"/>
                <w:sz w:val="17"/>
              </w:rPr>
              <w:t>要因の内訳（新規交付・返還・死亡・転出）を町に確認中（【町データ待ち】）</w:t>
            </w:r>
          </w:p>
        </w:tc>
      </w:tr>
      <w:tr>
        <w:tc>
          <w:tcPr>
            <w:tcW w:type="dxa" w:w="510"/>
            <w:vAlign w:val="center"/>
          </w:tcPr>
          <w:p>
            <w:pPr>
              <w:keepNext/>
              <w:spacing w:before="20" w:after="20"/>
            </w:pPr>
            <w:r>
              <w:rPr>
                <w:rFonts w:ascii="游ゴシック" w:hAnsi="游ゴシック" w:eastAsia="游ゴシック"/>
                <w:b w:val="0"/>
                <w:i w:val="0"/>
                <w:sz w:val="17"/>
              </w:rPr>
              <w:t>13</w:t>
            </w:r>
          </w:p>
        </w:tc>
        <w:tc>
          <w:tcPr>
            <w:tcW w:type="dxa" w:w="2268"/>
            <w:vAlign w:val="center"/>
          </w:tcPr>
          <w:p>
            <w:pPr>
              <w:keepNext/>
              <w:spacing w:before="20" w:after="20"/>
            </w:pPr>
            <w:r>
              <w:rPr>
                <w:rFonts w:ascii="游ゴシック" w:hAnsi="游ゴシック" w:eastAsia="游ゴシック"/>
                <w:b w:val="0"/>
                <w:i w:val="0"/>
                <w:sz w:val="17"/>
              </w:rPr>
              <w:t>精神障害者保健福祉手帳が増えているが、どう対応するのか。</w:t>
            </w:r>
          </w:p>
        </w:tc>
        <w:tc>
          <w:tcPr>
            <w:tcW w:type="dxa" w:w="4309"/>
            <w:vAlign w:val="center"/>
          </w:tcPr>
          <w:p>
            <w:pPr>
              <w:keepNext/>
              <w:spacing w:before="20" w:after="20"/>
            </w:pPr>
            <w:r>
              <w:rPr>
                <w:rFonts w:ascii="游ゴシック" w:hAnsi="游ゴシック" w:eastAsia="游ゴシック"/>
                <w:b w:val="0"/>
                <w:i w:val="0"/>
                <w:sz w:val="17"/>
              </w:rPr>
              <w:t>令和5年の45人から令和7年の62人に増え、令和8年は60人です。今後は55〜75人の見通しで、増える場合にも備えて、相談支援と、精神障がいにも対応した地域包括ケアの体制を考えます。</w:t>
            </w:r>
          </w:p>
        </w:tc>
        <w:tc>
          <w:tcPr>
            <w:tcW w:type="dxa" w:w="2665"/>
            <w:vAlign w:val="center"/>
          </w:tcPr>
          <w:p>
            <w:pPr>
              <w:keepNext/>
              <w:spacing w:before="20" w:after="20"/>
            </w:pPr>
            <w:r>
              <w:rPr>
                <w:rFonts w:ascii="游ゴシック" w:hAnsi="游ゴシック" w:eastAsia="游ゴシック"/>
                <w:b w:val="0"/>
                <w:i w:val="0"/>
                <w:sz w:val="17"/>
              </w:rPr>
              <w:t>素案 第1部第2章2・第2部第6章1</w:t>
            </w:r>
          </w:p>
        </w:tc>
      </w:tr>
      <w:tr>
        <w:tc>
          <w:tcPr>
            <w:tcW w:type="dxa" w:w="510"/>
            <w:vAlign w:val="center"/>
          </w:tcPr>
          <w:p>
            <w:pPr>
              <w:spacing w:before="20" w:after="20"/>
            </w:pPr>
            <w:r>
              <w:rPr>
                <w:rFonts w:ascii="游ゴシック" w:hAnsi="游ゴシック" w:eastAsia="游ゴシック"/>
                <w:b w:val="0"/>
                <w:i w:val="0"/>
                <w:sz w:val="17"/>
              </w:rPr>
              <w:t>14</w:t>
            </w:r>
          </w:p>
        </w:tc>
        <w:tc>
          <w:tcPr>
            <w:tcW w:type="dxa" w:w="2268"/>
            <w:vAlign w:val="center"/>
          </w:tcPr>
          <w:p>
            <w:pPr>
              <w:spacing w:before="20" w:after="20"/>
            </w:pPr>
            <w:r>
              <w:rPr>
                <w:rFonts w:ascii="游ゴシック" w:hAnsi="游ゴシック" w:eastAsia="游ゴシック"/>
                <w:b w:val="0"/>
                <w:i w:val="0"/>
                <w:sz w:val="17"/>
              </w:rPr>
              <w:t>人口の見通しが高齢者の計画と違うのではないか。</w:t>
            </w:r>
          </w:p>
        </w:tc>
        <w:tc>
          <w:tcPr>
            <w:tcW w:type="dxa" w:w="4309"/>
            <w:vAlign w:val="center"/>
          </w:tcPr>
          <w:p>
            <w:pPr>
              <w:spacing w:before="20" w:after="20"/>
            </w:pPr>
            <w:r>
              <w:rPr>
                <w:rFonts w:ascii="游ゴシック" w:hAnsi="游ゴシック" w:eastAsia="游ゴシック"/>
                <w:b w:val="0"/>
                <w:i w:val="0"/>
                <w:sz w:val="17"/>
              </w:rPr>
              <w:t>本資料の推計は、障がい福祉計画の設定シートの人口（令和11年 7,830人）によっています。高齢者の計画の人口（同 8,232人）とそろえる方向で、町で決めます。</w:t>
            </w:r>
          </w:p>
        </w:tc>
        <w:tc>
          <w:tcPr>
            <w:tcW w:type="dxa" w:w="2665"/>
            <w:vAlign w:val="center"/>
          </w:tcPr>
          <w:p>
            <w:pPr>
              <w:spacing w:before="20" w:after="20"/>
            </w:pPr>
            <w:r>
              <w:rPr>
                <w:rFonts w:ascii="游ゴシック" w:hAnsi="游ゴシック" w:eastAsia="游ゴシック"/>
                <w:b w:val="0"/>
                <w:i w:val="0"/>
                <w:sz w:val="17"/>
              </w:rPr>
              <w:t>高齢者計画の人口にそろえると、令和11年の身体は341人（据置の推計）。【決定後に記載】</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D　成果目標</w:t>
      </w:r>
      <w:bookmarkEnd w:id="105"/>
    </w:p>
    <w:p>
      <w:pPr>
        <w:keepNext/>
        <w:spacing w:before="200" w:after="40"/>
      </w:pPr>
      <w:r>
        <w:rPr>
          <w:rFonts w:ascii="游ゴシック" w:hAnsi="游ゴシック" w:eastAsia="游ゴシック"/>
          <w:b/>
          <w:i w:val="0"/>
          <w:color w:val="1F4D78"/>
          <w:sz w:val="22"/>
        </w:rPr>
        <w:t>【表4】成果目標の想定問答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268"/>
        <w:gridCol w:w="4309"/>
        <w:gridCol w:w="2665"/>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想定される質問</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回答（案）</w:t>
            </w:r>
          </w:p>
        </w:tc>
        <w:tc>
          <w:tcPr>
            <w:tcW w:type="dxa" w:w="2665"/>
            <w:shd w:val="clear" w:fill="1F3864"/>
            <w:vAlign w:val="center"/>
          </w:tcPr>
          <w:p>
            <w:pPr>
              <w:spacing w:before="20" w:after="20"/>
              <w:jc w:val="center"/>
            </w:pPr>
            <w:r>
              <w:rPr>
                <w:rFonts w:ascii="游ゴシック" w:hAnsi="游ゴシック" w:eastAsia="游ゴシック"/>
                <w:b/>
                <w:i w:val="0"/>
                <w:color w:val="FFFFFF"/>
                <w:sz w:val="17"/>
              </w:rPr>
              <w:t>補足（事務局用）</w:t>
            </w:r>
          </w:p>
        </w:tc>
      </w:tr>
      <w:tr>
        <w:tc>
          <w:tcPr>
            <w:tcW w:type="dxa" w:w="510"/>
            <w:vAlign w:val="center"/>
          </w:tcPr>
          <w:p>
            <w:pPr>
              <w:spacing w:before="20" w:after="20"/>
            </w:pPr>
            <w:r>
              <w:rPr>
                <w:rFonts w:ascii="游ゴシック" w:hAnsi="游ゴシック" w:eastAsia="游ゴシック"/>
                <w:b w:val="0"/>
                <w:i w:val="0"/>
                <w:sz w:val="17"/>
              </w:rPr>
              <w:t>15</w:t>
            </w:r>
          </w:p>
        </w:tc>
        <w:tc>
          <w:tcPr>
            <w:tcW w:type="dxa" w:w="2268"/>
            <w:vAlign w:val="center"/>
          </w:tcPr>
          <w:p>
            <w:pPr>
              <w:spacing w:before="20" w:after="20"/>
            </w:pPr>
            <w:r>
              <w:rPr>
                <w:rFonts w:ascii="游ゴシック" w:hAnsi="游ゴシック" w:eastAsia="游ゴシック"/>
                <w:b w:val="0"/>
                <w:i w:val="0"/>
                <w:sz w:val="17"/>
              </w:rPr>
              <w:t>施設入所者の地域生活への移行の目標はどうなるのか。</w:t>
            </w:r>
          </w:p>
        </w:tc>
        <w:tc>
          <w:tcPr>
            <w:tcW w:type="dxa" w:w="4309"/>
            <w:vAlign w:val="center"/>
          </w:tcPr>
          <w:p>
            <w:pPr>
              <w:spacing w:before="20" w:after="20"/>
            </w:pPr>
            <w:r>
              <w:rPr>
                <w:rFonts w:ascii="游ゴシック" w:hAnsi="游ゴシック" w:eastAsia="游ゴシック"/>
                <w:b w:val="0"/>
                <w:i w:val="0"/>
                <w:sz w:val="17"/>
              </w:rPr>
              <w:t>令和7年度末の施設入所者数を基準に、国の考え方（移行と削減）に沿って設定します。施設入所支援の利用者は、令和8年度で月18人です。</w:t>
            </w:r>
          </w:p>
        </w:tc>
        <w:tc>
          <w:tcPr>
            <w:tcW w:type="dxa" w:w="2665"/>
            <w:vAlign w:val="center"/>
          </w:tcPr>
          <w:p>
            <w:pPr>
              <w:spacing w:before="20" w:after="20"/>
            </w:pPr>
            <w:r>
              <w:rPr>
                <w:rFonts w:ascii="游ゴシック" w:hAnsi="游ゴシック" w:eastAsia="游ゴシック"/>
                <w:b w:val="0"/>
                <w:i w:val="0"/>
                <w:sz w:val="17"/>
              </w:rPr>
              <w:t>前回計画の目標値（令和4年度末26人に対し移行31人・削減22人）は、基準の人数を上回る置き方であり、評価には用いにくい。国の考え方では移行6％以上・削減5％以上。令和7年度末の確定値は町に確認中</w:t>
            </w:r>
          </w:p>
        </w:tc>
      </w:tr>
      <w:tr>
        <w:tc>
          <w:tcPr>
            <w:tcW w:type="dxa" w:w="510"/>
            <w:vAlign w:val="center"/>
          </w:tcPr>
          <w:p>
            <w:pPr>
              <w:spacing w:before="20" w:after="20"/>
            </w:pPr>
            <w:r>
              <w:rPr>
                <w:rFonts w:ascii="游ゴシック" w:hAnsi="游ゴシック" w:eastAsia="游ゴシック"/>
                <w:b w:val="0"/>
                <w:i w:val="0"/>
                <w:sz w:val="17"/>
              </w:rPr>
              <w:t>16</w:t>
            </w:r>
          </w:p>
        </w:tc>
        <w:tc>
          <w:tcPr>
            <w:tcW w:type="dxa" w:w="2268"/>
            <w:vAlign w:val="center"/>
          </w:tcPr>
          <w:p>
            <w:pPr>
              <w:spacing w:before="20" w:after="20"/>
            </w:pPr>
            <w:r>
              <w:rPr>
                <w:rFonts w:ascii="游ゴシック" w:hAnsi="游ゴシック" w:eastAsia="游ゴシック"/>
                <w:b w:val="0"/>
                <w:i w:val="0"/>
                <w:sz w:val="17"/>
              </w:rPr>
              <w:t>「望まないセルフプラン」とは何か。町の状況は。</w:t>
            </w:r>
          </w:p>
        </w:tc>
        <w:tc>
          <w:tcPr>
            <w:tcW w:type="dxa" w:w="4309"/>
            <w:vAlign w:val="center"/>
          </w:tcPr>
          <w:p>
            <w:pPr>
              <w:spacing w:before="20" w:after="20"/>
            </w:pPr>
            <w:r>
              <w:rPr>
                <w:rFonts w:ascii="游ゴシック" w:hAnsi="游ゴシック" w:eastAsia="游ゴシック"/>
                <w:b w:val="0"/>
                <w:i w:val="0"/>
                <w:sz w:val="17"/>
              </w:rPr>
              <w:t>相談支援専門員による計画をご希望なのに、事業所が見つからないなどの理由でご本人等がつくる計画（セルフプラン）になっているものです。国は令和11年度末までにゼロにする目標を示しています。</w:t>
            </w:r>
          </w:p>
        </w:tc>
        <w:tc>
          <w:tcPr>
            <w:tcW w:type="dxa" w:w="2665"/>
            <w:vAlign w:val="center"/>
          </w:tcPr>
          <w:p>
            <w:pPr>
              <w:spacing w:before="20" w:after="20"/>
            </w:pPr>
            <w:r>
              <w:rPr>
                <w:rFonts w:ascii="游ゴシック" w:hAnsi="游ゴシック" w:eastAsia="游ゴシック"/>
                <w:b w:val="0"/>
                <w:i w:val="0"/>
                <w:sz w:val="17"/>
              </w:rPr>
              <w:t>町のセルフプランの件数（うち望まないもの）を確認中（【町データ待ち】）</w:t>
            </w:r>
          </w:p>
        </w:tc>
      </w:tr>
      <w:tr>
        <w:tc>
          <w:tcPr>
            <w:tcW w:type="dxa" w:w="510"/>
            <w:vAlign w:val="center"/>
          </w:tcPr>
          <w:p>
            <w:pPr>
              <w:spacing w:before="20" w:after="20"/>
            </w:pPr>
            <w:r>
              <w:rPr>
                <w:rFonts w:ascii="游ゴシック" w:hAnsi="游ゴシック" w:eastAsia="游ゴシック"/>
                <w:b w:val="0"/>
                <w:i w:val="0"/>
                <w:sz w:val="17"/>
              </w:rPr>
              <w:t>17</w:t>
            </w:r>
          </w:p>
        </w:tc>
        <w:tc>
          <w:tcPr>
            <w:tcW w:type="dxa" w:w="2268"/>
            <w:vAlign w:val="center"/>
          </w:tcPr>
          <w:p>
            <w:pPr>
              <w:spacing w:before="20" w:after="20"/>
            </w:pPr>
            <w:r>
              <w:rPr>
                <w:rFonts w:ascii="游ゴシック" w:hAnsi="游ゴシック" w:eastAsia="游ゴシック"/>
                <w:b w:val="0"/>
                <w:i w:val="0"/>
                <w:sz w:val="17"/>
              </w:rPr>
              <w:t>地域生活支援拠点は町ではどうなっているのか。</w:t>
            </w:r>
          </w:p>
        </w:tc>
        <w:tc>
          <w:tcPr>
            <w:tcW w:type="dxa" w:w="4309"/>
            <w:vAlign w:val="center"/>
          </w:tcPr>
          <w:p>
            <w:pPr>
              <w:spacing w:before="20" w:after="20"/>
            </w:pPr>
            <w:r>
              <w:rPr>
                <w:rFonts w:ascii="游ゴシック" w:hAnsi="游ゴシック" w:eastAsia="游ゴシック"/>
                <w:b w:val="0"/>
                <w:i w:val="0"/>
                <w:sz w:val="17"/>
              </w:rPr>
              <w:t>前回計画では、拠点1か所・コーディネーター1人の維持を目標としていました。相談、緊急時の受け入れ、体験の機会、専門的な人材の確保、地域の体制づくりの5つの機能ごとに運用の状況を評価し、目標を置きます。</w:t>
            </w:r>
          </w:p>
        </w:tc>
        <w:tc>
          <w:tcPr>
            <w:tcW w:type="dxa" w:w="2665"/>
            <w:vAlign w:val="center"/>
          </w:tcPr>
          <w:p>
            <w:pPr>
              <w:spacing w:before="20" w:after="20"/>
            </w:pPr>
            <w:r>
              <w:rPr>
                <w:rFonts w:ascii="游ゴシック" w:hAnsi="游ゴシック" w:eastAsia="游ゴシック"/>
                <w:b w:val="0"/>
                <w:i w:val="0"/>
                <w:sz w:val="17"/>
              </w:rPr>
              <w:t>拠点の現在の運用状況（機能ごとの実績）を町に確認（【町データ待ち】）</w:t>
            </w:r>
          </w:p>
        </w:tc>
      </w:tr>
      <w:tr>
        <w:tc>
          <w:tcPr>
            <w:tcW w:type="dxa" w:w="510"/>
            <w:vAlign w:val="center"/>
          </w:tcPr>
          <w:p>
            <w:pPr>
              <w:spacing w:before="20" w:after="20"/>
            </w:pPr>
            <w:r>
              <w:rPr>
                <w:rFonts w:ascii="游ゴシック" w:hAnsi="游ゴシック" w:eastAsia="游ゴシック"/>
                <w:b w:val="0"/>
                <w:i w:val="0"/>
                <w:sz w:val="17"/>
              </w:rPr>
              <w:t>18</w:t>
            </w:r>
          </w:p>
        </w:tc>
        <w:tc>
          <w:tcPr>
            <w:tcW w:type="dxa" w:w="2268"/>
            <w:vAlign w:val="center"/>
          </w:tcPr>
          <w:p>
            <w:pPr>
              <w:spacing w:before="20" w:after="20"/>
            </w:pPr>
            <w:r>
              <w:rPr>
                <w:rFonts w:ascii="游ゴシック" w:hAnsi="游ゴシック" w:eastAsia="游ゴシック"/>
                <w:b w:val="0"/>
                <w:i w:val="0"/>
                <w:sz w:val="17"/>
              </w:rPr>
              <w:t>精神障がいにも対応した地域包括ケアで、町は何をするのか。</w:t>
            </w:r>
          </w:p>
        </w:tc>
        <w:tc>
          <w:tcPr>
            <w:tcW w:type="dxa" w:w="4309"/>
            <w:vAlign w:val="center"/>
          </w:tcPr>
          <w:p>
            <w:pPr>
              <w:spacing w:before="20" w:after="20"/>
            </w:pPr>
            <w:r>
              <w:rPr>
                <w:rFonts w:ascii="游ゴシック" w:hAnsi="游ゴシック" w:eastAsia="游ゴシック"/>
                <w:b w:val="0"/>
                <w:i w:val="0"/>
                <w:sz w:val="17"/>
              </w:rPr>
              <w:t>成果目標は県が設定します。町は、県中医療圏の保健・医療・福祉の協議の場への参加などを活動の指標として置きます。</w:t>
            </w:r>
          </w:p>
        </w:tc>
        <w:tc>
          <w:tcPr>
            <w:tcW w:type="dxa" w:w="2665"/>
            <w:vAlign w:val="center"/>
          </w:tcPr>
          <w:p>
            <w:pPr>
              <w:spacing w:before="20" w:after="20"/>
            </w:pPr>
            <w:r>
              <w:rPr>
                <w:rFonts w:ascii="游ゴシック" w:hAnsi="游ゴシック" w:eastAsia="游ゴシック"/>
                <w:b w:val="0"/>
                <w:i w:val="0"/>
                <w:sz w:val="17"/>
              </w:rPr>
              <w:t>県に協議の場の設置状況を照会中</w:t>
            </w:r>
          </w:p>
        </w:tc>
      </w:tr>
      <w:tr>
        <w:tc>
          <w:tcPr>
            <w:tcW w:type="dxa" w:w="510"/>
            <w:vAlign w:val="center"/>
          </w:tcPr>
          <w:p>
            <w:pPr>
              <w:keepNext/>
              <w:spacing w:before="20" w:after="20"/>
            </w:pPr>
            <w:r>
              <w:rPr>
                <w:rFonts w:ascii="游ゴシック" w:hAnsi="游ゴシック" w:eastAsia="游ゴシック"/>
                <w:b w:val="0"/>
                <w:i w:val="0"/>
                <w:sz w:val="17"/>
              </w:rPr>
              <w:t>19</w:t>
            </w:r>
          </w:p>
        </w:tc>
        <w:tc>
          <w:tcPr>
            <w:tcW w:type="dxa" w:w="2268"/>
            <w:vAlign w:val="center"/>
          </w:tcPr>
          <w:p>
            <w:pPr>
              <w:keepNext/>
              <w:spacing w:before="20" w:after="20"/>
            </w:pPr>
            <w:r>
              <w:rPr>
                <w:rFonts w:ascii="游ゴシック" w:hAnsi="游ゴシック" w:eastAsia="游ゴシック"/>
                <w:b w:val="0"/>
                <w:i w:val="0"/>
                <w:sz w:val="17"/>
              </w:rPr>
              <w:t>福祉の人材が足りないが、町として何をするのか。</w:t>
            </w:r>
          </w:p>
        </w:tc>
        <w:tc>
          <w:tcPr>
            <w:tcW w:type="dxa" w:w="4309"/>
            <w:vAlign w:val="center"/>
          </w:tcPr>
          <w:p>
            <w:pPr>
              <w:keepNext/>
              <w:spacing w:before="20" w:after="20"/>
            </w:pPr>
            <w:r>
              <w:rPr>
                <w:rFonts w:ascii="游ゴシック" w:hAnsi="游ゴシック" w:eastAsia="游ゴシック"/>
                <w:b w:val="0"/>
                <w:i w:val="0"/>
                <w:sz w:val="17"/>
              </w:rPr>
              <w:t>法改正で、計画に「都道府県と連携した人材の確保・生産性の向上の取組」を定めることになりました。県の窓口や協議会と連携した取組として記載します。</w:t>
            </w:r>
          </w:p>
        </w:tc>
        <w:tc>
          <w:tcPr>
            <w:tcW w:type="dxa" w:w="2665"/>
            <w:vAlign w:val="center"/>
          </w:tcPr>
          <w:p>
            <w:pPr>
              <w:keepNext/>
              <w:spacing w:before="20" w:after="20"/>
            </w:pPr>
            <w:r>
              <w:rPr>
                <w:rFonts w:ascii="游ゴシック" w:hAnsi="游ゴシック" w:eastAsia="游ゴシック"/>
                <w:b w:val="0"/>
                <w:i w:val="0"/>
                <w:sz w:val="17"/>
              </w:rPr>
              <w:t>障害者総合支援法第88条第3項第3号〜第5号（令和9年4月1日施行・努力義務）</w:t>
            </w:r>
          </w:p>
        </w:tc>
      </w:tr>
      <w:tr>
        <w:tc>
          <w:tcPr>
            <w:tcW w:type="dxa" w:w="510"/>
            <w:vAlign w:val="center"/>
          </w:tcPr>
          <w:p>
            <w:pPr>
              <w:spacing w:before="20" w:after="20"/>
            </w:pPr>
            <w:r>
              <w:rPr>
                <w:rFonts w:ascii="游ゴシック" w:hAnsi="游ゴシック" w:eastAsia="游ゴシック"/>
                <w:b w:val="0"/>
                <w:i w:val="0"/>
                <w:sz w:val="17"/>
              </w:rPr>
              <w:t>20</w:t>
            </w:r>
          </w:p>
        </w:tc>
        <w:tc>
          <w:tcPr>
            <w:tcW w:type="dxa" w:w="2268"/>
            <w:vAlign w:val="center"/>
          </w:tcPr>
          <w:p>
            <w:pPr>
              <w:spacing w:before="20" w:after="20"/>
            </w:pPr>
            <w:r>
              <w:rPr>
                <w:rFonts w:ascii="游ゴシック" w:hAnsi="游ゴシック" w:eastAsia="游ゴシック"/>
                <w:b w:val="0"/>
                <w:i w:val="0"/>
                <w:sz w:val="17"/>
              </w:rPr>
              <w:t>医療的ケアが必要な方への支援は。</w:t>
            </w:r>
          </w:p>
        </w:tc>
        <w:tc>
          <w:tcPr>
            <w:tcW w:type="dxa" w:w="4309"/>
            <w:vAlign w:val="center"/>
          </w:tcPr>
          <w:p>
            <w:pPr>
              <w:spacing w:before="20" w:after="20"/>
            </w:pPr>
            <w:r>
              <w:rPr>
                <w:rFonts w:ascii="游ゴシック" w:hAnsi="游ゴシック" w:eastAsia="游ゴシック"/>
                <w:b w:val="0"/>
                <w:i w:val="0"/>
                <w:sz w:val="17"/>
              </w:rPr>
              <w:t>医療的ケア児支援法の改正で、18歳以上の方も支援の対象に加わりました。医療的ケア児等コーディネーターの配置など、成人期を含めて目標を置きます。</w:t>
            </w:r>
          </w:p>
        </w:tc>
        <w:tc>
          <w:tcPr>
            <w:tcW w:type="dxa" w:w="2665"/>
            <w:vAlign w:val="center"/>
          </w:tcPr>
          <w:p>
            <w:pPr>
              <w:spacing w:before="20" w:after="20"/>
            </w:pPr>
            <w:r>
              <w:rPr>
                <w:rFonts w:ascii="游ゴシック" w:hAnsi="游ゴシック" w:eastAsia="游ゴシック"/>
                <w:b w:val="0"/>
                <w:i w:val="0"/>
                <w:sz w:val="17"/>
              </w:rPr>
              <w:t>令和8年法律第77号。基本指針の再改正の範囲は県に照会中</w:t>
            </w:r>
          </w:p>
        </w:tc>
      </w:tr>
    </w:tbl>
    <w:p>
      <w:pPr>
        <w:spacing w:after="40"/>
      </w:pPr>
    </w:p>
    <w:p>
      <w:pPr>
        <w:pStyle w:val="Heading1"/>
        <w:keepNext/>
        <w:spacing w:before="240" w:after="100"/>
      </w:pPr>
      <w:bookmarkStart w:id="106" w:name="_Toc_006"/>
      <w:r>
        <w:rPr>
          <w:rFonts w:ascii="游ゴシック" w:hAnsi="游ゴシック" w:eastAsia="游ゴシック"/>
          <w:b/>
          <w:i w:val="0"/>
          <w:color w:val="2E74B5"/>
          <w:sz w:val="30"/>
        </w:rPr>
        <w:t>E　サービス見込量</w:t>
      </w:r>
      <w:bookmarkEnd w:id="106"/>
    </w:p>
    <w:p>
      <w:pPr>
        <w:keepNext/>
        <w:spacing w:before="200" w:after="40"/>
      </w:pPr>
      <w:r>
        <w:rPr>
          <w:rFonts w:ascii="游ゴシック" w:hAnsi="游ゴシック" w:eastAsia="游ゴシック"/>
          <w:b/>
          <w:i w:val="0"/>
          <w:color w:val="1F4D78"/>
          <w:sz w:val="22"/>
        </w:rPr>
        <w:t>【表5】サービス見込量の想定問答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268"/>
        <w:gridCol w:w="4309"/>
        <w:gridCol w:w="2665"/>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想定される質問</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回答（案）</w:t>
            </w:r>
          </w:p>
        </w:tc>
        <w:tc>
          <w:tcPr>
            <w:tcW w:type="dxa" w:w="2665"/>
            <w:shd w:val="clear" w:fill="1F3864"/>
            <w:vAlign w:val="center"/>
          </w:tcPr>
          <w:p>
            <w:pPr>
              <w:spacing w:before="20" w:after="20"/>
              <w:jc w:val="center"/>
            </w:pPr>
            <w:r>
              <w:rPr>
                <w:rFonts w:ascii="游ゴシック" w:hAnsi="游ゴシック" w:eastAsia="游ゴシック"/>
                <w:b/>
                <w:i w:val="0"/>
                <w:color w:val="FFFFFF"/>
                <w:sz w:val="17"/>
              </w:rPr>
              <w:t>補足（事務局用）</w:t>
            </w:r>
          </w:p>
        </w:tc>
      </w:tr>
      <w:tr>
        <w:tc>
          <w:tcPr>
            <w:tcW w:type="dxa" w:w="510"/>
            <w:vAlign w:val="center"/>
          </w:tcPr>
          <w:p>
            <w:pPr>
              <w:spacing w:before="20" w:after="20"/>
            </w:pPr>
            <w:r>
              <w:rPr>
                <w:rFonts w:ascii="游ゴシック" w:hAnsi="游ゴシック" w:eastAsia="游ゴシック"/>
                <w:b w:val="0"/>
                <w:i w:val="0"/>
                <w:sz w:val="17"/>
              </w:rPr>
              <w:t>21</w:t>
            </w:r>
          </w:p>
        </w:tc>
        <w:tc>
          <w:tcPr>
            <w:tcW w:type="dxa" w:w="2268"/>
            <w:vAlign w:val="center"/>
          </w:tcPr>
          <w:p>
            <w:pPr>
              <w:spacing w:before="20" w:after="20"/>
            </w:pPr>
            <w:r>
              <w:rPr>
                <w:rFonts w:ascii="游ゴシック" w:hAnsi="游ゴシック" w:eastAsia="游ゴシック"/>
                <w:b w:val="0"/>
                <w:i w:val="0"/>
                <w:sz w:val="17"/>
              </w:rPr>
              <w:t>短期入所を使いたいという回答が多いのに、利用が0人なのはなぜか。</w:t>
            </w:r>
          </w:p>
        </w:tc>
        <w:tc>
          <w:tcPr>
            <w:tcW w:type="dxa" w:w="4309"/>
            <w:vAlign w:val="center"/>
          </w:tcPr>
          <w:p>
            <w:pPr>
              <w:spacing w:before="20" w:after="20"/>
            </w:pPr>
            <w:r>
              <w:rPr>
                <w:rFonts w:ascii="游ゴシック" w:hAnsi="游ゴシック" w:eastAsia="游ゴシック"/>
                <w:b w:val="0"/>
                <w:i w:val="0"/>
                <w:sz w:val="17"/>
              </w:rPr>
              <w:t>短期入所（福祉型）の利用は令和6〜8年度とも月0人です。一方、調査では25.9％の方が今後利用したいと答えています。受け入れ先の状況を確かめ、緊急時の受け入れ（地域生活支援拠点）と合わせて、確保の方策を検討します。</w:t>
            </w:r>
          </w:p>
        </w:tc>
        <w:tc>
          <w:tcPr>
            <w:tcW w:type="dxa" w:w="2665"/>
            <w:vAlign w:val="center"/>
          </w:tcPr>
          <w:p>
            <w:pPr>
              <w:spacing w:before="20" w:after="20"/>
            </w:pPr>
            <w:r>
              <w:rPr>
                <w:rFonts w:ascii="游ゴシック" w:hAnsi="游ゴシック" w:eastAsia="游ゴシック"/>
                <w:b w:val="0"/>
                <w:i w:val="0"/>
                <w:sz w:val="17"/>
              </w:rPr>
              <w:t>近隣の短期入所事業所の空き状況・町民の利用の可否を町・事業所に確認。介助者の高齢化（65歳以上が51.4％）</w:t>
            </w:r>
          </w:p>
        </w:tc>
      </w:tr>
      <w:tr>
        <w:tc>
          <w:tcPr>
            <w:tcW w:type="dxa" w:w="510"/>
            <w:vAlign w:val="center"/>
          </w:tcPr>
          <w:p>
            <w:pPr>
              <w:spacing w:before="20" w:after="20"/>
            </w:pPr>
            <w:r>
              <w:rPr>
                <w:rFonts w:ascii="游ゴシック" w:hAnsi="游ゴシック" w:eastAsia="游ゴシック"/>
                <w:b w:val="0"/>
                <w:i w:val="0"/>
                <w:sz w:val="17"/>
              </w:rPr>
              <w:t>22</w:t>
            </w:r>
          </w:p>
        </w:tc>
        <w:tc>
          <w:tcPr>
            <w:tcW w:type="dxa" w:w="2268"/>
            <w:vAlign w:val="center"/>
          </w:tcPr>
          <w:p>
            <w:pPr>
              <w:spacing w:before="20" w:after="20"/>
            </w:pPr>
            <w:r>
              <w:rPr>
                <w:rFonts w:ascii="游ゴシック" w:hAnsi="游ゴシック" w:eastAsia="游ゴシック"/>
                <w:b w:val="0"/>
                <w:i w:val="0"/>
                <w:sz w:val="17"/>
              </w:rPr>
              <w:t>放課後等デイサービスの見込みが減っているのはなぜか。</w:t>
            </w:r>
          </w:p>
        </w:tc>
        <w:tc>
          <w:tcPr>
            <w:tcW w:type="dxa" w:w="4309"/>
            <w:vAlign w:val="center"/>
          </w:tcPr>
          <w:p>
            <w:pPr>
              <w:spacing w:before="20" w:after="20"/>
            </w:pPr>
            <w:r>
              <w:rPr>
                <w:rFonts w:ascii="游ゴシック" w:hAnsi="游ゴシック" w:eastAsia="游ゴシック"/>
                <w:b w:val="0"/>
                <w:i w:val="0"/>
                <w:sz w:val="17"/>
              </w:rPr>
              <w:t>利用者は令和6年度の月30人から令和8年度の19人に減っており、14歳以下の人口も減る見通しのため、令和11年度は14人としています。町外の事業所に通われていることも踏まえて、送迎などの負担にも目を向けます。</w:t>
            </w:r>
          </w:p>
        </w:tc>
        <w:tc>
          <w:tcPr>
            <w:tcW w:type="dxa" w:w="2665"/>
            <w:vAlign w:val="center"/>
          </w:tcPr>
          <w:p>
            <w:pPr>
              <w:spacing w:before="20" w:after="20"/>
            </w:pPr>
            <w:r>
              <w:rPr>
                <w:rFonts w:ascii="游ゴシック" w:hAnsi="游ゴシック" w:eastAsia="游ゴシック"/>
                <w:b w:val="0"/>
                <w:i w:val="0"/>
                <w:sz w:val="17"/>
              </w:rPr>
              <w:t>設定シートの算定方法は人口比率型（0〜14歳人口）</w:t>
            </w:r>
          </w:p>
        </w:tc>
      </w:tr>
      <w:tr>
        <w:tc>
          <w:tcPr>
            <w:tcW w:type="dxa" w:w="510"/>
            <w:vAlign w:val="center"/>
          </w:tcPr>
          <w:p>
            <w:pPr>
              <w:spacing w:before="20" w:after="20"/>
            </w:pPr>
            <w:r>
              <w:rPr>
                <w:rFonts w:ascii="游ゴシック" w:hAnsi="游ゴシック" w:eastAsia="游ゴシック"/>
                <w:b w:val="0"/>
                <w:i w:val="0"/>
                <w:sz w:val="17"/>
              </w:rPr>
              <w:t>23</w:t>
            </w:r>
          </w:p>
        </w:tc>
        <w:tc>
          <w:tcPr>
            <w:tcW w:type="dxa" w:w="2268"/>
            <w:vAlign w:val="center"/>
          </w:tcPr>
          <w:p>
            <w:pPr>
              <w:spacing w:before="20" w:after="20"/>
            </w:pPr>
            <w:r>
              <w:rPr>
                <w:rFonts w:ascii="游ゴシック" w:hAnsi="游ゴシック" w:eastAsia="游ゴシック"/>
                <w:b w:val="0"/>
                <w:i w:val="0"/>
                <w:sz w:val="17"/>
              </w:rPr>
              <w:t>就労継続支援Ａ型が増える見込みなのはなぜか。</w:t>
            </w:r>
          </w:p>
        </w:tc>
        <w:tc>
          <w:tcPr>
            <w:tcW w:type="dxa" w:w="4309"/>
            <w:vAlign w:val="center"/>
          </w:tcPr>
          <w:p>
            <w:pPr>
              <w:spacing w:before="20" w:after="20"/>
            </w:pPr>
            <w:r>
              <w:rPr>
                <w:rFonts w:ascii="游ゴシック" w:hAnsi="游ゴシック" w:eastAsia="游ゴシック"/>
                <w:b w:val="0"/>
                <w:i w:val="0"/>
                <w:sz w:val="17"/>
              </w:rPr>
              <w:t>利用者は令和6年度の月8人から令和8年度の11人に増えており、令和11年度は17人としています。令和9年4月から就労選択支援の対象がＡ型の新規利用者等に広がる予定で、その利用も見込みます。</w:t>
            </w:r>
          </w:p>
        </w:tc>
        <w:tc>
          <w:tcPr>
            <w:tcW w:type="dxa" w:w="2665"/>
            <w:vAlign w:val="center"/>
          </w:tcPr>
          <w:p>
            <w:pPr>
              <w:spacing w:before="20" w:after="20"/>
            </w:pPr>
            <w:r>
              <w:rPr>
                <w:rFonts w:ascii="游ゴシック" w:hAnsi="游ゴシック" w:eastAsia="游ゴシック"/>
                <w:b w:val="0"/>
                <w:i w:val="0"/>
                <w:sz w:val="17"/>
              </w:rPr>
              <w:t>設定シートの算定方法（線形トレンド）</w:t>
            </w:r>
          </w:p>
        </w:tc>
      </w:tr>
      <w:tr>
        <w:tc>
          <w:tcPr>
            <w:tcW w:type="dxa" w:w="510"/>
            <w:vAlign w:val="center"/>
          </w:tcPr>
          <w:p>
            <w:pPr>
              <w:spacing w:before="20" w:after="20"/>
            </w:pPr>
            <w:r>
              <w:rPr>
                <w:rFonts w:ascii="游ゴシック" w:hAnsi="游ゴシック" w:eastAsia="游ゴシック"/>
                <w:b w:val="0"/>
                <w:i w:val="0"/>
                <w:sz w:val="17"/>
              </w:rPr>
              <w:t>24</w:t>
            </w:r>
          </w:p>
        </w:tc>
        <w:tc>
          <w:tcPr>
            <w:tcW w:type="dxa" w:w="2268"/>
            <w:vAlign w:val="center"/>
          </w:tcPr>
          <w:p>
            <w:pPr>
              <w:spacing w:before="20" w:after="20"/>
            </w:pPr>
            <w:r>
              <w:rPr>
                <w:rFonts w:ascii="游ゴシック" w:hAnsi="游ゴシック" w:eastAsia="游ゴシック"/>
                <w:b w:val="0"/>
                <w:i w:val="0"/>
                <w:sz w:val="17"/>
              </w:rPr>
              <w:t>グループホームの見込みは。</w:t>
            </w:r>
          </w:p>
        </w:tc>
        <w:tc>
          <w:tcPr>
            <w:tcW w:type="dxa" w:w="4309"/>
            <w:vAlign w:val="center"/>
          </w:tcPr>
          <w:p>
            <w:pPr>
              <w:spacing w:before="20" w:after="20"/>
            </w:pPr>
            <w:r>
              <w:rPr>
                <w:rFonts w:ascii="游ゴシック" w:hAnsi="游ゴシック" w:eastAsia="游ゴシック"/>
                <w:b w:val="0"/>
                <w:i w:val="0"/>
                <w:sz w:val="17"/>
              </w:rPr>
              <w:t>利用者は令和8年度の月18人から、令和11年度は22人としています。施設からの地域移行や、ご家族が高齢になったあとの暮らしの場として必要になると考えています。</w:t>
            </w:r>
          </w:p>
        </w:tc>
        <w:tc>
          <w:tcPr>
            <w:tcW w:type="dxa" w:w="2665"/>
            <w:vAlign w:val="center"/>
          </w:tcPr>
          <w:p>
            <w:pPr>
              <w:spacing w:before="20" w:after="20"/>
            </w:pPr>
            <w:r>
              <w:rPr>
                <w:rFonts w:ascii="游ゴシック" w:hAnsi="游ゴシック" w:eastAsia="游ゴシック"/>
                <w:b w:val="0"/>
                <w:i w:val="0"/>
                <w:sz w:val="17"/>
              </w:rPr>
              <w:t>介助者の高齢化（主介助者の51.4％が65歳以上。分析報告書 第7章3）</w:t>
            </w:r>
          </w:p>
        </w:tc>
      </w:tr>
      <w:tr>
        <w:tc>
          <w:tcPr>
            <w:tcW w:type="dxa" w:w="510"/>
            <w:vAlign w:val="center"/>
          </w:tcPr>
          <w:p>
            <w:pPr>
              <w:spacing w:before="20" w:after="20"/>
            </w:pPr>
            <w:r>
              <w:rPr>
                <w:rFonts w:ascii="游ゴシック" w:hAnsi="游ゴシック" w:eastAsia="游ゴシック"/>
                <w:b w:val="0"/>
                <w:i w:val="0"/>
                <w:sz w:val="17"/>
              </w:rPr>
              <w:t>25</w:t>
            </w:r>
          </w:p>
        </w:tc>
        <w:tc>
          <w:tcPr>
            <w:tcW w:type="dxa" w:w="2268"/>
            <w:vAlign w:val="center"/>
          </w:tcPr>
          <w:p>
            <w:pPr>
              <w:spacing w:before="20" w:after="20"/>
            </w:pPr>
            <w:r>
              <w:rPr>
                <w:rFonts w:ascii="游ゴシック" w:hAnsi="游ゴシック" w:eastAsia="游ゴシック"/>
                <w:b w:val="0"/>
                <w:i w:val="0"/>
                <w:sz w:val="17"/>
              </w:rPr>
              <w:t>障害児相談支援の令和8年度が0人になっているのはなぜか。</w:t>
            </w:r>
          </w:p>
        </w:tc>
        <w:tc>
          <w:tcPr>
            <w:tcW w:type="dxa" w:w="4309"/>
            <w:vAlign w:val="center"/>
          </w:tcPr>
          <w:p>
            <w:pPr>
              <w:spacing w:before="20" w:after="20"/>
            </w:pPr>
            <w:r>
              <w:rPr>
                <w:rFonts w:ascii="游ゴシック" w:hAnsi="游ゴシック" w:eastAsia="游ゴシック"/>
                <w:b w:val="0"/>
                <w:i w:val="0"/>
                <w:sz w:val="17"/>
              </w:rPr>
              <w:t>令和8年度の値は確認しています。確認ができ次第、見込量に反映します。</w:t>
            </w:r>
          </w:p>
        </w:tc>
        <w:tc>
          <w:tcPr>
            <w:tcW w:type="dxa" w:w="2665"/>
            <w:vAlign w:val="center"/>
          </w:tcPr>
          <w:p>
            <w:pPr>
              <w:spacing w:before="20" w:after="20"/>
            </w:pPr>
            <w:r>
              <w:rPr>
                <w:rFonts w:ascii="游ゴシック" w:hAnsi="游ゴシック" w:eastAsia="游ゴシック"/>
                <w:b w:val="0"/>
                <w:i w:val="0"/>
                <w:sz w:val="17"/>
              </w:rPr>
              <w:t>設定シートでは令和6・7年度4人・4人、令和8年度0人、令和9年度以降4人。年度途中の値か、計画相談支援への計上かを町に確認</w:t>
            </w:r>
          </w:p>
        </w:tc>
      </w:tr>
      <w:tr>
        <w:tc>
          <w:tcPr>
            <w:tcW w:type="dxa" w:w="510"/>
            <w:vAlign w:val="center"/>
          </w:tcPr>
          <w:p>
            <w:pPr>
              <w:keepNext/>
              <w:spacing w:before="20" w:after="20"/>
            </w:pPr>
            <w:r>
              <w:rPr>
                <w:rFonts w:ascii="游ゴシック" w:hAnsi="游ゴシック" w:eastAsia="游ゴシック"/>
                <w:b w:val="0"/>
                <w:i w:val="0"/>
                <w:sz w:val="17"/>
              </w:rPr>
              <w:t>26</w:t>
            </w:r>
          </w:p>
        </w:tc>
        <w:tc>
          <w:tcPr>
            <w:tcW w:type="dxa" w:w="2268"/>
            <w:vAlign w:val="center"/>
          </w:tcPr>
          <w:p>
            <w:pPr>
              <w:keepNext/>
              <w:spacing w:before="20" w:after="20"/>
            </w:pPr>
            <w:r>
              <w:rPr>
                <w:rFonts w:ascii="游ゴシック" w:hAnsi="游ゴシック" w:eastAsia="游ゴシック"/>
                <w:b w:val="0"/>
                <w:i w:val="0"/>
                <w:sz w:val="17"/>
              </w:rPr>
              <w:t>65歳になると障がい福祉サービスはどうなるのか。</w:t>
            </w:r>
          </w:p>
        </w:tc>
        <w:tc>
          <w:tcPr>
            <w:tcW w:type="dxa" w:w="4309"/>
            <w:vAlign w:val="center"/>
          </w:tcPr>
          <w:p>
            <w:pPr>
              <w:keepNext/>
              <w:spacing w:before="20" w:after="20"/>
            </w:pPr>
            <w:r>
              <w:rPr>
                <w:rFonts w:ascii="游ゴシック" w:hAnsi="游ゴシック" w:eastAsia="游ゴシック"/>
                <w:b w:val="0"/>
                <w:i w:val="0"/>
                <w:sz w:val="17"/>
              </w:rPr>
              <w:t>介護保険に同じようなサービスがある場合は、介護保険が優先されます。ただし、介護保険にないサービスや、ご本人の状況によっては障がい福祉のサービスも使えます。65歳になる方の移行は、見込量でも年齢ごとに確かめています。</w:t>
            </w:r>
          </w:p>
        </w:tc>
        <w:tc>
          <w:tcPr>
            <w:tcW w:type="dxa" w:w="2665"/>
            <w:vAlign w:val="center"/>
          </w:tcPr>
          <w:p>
            <w:pPr>
              <w:keepNext/>
              <w:spacing w:before="20" w:after="20"/>
            </w:pPr>
            <w:r>
              <w:rPr>
                <w:rFonts w:ascii="游ゴシック" w:hAnsi="游ゴシック" w:eastAsia="游ゴシック"/>
                <w:b w:val="0"/>
                <w:i w:val="0"/>
                <w:sz w:val="17"/>
              </w:rPr>
              <w:t>障害者総合支援法第7条（他の法令による給付等との調整）。共生型サービス</w:t>
            </w:r>
          </w:p>
        </w:tc>
      </w:tr>
      <w:tr>
        <w:tc>
          <w:tcPr>
            <w:tcW w:type="dxa" w:w="510"/>
            <w:vAlign w:val="center"/>
          </w:tcPr>
          <w:p>
            <w:pPr>
              <w:spacing w:before="20" w:after="20"/>
            </w:pPr>
            <w:r>
              <w:rPr>
                <w:rFonts w:ascii="游ゴシック" w:hAnsi="游ゴシック" w:eastAsia="游ゴシック"/>
                <w:b w:val="0"/>
                <w:i w:val="0"/>
                <w:sz w:val="17"/>
              </w:rPr>
              <w:t>27</w:t>
            </w:r>
          </w:p>
        </w:tc>
        <w:tc>
          <w:tcPr>
            <w:tcW w:type="dxa" w:w="2268"/>
            <w:vAlign w:val="center"/>
          </w:tcPr>
          <w:p>
            <w:pPr>
              <w:spacing w:before="20" w:after="20"/>
            </w:pPr>
            <w:r>
              <w:rPr>
                <w:rFonts w:ascii="游ゴシック" w:hAnsi="游ゴシック" w:eastAsia="游ゴシック"/>
                <w:b w:val="0"/>
                <w:i w:val="0"/>
                <w:sz w:val="17"/>
              </w:rPr>
              <w:t>町内にサービス事業所が少ないが、どう確保するのか。</w:t>
            </w:r>
          </w:p>
        </w:tc>
        <w:tc>
          <w:tcPr>
            <w:tcW w:type="dxa" w:w="4309"/>
            <w:vAlign w:val="center"/>
          </w:tcPr>
          <w:p>
            <w:pPr>
              <w:spacing w:before="20" w:after="20"/>
            </w:pPr>
            <w:r>
              <w:rPr>
                <w:rFonts w:ascii="游ゴシック" w:hAnsi="游ゴシック" w:eastAsia="游ゴシック"/>
                <w:b w:val="0"/>
                <w:i w:val="0"/>
                <w:sz w:val="17"/>
              </w:rPr>
              <w:t>令和9年4月から、人口減少地域では人員の基準を地域の実情に応じて緩めてサービスを提供できる「特定地域」の仕組みが始まります。本町は町全域が対象となる見込みで、県の方針が示され次第、検討します。あわせて、近隣の市町村の事業所との連携を進めます。</w:t>
            </w:r>
          </w:p>
        </w:tc>
        <w:tc>
          <w:tcPr>
            <w:tcW w:type="dxa" w:w="2665"/>
            <w:vAlign w:val="center"/>
          </w:tcPr>
          <w:p>
            <w:pPr>
              <w:spacing w:before="20" w:after="20"/>
            </w:pPr>
            <w:r>
              <w:rPr>
                <w:rFonts w:ascii="游ゴシック" w:hAnsi="游ゴシック" w:eastAsia="游ゴシック"/>
                <w:b w:val="0"/>
                <w:i w:val="0"/>
                <w:sz w:val="17"/>
              </w:rPr>
              <w:t>改正後の障害者総合支援法第30条第1項第3号、児童福祉法第21条の5の4第1項第3号。指定は県が市町村の意向を踏まえて行う</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F　財源</w:t>
      </w:r>
      <w:bookmarkEnd w:id="107"/>
    </w:p>
    <w:p>
      <w:pPr>
        <w:keepNext/>
        <w:spacing w:before="200" w:after="40"/>
      </w:pPr>
      <w:r>
        <w:rPr>
          <w:rFonts w:ascii="游ゴシック" w:hAnsi="游ゴシック" w:eastAsia="游ゴシック"/>
          <w:b/>
          <w:i w:val="0"/>
          <w:color w:val="1F4D78"/>
          <w:sz w:val="22"/>
        </w:rPr>
        <w:t>【表6】財源の想定問答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268"/>
        <w:gridCol w:w="4309"/>
        <w:gridCol w:w="2665"/>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想定される質問</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回答（案）</w:t>
            </w:r>
          </w:p>
        </w:tc>
        <w:tc>
          <w:tcPr>
            <w:tcW w:type="dxa" w:w="2665"/>
            <w:shd w:val="clear" w:fill="1F3864"/>
            <w:vAlign w:val="center"/>
          </w:tcPr>
          <w:p>
            <w:pPr>
              <w:spacing w:before="20" w:after="20"/>
              <w:jc w:val="center"/>
            </w:pPr>
            <w:r>
              <w:rPr>
                <w:rFonts w:ascii="游ゴシック" w:hAnsi="游ゴシック" w:eastAsia="游ゴシック"/>
                <w:b/>
                <w:i w:val="0"/>
                <w:color w:val="FFFFFF"/>
                <w:sz w:val="17"/>
              </w:rPr>
              <w:t>補足（事務局用）</w:t>
            </w:r>
          </w:p>
        </w:tc>
      </w:tr>
      <w:tr>
        <w:tc>
          <w:tcPr>
            <w:tcW w:type="dxa" w:w="510"/>
            <w:vAlign w:val="center"/>
          </w:tcPr>
          <w:p>
            <w:pPr>
              <w:spacing w:before="20" w:after="20"/>
            </w:pPr>
            <w:r>
              <w:rPr>
                <w:rFonts w:ascii="游ゴシック" w:hAnsi="游ゴシック" w:eastAsia="游ゴシック"/>
                <w:b w:val="0"/>
                <w:i w:val="0"/>
                <w:sz w:val="17"/>
              </w:rPr>
              <w:t>28</w:t>
            </w:r>
          </w:p>
        </w:tc>
        <w:tc>
          <w:tcPr>
            <w:tcW w:type="dxa" w:w="2268"/>
            <w:vAlign w:val="center"/>
          </w:tcPr>
          <w:p>
            <w:pPr>
              <w:spacing w:before="20" w:after="20"/>
            </w:pPr>
            <w:r>
              <w:rPr>
                <w:rFonts w:ascii="游ゴシック" w:hAnsi="游ゴシック" w:eastAsia="游ゴシック"/>
                <w:b w:val="0"/>
                <w:i w:val="0"/>
                <w:sz w:val="17"/>
              </w:rPr>
              <w:t>サービスの費用は誰が負担するのか。</w:t>
            </w:r>
          </w:p>
        </w:tc>
        <w:tc>
          <w:tcPr>
            <w:tcW w:type="dxa" w:w="4309"/>
            <w:vAlign w:val="center"/>
          </w:tcPr>
          <w:p>
            <w:pPr>
              <w:spacing w:before="20" w:after="20"/>
            </w:pPr>
            <w:r>
              <w:rPr>
                <w:rFonts w:ascii="游ゴシック" w:hAnsi="游ゴシック" w:eastAsia="游ゴシック"/>
                <w:b w:val="0"/>
                <w:i w:val="0"/>
                <w:sz w:val="17"/>
              </w:rPr>
              <w:t>障害福祉サービスの給付費は、国が2分の1、県が4分の1、町が4分の1を負担します。ただし、国・県の負担は国の基準額に対するもので、基準を超えた分は町の負担です。地域生活支援事業は、国が2分の1以内、県が4分の1以内を補助します。</w:t>
            </w:r>
          </w:p>
        </w:tc>
        <w:tc>
          <w:tcPr>
            <w:tcW w:type="dxa" w:w="2665"/>
            <w:vAlign w:val="center"/>
          </w:tcPr>
          <w:p>
            <w:pPr>
              <w:spacing w:before="20" w:after="20"/>
            </w:pPr>
            <w:r>
              <w:rPr>
                <w:rFonts w:ascii="游ゴシック" w:hAnsi="游ゴシック" w:eastAsia="游ゴシック"/>
                <w:b w:val="0"/>
                <w:i w:val="0"/>
                <w:sz w:val="17"/>
              </w:rPr>
              <w:t>障害者総合支援法第92条・第94条・第95条（e-Gov 法令API、令和9年4月1日時点で確認）</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G　防災・権利擁護・移動</w:t>
      </w:r>
      <w:bookmarkEnd w:id="108"/>
    </w:p>
    <w:p>
      <w:pPr>
        <w:keepNext/>
        <w:spacing w:before="200" w:after="40"/>
      </w:pPr>
      <w:r>
        <w:rPr>
          <w:rFonts w:ascii="游ゴシック" w:hAnsi="游ゴシック" w:eastAsia="游ゴシック"/>
          <w:b/>
          <w:i w:val="0"/>
          <w:color w:val="1F4D78"/>
          <w:sz w:val="22"/>
        </w:rPr>
        <w:t>【表7】防災・権利擁護・移動の想定問答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268"/>
        <w:gridCol w:w="4309"/>
        <w:gridCol w:w="2665"/>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想定される質問</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回答（案）</w:t>
            </w:r>
          </w:p>
        </w:tc>
        <w:tc>
          <w:tcPr>
            <w:tcW w:type="dxa" w:w="2665"/>
            <w:shd w:val="clear" w:fill="1F3864"/>
            <w:vAlign w:val="center"/>
          </w:tcPr>
          <w:p>
            <w:pPr>
              <w:spacing w:before="20" w:after="20"/>
              <w:jc w:val="center"/>
            </w:pPr>
            <w:r>
              <w:rPr>
                <w:rFonts w:ascii="游ゴシック" w:hAnsi="游ゴシック" w:eastAsia="游ゴシック"/>
                <w:b/>
                <w:i w:val="0"/>
                <w:color w:val="FFFFFF"/>
                <w:sz w:val="17"/>
              </w:rPr>
              <w:t>補足（事務局用）</w:t>
            </w:r>
          </w:p>
        </w:tc>
      </w:tr>
      <w:tr>
        <w:tc>
          <w:tcPr>
            <w:tcW w:type="dxa" w:w="510"/>
            <w:vAlign w:val="center"/>
          </w:tcPr>
          <w:p>
            <w:pPr>
              <w:spacing w:before="20" w:after="20"/>
            </w:pPr>
            <w:r>
              <w:rPr>
                <w:rFonts w:ascii="游ゴシック" w:hAnsi="游ゴシック" w:eastAsia="游ゴシック"/>
                <w:b w:val="0"/>
                <w:i w:val="0"/>
                <w:sz w:val="17"/>
              </w:rPr>
              <w:t>29</w:t>
            </w:r>
          </w:p>
        </w:tc>
        <w:tc>
          <w:tcPr>
            <w:tcW w:type="dxa" w:w="2268"/>
            <w:vAlign w:val="center"/>
          </w:tcPr>
          <w:p>
            <w:pPr>
              <w:spacing w:before="20" w:after="20"/>
            </w:pPr>
            <w:r>
              <w:rPr>
                <w:rFonts w:ascii="游ゴシック" w:hAnsi="游ゴシック" w:eastAsia="游ゴシック"/>
                <w:b w:val="0"/>
                <w:i w:val="0"/>
                <w:sz w:val="17"/>
              </w:rPr>
              <w:t>災害時に避難が難しい方への対応は。</w:t>
            </w:r>
          </w:p>
        </w:tc>
        <w:tc>
          <w:tcPr>
            <w:tcW w:type="dxa" w:w="4309"/>
            <w:vAlign w:val="center"/>
          </w:tcPr>
          <w:p>
            <w:pPr>
              <w:spacing w:before="20" w:after="20"/>
            </w:pPr>
            <w:r>
              <w:rPr>
                <w:rFonts w:ascii="游ゴシック" w:hAnsi="游ゴシック" w:eastAsia="游ゴシック"/>
                <w:b w:val="0"/>
                <w:i w:val="0"/>
                <w:sz w:val="17"/>
              </w:rPr>
              <w:t>調査では、一人で避難「できない」「わからない」方が55.6％、個別避難計画の作成を希望する方が25.5％でした。ご本人の同意を得ながら、個別避難計画の作成を進めます。</w:t>
            </w:r>
          </w:p>
        </w:tc>
        <w:tc>
          <w:tcPr>
            <w:tcW w:type="dxa" w:w="2665"/>
            <w:vAlign w:val="center"/>
          </w:tcPr>
          <w:p>
            <w:pPr>
              <w:spacing w:before="20" w:after="20"/>
            </w:pPr>
            <w:r>
              <w:rPr>
                <w:rFonts w:ascii="游ゴシック" w:hAnsi="游ゴシック" w:eastAsia="游ゴシック"/>
                <w:b w:val="0"/>
                <w:i w:val="0"/>
                <w:sz w:val="17"/>
              </w:rPr>
              <w:t>町の個別避難計画の作成状況（対象者数・作成数）を確認中（【町データ待ち】）</w:t>
            </w:r>
          </w:p>
        </w:tc>
      </w:tr>
      <w:tr>
        <w:tc>
          <w:tcPr>
            <w:tcW w:type="dxa" w:w="510"/>
            <w:vAlign w:val="center"/>
          </w:tcPr>
          <w:p>
            <w:pPr>
              <w:keepNext/>
              <w:spacing w:before="20" w:after="20"/>
            </w:pPr>
            <w:r>
              <w:rPr>
                <w:rFonts w:ascii="游ゴシック" w:hAnsi="游ゴシック" w:eastAsia="游ゴシック"/>
                <w:b w:val="0"/>
                <w:i w:val="0"/>
                <w:sz w:val="17"/>
              </w:rPr>
              <w:t>30</w:t>
            </w:r>
          </w:p>
        </w:tc>
        <w:tc>
          <w:tcPr>
            <w:tcW w:type="dxa" w:w="2268"/>
            <w:vAlign w:val="center"/>
          </w:tcPr>
          <w:p>
            <w:pPr>
              <w:keepNext/>
              <w:spacing w:before="20" w:after="20"/>
            </w:pPr>
            <w:r>
              <w:rPr>
                <w:rFonts w:ascii="游ゴシック" w:hAnsi="游ゴシック" w:eastAsia="游ゴシック"/>
                <w:b w:val="0"/>
                <w:i w:val="0"/>
                <w:sz w:val="17"/>
              </w:rPr>
              <w:t>差別解消法を知らない方が多いが。</w:t>
            </w:r>
          </w:p>
        </w:tc>
        <w:tc>
          <w:tcPr>
            <w:tcW w:type="dxa" w:w="4309"/>
            <w:vAlign w:val="center"/>
          </w:tcPr>
          <w:p>
            <w:pPr>
              <w:keepNext/>
              <w:spacing w:before="20" w:after="20"/>
            </w:pPr>
            <w:r>
              <w:rPr>
                <w:rFonts w:ascii="游ゴシック" w:hAnsi="游ゴシック" w:eastAsia="游ゴシック"/>
                <w:b w:val="0"/>
                <w:i w:val="0"/>
                <w:sz w:val="17"/>
              </w:rPr>
              <w:t>障害者差別解消法を「知らない」方が78.8％でした。令和6年4月から事業者の合理的配慮の提供が義務になっており、町民と事業者への周知を進めます。</w:t>
            </w:r>
          </w:p>
        </w:tc>
        <w:tc>
          <w:tcPr>
            <w:tcW w:type="dxa" w:w="2665"/>
            <w:vAlign w:val="center"/>
          </w:tcPr>
          <w:p>
            <w:pPr>
              <w:keepNext/>
              <w:spacing w:before="20" w:after="20"/>
            </w:pPr>
            <w:r>
              <w:rPr>
                <w:rFonts w:ascii="游ゴシック" w:hAnsi="游ゴシック" w:eastAsia="游ゴシック"/>
                <w:b w:val="0"/>
                <w:i w:val="0"/>
                <w:sz w:val="17"/>
              </w:rPr>
              <w:t>改正障害者差別解消法（令和6年4月1日施行）</w:t>
            </w:r>
          </w:p>
        </w:tc>
      </w:tr>
      <w:tr>
        <w:tc>
          <w:tcPr>
            <w:tcW w:type="dxa" w:w="510"/>
            <w:vAlign w:val="center"/>
          </w:tcPr>
          <w:p>
            <w:pPr>
              <w:spacing w:before="20" w:after="20"/>
            </w:pPr>
            <w:r>
              <w:rPr>
                <w:rFonts w:ascii="游ゴシック" w:hAnsi="游ゴシック" w:eastAsia="游ゴシック"/>
                <w:b w:val="0"/>
                <w:i w:val="0"/>
                <w:sz w:val="17"/>
              </w:rPr>
              <w:t>31</w:t>
            </w:r>
          </w:p>
        </w:tc>
        <w:tc>
          <w:tcPr>
            <w:tcW w:type="dxa" w:w="2268"/>
            <w:vAlign w:val="center"/>
          </w:tcPr>
          <w:p>
            <w:pPr>
              <w:spacing w:before="20" w:after="20"/>
            </w:pPr>
            <w:r>
              <w:rPr>
                <w:rFonts w:ascii="游ゴシック" w:hAnsi="游ゴシック" w:eastAsia="游ゴシック"/>
                <w:b w:val="0"/>
                <w:i w:val="0"/>
                <w:sz w:val="17"/>
              </w:rPr>
              <w:t>外出の支援は。</w:t>
            </w:r>
          </w:p>
        </w:tc>
        <w:tc>
          <w:tcPr>
            <w:tcW w:type="dxa" w:w="4309"/>
            <w:vAlign w:val="center"/>
          </w:tcPr>
          <w:p>
            <w:pPr>
              <w:spacing w:before="20" w:after="20"/>
            </w:pPr>
            <w:r>
              <w:rPr>
                <w:rFonts w:ascii="游ゴシック" w:hAnsi="游ゴシック" w:eastAsia="游ゴシック"/>
                <w:b w:val="0"/>
                <w:i w:val="0"/>
                <w:sz w:val="17"/>
              </w:rPr>
              <w:t>外出に費用がかかる、公共交通が少ないという回答が上位でした。移動の支援（地域生活支援事業）や、町の公共交通の施策と合わせて検討します。</w:t>
            </w:r>
          </w:p>
        </w:tc>
        <w:tc>
          <w:tcPr>
            <w:tcW w:type="dxa" w:w="2665"/>
            <w:vAlign w:val="center"/>
          </w:tcPr>
          <w:p>
            <w:pPr>
              <w:spacing w:before="20" w:after="20"/>
            </w:pPr>
            <w:r>
              <w:rPr>
                <w:rFonts w:ascii="游ゴシック" w:hAnsi="游ゴシック" w:eastAsia="游ゴシック"/>
                <w:b w:val="0"/>
                <w:i w:val="0"/>
                <w:sz w:val="17"/>
              </w:rPr>
              <w:t>町の公共交通の現状を確認（【町データ待ち】）</w:t>
            </w:r>
          </w:p>
        </w:tc>
      </w:tr>
    </w:tbl>
    <w:p>
      <w:pPr>
        <w:spacing w:after="40"/>
      </w:pPr>
    </w:p>
    <w:p>
      <w:pPr>
        <w:pStyle w:val="Heading1"/>
        <w:keepNext/>
        <w:spacing w:before="240" w:after="100"/>
      </w:pPr>
      <w:bookmarkStart w:id="109" w:name="_Toc_009"/>
      <w:r>
        <w:rPr>
          <w:rFonts w:ascii="游ゴシック" w:hAnsi="游ゴシック" w:eastAsia="游ゴシック"/>
          <w:b/>
          <w:i w:val="0"/>
          <w:color w:val="2E74B5"/>
          <w:sz w:val="30"/>
        </w:rPr>
        <w:t>H　今後の進め方</w:t>
      </w:r>
      <w:bookmarkEnd w:id="109"/>
    </w:p>
    <w:p>
      <w:pPr>
        <w:keepNext/>
        <w:spacing w:before="200" w:after="40"/>
      </w:pPr>
      <w:r>
        <w:rPr>
          <w:rFonts w:ascii="游ゴシック" w:hAnsi="游ゴシック" w:eastAsia="游ゴシック"/>
          <w:b/>
          <w:i w:val="0"/>
          <w:color w:val="1F4D78"/>
          <w:sz w:val="22"/>
        </w:rPr>
        <w:t>【表8】今後の進め方の想定問答</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268"/>
        <w:gridCol w:w="4309"/>
        <w:gridCol w:w="2665"/>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想定される質問</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回答（案）</w:t>
            </w:r>
          </w:p>
        </w:tc>
        <w:tc>
          <w:tcPr>
            <w:tcW w:type="dxa" w:w="2665"/>
            <w:shd w:val="clear" w:fill="1F3864"/>
            <w:vAlign w:val="center"/>
          </w:tcPr>
          <w:p>
            <w:pPr>
              <w:spacing w:before="20" w:after="20"/>
              <w:jc w:val="center"/>
            </w:pPr>
            <w:r>
              <w:rPr>
                <w:rFonts w:ascii="游ゴシック" w:hAnsi="游ゴシック" w:eastAsia="游ゴシック"/>
                <w:b/>
                <w:i w:val="0"/>
                <w:color w:val="FFFFFF"/>
                <w:sz w:val="17"/>
              </w:rPr>
              <w:t>補足（事務局用）</w:t>
            </w:r>
          </w:p>
        </w:tc>
      </w:tr>
      <w:tr>
        <w:tc>
          <w:tcPr>
            <w:tcW w:type="dxa" w:w="510"/>
            <w:vAlign w:val="center"/>
          </w:tcPr>
          <w:p>
            <w:pPr>
              <w:keepNext/>
              <w:spacing w:before="20" w:after="20"/>
            </w:pPr>
            <w:r>
              <w:rPr>
                <w:rFonts w:ascii="游ゴシック" w:hAnsi="游ゴシック" w:eastAsia="游ゴシック"/>
                <w:b w:val="0"/>
                <w:i w:val="0"/>
                <w:sz w:val="17"/>
              </w:rPr>
              <w:t>32</w:t>
            </w:r>
          </w:p>
        </w:tc>
        <w:tc>
          <w:tcPr>
            <w:tcW w:type="dxa" w:w="2268"/>
            <w:vAlign w:val="center"/>
          </w:tcPr>
          <w:p>
            <w:pPr>
              <w:keepNext/>
              <w:spacing w:before="20" w:after="20"/>
            </w:pPr>
            <w:r>
              <w:rPr>
                <w:rFonts w:ascii="游ゴシック" w:hAnsi="游ゴシック" w:eastAsia="游ゴシック"/>
                <w:b w:val="0"/>
                <w:i w:val="0"/>
                <w:sz w:val="17"/>
              </w:rPr>
              <w:t>パブリックコメントはいつ行うのか。</w:t>
            </w:r>
          </w:p>
        </w:tc>
        <w:tc>
          <w:tcPr>
            <w:tcW w:type="dxa" w:w="4309"/>
            <w:vAlign w:val="center"/>
          </w:tcPr>
          <w:p>
            <w:pPr>
              <w:keepNext/>
              <w:spacing w:before="20" w:after="20"/>
            </w:pPr>
            <w:r>
              <w:rPr>
                <w:rFonts w:ascii="游ゴシック" w:hAnsi="游ゴシック" w:eastAsia="游ゴシック"/>
                <w:b w:val="0"/>
                <w:i w:val="0"/>
                <w:sz w:val="17"/>
              </w:rPr>
              <w:t>令和9年1月頃に、約1か月の期間で行う予定です。</w:t>
            </w:r>
          </w:p>
        </w:tc>
        <w:tc>
          <w:tcPr>
            <w:tcW w:type="dxa" w:w="2665"/>
            <w:vAlign w:val="center"/>
          </w:tcPr>
          <w:p>
            <w:pPr>
              <w:keepNext/>
              <w:spacing w:before="20" w:after="20"/>
            </w:pPr>
            <w:r>
              <w:rPr>
                <w:rFonts w:ascii="游ゴシック" w:hAnsi="游ゴシック" w:eastAsia="游ゴシック"/>
                <w:b w:val="0"/>
                <w:i w:val="0"/>
                <w:sz w:val="17"/>
              </w:rPr>
              <w:t>第1回資料の日程。期間は【決定後に記載】</w:t>
            </w:r>
          </w:p>
        </w:tc>
      </w:tr>
      <w:tr>
        <w:tc>
          <w:tcPr>
            <w:tcW w:type="dxa" w:w="510"/>
            <w:vAlign w:val="center"/>
          </w:tcPr>
          <w:p>
            <w:pPr>
              <w:spacing w:before="20" w:after="20"/>
            </w:pPr>
            <w:r>
              <w:rPr>
                <w:rFonts w:ascii="游ゴシック" w:hAnsi="游ゴシック" w:eastAsia="游ゴシック"/>
                <w:b w:val="0"/>
                <w:i w:val="0"/>
                <w:sz w:val="17"/>
              </w:rPr>
              <w:t>33</w:t>
            </w:r>
          </w:p>
        </w:tc>
        <w:tc>
          <w:tcPr>
            <w:tcW w:type="dxa" w:w="2268"/>
            <w:vAlign w:val="center"/>
          </w:tcPr>
          <w:p>
            <w:pPr>
              <w:spacing w:before="20" w:after="20"/>
            </w:pPr>
            <w:r>
              <w:rPr>
                <w:rFonts w:ascii="游ゴシック" w:hAnsi="游ゴシック" w:eastAsia="游ゴシック"/>
                <w:b w:val="0"/>
                <w:i w:val="0"/>
                <w:sz w:val="17"/>
              </w:rPr>
              <w:t>成果目標の数値は、いつ協議会で決めるのか。</w:t>
            </w:r>
          </w:p>
        </w:tc>
        <w:tc>
          <w:tcPr>
            <w:tcW w:type="dxa" w:w="4309"/>
            <w:vAlign w:val="center"/>
          </w:tcPr>
          <w:p>
            <w:pPr>
              <w:spacing w:before="20" w:after="20"/>
            </w:pPr>
            <w:r>
              <w:rPr>
                <w:rFonts w:ascii="游ゴシック" w:hAnsi="游ゴシック" w:eastAsia="游ゴシック"/>
                <w:b w:val="0"/>
                <w:i w:val="0"/>
                <w:sz w:val="17"/>
              </w:rPr>
              <w:t>町の実績が確定したのち、目標値の案を素案に記載し、パブリックコメントの前に委員の皆様にお送りしてご意見を伺う形を考えています。</w:t>
            </w:r>
          </w:p>
        </w:tc>
        <w:tc>
          <w:tcPr>
            <w:tcW w:type="dxa" w:w="2665"/>
            <w:vAlign w:val="center"/>
          </w:tcPr>
          <w:p>
            <w:pPr>
              <w:spacing w:before="20" w:after="20"/>
            </w:pPr>
            <w:r>
              <w:rPr>
                <w:rFonts w:ascii="游ゴシック" w:hAnsi="游ゴシック" w:eastAsia="游ゴシック"/>
                <w:b w:val="0"/>
                <w:i w:val="0"/>
                <w:sz w:val="17"/>
              </w:rPr>
              <w:t>日程上、次回の協議会はパブリックコメントの後（令和9年2月頃）。書面での照会とするか、町で決める（【決定後に記載】）</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令和8年度第2回小野町自立支援協議会 想定問答集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令和8年度第2回小野町自立支援協議会 想定問答集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令和8年度第2回小野町自立支援協議会 想定問答集</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