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keepNext/>
              <w:spacing w:before="20" w:after="20"/>
            </w:pPr>
            <w:r>
              <w:rPr>
                <w:rFonts w:ascii="游ゴシック" w:hAnsi="游ゴシック" w:eastAsia="游ゴシック"/>
                <w:b w:val="0"/>
                <w:i w:val="0"/>
                <w:sz w:val="17"/>
              </w:rPr>
              <w:t>第2部</w:t>
            </w:r>
          </w:p>
        </w:tc>
        <w:tc>
          <w:tcPr>
            <w:tcW w:type="dxa" w:w="2127"/>
            <w:vAlign w:val="center"/>
          </w:tcPr>
          <w:p>
            <w:pPr>
              <w:keepNext/>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keepNext/>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第2部の認知症の設問の項目名は、原本のとおり「地域での見守りや声掛け」（54.1％）としています。</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基金残高（令和5年度末120,000千円・町の財務書類、令和8年度末見込210,000千円）と、歳入歳出差引残額144,205,672円を踏まえた検討を含みます（第1部6-2）。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pStyle w:val="Heading1"/>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pStyle w:val="Heading1"/>
        <w:keepNext/>
        <w:spacing w:before="240" w:after="100"/>
      </w:pPr>
      <w:bookmarkStart w:id="103" w:name="_Toc_003"/>
      <w:r>
        <w:rPr>
          <w:rFonts w:ascii="游ゴシック" w:hAnsi="游ゴシック" w:eastAsia="游ゴシック"/>
          <w:b/>
          <w:i w:val="0"/>
          <w:color w:val="2E74B5"/>
          <w:sz w:val="30"/>
        </w:rPr>
        <w:t>1　評価の枠組み</w:t>
      </w:r>
      <w:bookmarkEnd w:id="103"/>
    </w:p>
    <w:p>
      <w:pPr>
        <w:pStyle w:val="Heading2"/>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keepNext/>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keepNext/>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keepNext/>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keepNext/>
              <w:spacing w:before="20" w:after="20"/>
            </w:pPr>
            <w:r>
              <w:rPr>
                <w:rFonts w:ascii="游ゴシック" w:hAnsi="游ゴシック" w:eastAsia="游ゴシック"/>
                <w:b/>
                <w:i w:val="0"/>
                <w:sz w:val="17"/>
              </w:rPr>
              <w:t>令和8年9月28日受領</w:t>
            </w:r>
          </w:p>
        </w:tc>
        <w:tc>
          <w:tcPr>
            <w:tcW w:type="dxa" w:w="3562"/>
            <w:vAlign w:val="center"/>
          </w:tcPr>
          <w:p>
            <w:pPr>
              <w:keepNext/>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pStyle w:val="Heading1"/>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pStyle w:val="Heading2"/>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keepNext/>
              <w:spacing w:before="20" w:after="20"/>
            </w:pPr>
            <w:r>
              <w:rPr>
                <w:rFonts w:ascii="游ゴシック" w:hAnsi="游ゴシック" w:eastAsia="游ゴシック"/>
                <w:b w:val="0"/>
                <w:i w:val="0"/>
                <w:sz w:val="17"/>
              </w:rPr>
              <w:t>実績 合計認定率</w:t>
            </w:r>
          </w:p>
        </w:tc>
        <w:tc>
          <w:tcPr>
            <w:tcW w:type="dxa" w:w="2389"/>
            <w:vAlign w:val="center"/>
          </w:tcPr>
          <w:p>
            <w:pPr>
              <w:keepNext/>
              <w:spacing w:before="20" w:after="20"/>
            </w:pPr>
            <w:r>
              <w:rPr>
                <w:rFonts w:ascii="游ゴシック" w:hAnsi="游ゴシック" w:eastAsia="游ゴシック"/>
                <w:b w:val="0"/>
                <w:i w:val="0"/>
                <w:sz w:val="17"/>
              </w:rPr>
              <w:t>26.8％</w:t>
            </w:r>
          </w:p>
        </w:tc>
        <w:tc>
          <w:tcPr>
            <w:tcW w:type="dxa" w:w="2486"/>
            <w:vAlign w:val="center"/>
          </w:tcPr>
          <w:p>
            <w:pPr>
              <w:keepNext/>
              <w:spacing w:before="20" w:after="20"/>
            </w:pPr>
            <w:r>
              <w:rPr>
                <w:rFonts w:ascii="游ゴシック" w:hAnsi="游ゴシック" w:eastAsia="游ゴシック"/>
                <w:b w:val="0"/>
                <w:i w:val="0"/>
                <w:sz w:val="17"/>
              </w:rPr>
              <w:t>22.7％</w:t>
            </w:r>
          </w:p>
        </w:tc>
        <w:tc>
          <w:tcPr>
            <w:tcW w:type="dxa" w:w="1851"/>
            <w:vAlign w:val="center"/>
          </w:tcPr>
          <w:p>
            <w:pPr>
              <w:keepNext/>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pStyle w:val="Heading2"/>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keepNext/>
              <w:spacing w:before="20" w:after="20"/>
            </w:pPr>
            <w:r>
              <w:rPr>
                <w:rFonts w:ascii="游ゴシック" w:hAnsi="游ゴシック" w:eastAsia="游ゴシック"/>
                <w:b w:val="0"/>
                <w:i w:val="0"/>
                <w:sz w:val="17"/>
              </w:rPr>
              <w:t>令和6年（2024）</w:t>
            </w:r>
          </w:p>
        </w:tc>
        <w:tc>
          <w:tcPr>
            <w:tcW w:type="dxa" w:w="980"/>
            <w:vAlign w:val="center"/>
          </w:tcPr>
          <w:p>
            <w:pPr>
              <w:keepNext/>
              <w:spacing w:before="20" w:after="20"/>
            </w:pPr>
            <w:r>
              <w:rPr>
                <w:rFonts w:ascii="游ゴシック" w:hAnsi="游ゴシック" w:eastAsia="游ゴシック"/>
                <w:b w:val="0"/>
                <w:i w:val="0"/>
                <w:sz w:val="17"/>
              </w:rPr>
              <w:t>56</w:t>
            </w:r>
          </w:p>
        </w:tc>
        <w:tc>
          <w:tcPr>
            <w:tcW w:type="dxa" w:w="980"/>
            <w:vAlign w:val="center"/>
          </w:tcPr>
          <w:p>
            <w:pPr>
              <w:keepNext/>
              <w:spacing w:before="20" w:after="20"/>
            </w:pPr>
            <w:r>
              <w:rPr>
                <w:rFonts w:ascii="游ゴシック" w:hAnsi="游ゴシック" w:eastAsia="游ゴシック"/>
                <w:b w:val="0"/>
                <w:i w:val="0"/>
                <w:sz w:val="17"/>
              </w:rPr>
              <w:t>142</w:t>
            </w:r>
          </w:p>
        </w:tc>
        <w:tc>
          <w:tcPr>
            <w:tcW w:type="dxa" w:w="980"/>
            <w:vAlign w:val="center"/>
          </w:tcPr>
          <w:p>
            <w:pPr>
              <w:keepNext/>
              <w:spacing w:before="20" w:after="20"/>
            </w:pPr>
            <w:r>
              <w:rPr>
                <w:rFonts w:ascii="游ゴシック" w:hAnsi="游ゴシック" w:eastAsia="游ゴシック"/>
                <w:b w:val="0"/>
                <w:i w:val="0"/>
                <w:sz w:val="17"/>
              </w:rPr>
              <w:t>151</w:t>
            </w:r>
          </w:p>
        </w:tc>
        <w:tc>
          <w:tcPr>
            <w:tcW w:type="dxa" w:w="980"/>
            <w:vAlign w:val="center"/>
          </w:tcPr>
          <w:p>
            <w:pPr>
              <w:keepNext/>
              <w:spacing w:before="20" w:after="20"/>
            </w:pPr>
            <w:r>
              <w:rPr>
                <w:rFonts w:ascii="游ゴシック" w:hAnsi="游ゴシック" w:eastAsia="游ゴシック"/>
                <w:b w:val="0"/>
                <w:i w:val="0"/>
                <w:sz w:val="17"/>
              </w:rPr>
              <w:t>169</w:t>
            </w:r>
          </w:p>
        </w:tc>
        <w:tc>
          <w:tcPr>
            <w:tcW w:type="dxa" w:w="980"/>
            <w:vAlign w:val="center"/>
          </w:tcPr>
          <w:p>
            <w:pPr>
              <w:keepNext/>
              <w:spacing w:before="20" w:after="20"/>
            </w:pPr>
            <w:r>
              <w:rPr>
                <w:rFonts w:ascii="游ゴシック" w:hAnsi="游ゴシック" w:eastAsia="游ゴシック"/>
                <w:b w:val="0"/>
                <w:i w:val="0"/>
                <w:sz w:val="17"/>
              </w:rPr>
              <w:t>159</w:t>
            </w:r>
          </w:p>
        </w:tc>
        <w:tc>
          <w:tcPr>
            <w:tcW w:type="dxa" w:w="980"/>
            <w:vAlign w:val="center"/>
          </w:tcPr>
          <w:p>
            <w:pPr>
              <w:keepNext/>
              <w:spacing w:before="20" w:after="20"/>
            </w:pPr>
            <w:r>
              <w:rPr>
                <w:rFonts w:ascii="游ゴシック" w:hAnsi="游ゴシック" w:eastAsia="游ゴシック"/>
                <w:b w:val="0"/>
                <w:i w:val="0"/>
                <w:sz w:val="17"/>
              </w:rPr>
              <w:t>146</w:t>
            </w:r>
          </w:p>
        </w:tc>
        <w:tc>
          <w:tcPr>
            <w:tcW w:type="dxa" w:w="980"/>
            <w:vAlign w:val="center"/>
          </w:tcPr>
          <w:p>
            <w:pPr>
              <w:keepNext/>
              <w:spacing w:before="20" w:after="20"/>
            </w:pPr>
            <w:r>
              <w:rPr>
                <w:rFonts w:ascii="游ゴシック" w:hAnsi="游ゴシック" w:eastAsia="游ゴシック"/>
                <w:b w:val="0"/>
                <w:i w:val="0"/>
                <w:sz w:val="17"/>
              </w:rPr>
              <w:t>114</w:t>
            </w:r>
          </w:p>
        </w:tc>
        <w:tc>
          <w:tcPr>
            <w:tcW w:type="dxa" w:w="988"/>
            <w:vAlign w:val="center"/>
          </w:tcPr>
          <w:p>
            <w:pPr>
              <w:keepNext/>
              <w:spacing w:before="20" w:after="20"/>
            </w:pPr>
            <w:r>
              <w:rPr>
                <w:rFonts w:ascii="游ゴシック" w:hAnsi="游ゴシック" w:eastAsia="游ゴシック"/>
                <w:b w:val="0"/>
                <w:i w:val="0"/>
                <w:sz w:val="17"/>
              </w:rPr>
              <w:t>937</w:t>
            </w:r>
          </w:p>
        </w:tc>
        <w:tc>
          <w:tcPr>
            <w:tcW w:type="dxa" w:w="988"/>
            <w:vAlign w:val="center"/>
          </w:tcPr>
          <w:p>
            <w:pPr>
              <w:keepNext/>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keepNext/>
              <w:spacing w:before="20" w:after="20"/>
            </w:pPr>
            <w:r>
              <w:rPr>
                <w:rFonts w:ascii="游ゴシック" w:hAnsi="游ゴシック" w:eastAsia="游ゴシック"/>
                <w:b w:val="0"/>
                <w:i w:val="0"/>
                <w:sz w:val="17"/>
              </w:rPr>
              <w:t>2025年7月31日</w:t>
            </w:r>
          </w:p>
        </w:tc>
        <w:tc>
          <w:tcPr>
            <w:tcW w:type="dxa" w:w="1986"/>
            <w:vAlign w:val="center"/>
          </w:tcPr>
          <w:p>
            <w:pPr>
              <w:keepNext/>
              <w:spacing w:before="20" w:after="20"/>
            </w:pPr>
            <w:r>
              <w:rPr>
                <w:rFonts w:ascii="游ゴシック" w:hAnsi="游ゴシック" w:eastAsia="游ゴシック"/>
                <w:b w:val="0"/>
                <w:i w:val="0"/>
                <w:sz w:val="17"/>
              </w:rPr>
              <w:t>地域福祉計画</w:t>
            </w:r>
          </w:p>
        </w:tc>
        <w:tc>
          <w:tcPr>
            <w:tcW w:type="dxa" w:w="1741"/>
            <w:vAlign w:val="center"/>
          </w:tcPr>
          <w:p>
            <w:pPr>
              <w:keepNext/>
              <w:spacing w:before="20" w:after="20"/>
            </w:pPr>
            <w:r>
              <w:rPr>
                <w:rFonts w:ascii="游ゴシック" w:hAnsi="游ゴシック" w:eastAsia="游ゴシック"/>
                <w:b w:val="0"/>
                <w:i w:val="0"/>
                <w:sz w:val="17"/>
              </w:rPr>
              <w:t>953</w:t>
            </w:r>
          </w:p>
        </w:tc>
        <w:tc>
          <w:tcPr>
            <w:tcW w:type="dxa" w:w="1741"/>
            <w:vAlign w:val="center"/>
          </w:tcPr>
          <w:p>
            <w:pPr>
              <w:keepNext/>
              <w:spacing w:before="20" w:after="20"/>
            </w:pPr>
            <w:r>
              <w:rPr>
                <w:rFonts w:ascii="游ゴシック" w:hAnsi="游ゴシック" w:eastAsia="游ゴシック"/>
                <w:b w:val="0"/>
                <w:i w:val="0"/>
                <w:sz w:val="17"/>
              </w:rPr>
              <w:t>＋18</w:t>
            </w:r>
          </w:p>
        </w:tc>
        <w:tc>
          <w:tcPr>
            <w:tcW w:type="dxa" w:w="1867"/>
            <w:vAlign w:val="center"/>
          </w:tcPr>
          <w:p>
            <w:pPr>
              <w:keepNext/>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pStyle w:val="Heading2"/>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keepNext/>
              <w:spacing w:before="20" w:after="20"/>
            </w:pPr>
            <w:r>
              <w:rPr>
                <w:rFonts w:ascii="游ゴシック" w:hAnsi="游ゴシック" w:eastAsia="游ゴシック"/>
                <w:b w:val="0"/>
                <w:i w:val="0"/>
                <w:sz w:val="17"/>
              </w:rPr>
              <w:t>令和7年3月末</w:t>
            </w:r>
          </w:p>
        </w:tc>
        <w:tc>
          <w:tcPr>
            <w:tcW w:type="dxa" w:w="1276"/>
            <w:vAlign w:val="center"/>
          </w:tcPr>
          <w:p>
            <w:pPr>
              <w:keepNext/>
              <w:spacing w:before="20" w:after="20"/>
            </w:pPr>
            <w:r>
              <w:rPr>
                <w:rFonts w:ascii="游ゴシック" w:hAnsi="游ゴシック" w:eastAsia="游ゴシック"/>
                <w:b w:val="0"/>
                <w:i w:val="0"/>
                <w:sz w:val="17"/>
              </w:rPr>
              <w:t>944</w:t>
            </w:r>
          </w:p>
        </w:tc>
        <w:tc>
          <w:tcPr>
            <w:tcW w:type="dxa" w:w="1276"/>
            <w:vAlign w:val="center"/>
          </w:tcPr>
          <w:p>
            <w:pPr>
              <w:keepNext/>
              <w:spacing w:before="20" w:after="20"/>
            </w:pPr>
            <w:r>
              <w:rPr>
                <w:rFonts w:ascii="游ゴシック" w:hAnsi="游ゴシック" w:eastAsia="游ゴシック"/>
                <w:b w:val="0"/>
                <w:i w:val="0"/>
                <w:sz w:val="17"/>
              </w:rPr>
              <w:t>935</w:t>
            </w:r>
          </w:p>
        </w:tc>
        <w:tc>
          <w:tcPr>
            <w:tcW w:type="dxa" w:w="1441"/>
            <w:vAlign w:val="center"/>
          </w:tcPr>
          <w:p>
            <w:pPr>
              <w:keepNext/>
              <w:spacing w:before="20" w:after="20"/>
            </w:pPr>
            <w:r>
              <w:rPr>
                <w:rFonts w:ascii="游ゴシック" w:hAnsi="游ゴシック" w:eastAsia="游ゴシック"/>
                <w:b w:val="0"/>
                <w:i w:val="0"/>
                <w:sz w:val="17"/>
              </w:rPr>
              <w:t>89</w:t>
            </w:r>
          </w:p>
        </w:tc>
        <w:tc>
          <w:tcPr>
            <w:tcW w:type="dxa" w:w="1441"/>
            <w:vAlign w:val="center"/>
          </w:tcPr>
          <w:p>
            <w:pPr>
              <w:keepNext/>
              <w:spacing w:before="20" w:after="20"/>
            </w:pPr>
            <w:r>
              <w:rPr>
                <w:rFonts w:ascii="游ゴシック" w:hAnsi="游ゴシック" w:eastAsia="游ゴシック"/>
                <w:b w:val="0"/>
                <w:i w:val="0"/>
                <w:sz w:val="17"/>
              </w:rPr>
              <w:t>214</w:t>
            </w:r>
          </w:p>
        </w:tc>
        <w:tc>
          <w:tcPr>
            <w:tcW w:type="dxa" w:w="1389"/>
            <w:vAlign w:val="center"/>
          </w:tcPr>
          <w:p>
            <w:pPr>
              <w:keepNext/>
              <w:spacing w:before="20" w:after="20"/>
            </w:pPr>
            <w:r>
              <w:rPr>
                <w:rFonts w:ascii="游ゴシック" w:hAnsi="游ゴシック" w:eastAsia="游ゴシック"/>
                <w:b w:val="0"/>
                <w:i w:val="0"/>
                <w:sz w:val="17"/>
              </w:rPr>
              <w:t>632</w:t>
            </w:r>
          </w:p>
        </w:tc>
        <w:tc>
          <w:tcPr>
            <w:tcW w:type="dxa" w:w="1389"/>
            <w:vAlign w:val="center"/>
          </w:tcPr>
          <w:p>
            <w:pPr>
              <w:keepNext/>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keepNext/>
              <w:spacing w:before="20" w:after="20"/>
            </w:pPr>
            <w:r>
              <w:rPr>
                <w:rFonts w:ascii="游ゴシック" w:hAnsi="游ゴシック" w:eastAsia="游ゴシック"/>
                <w:b/>
                <w:i w:val="0"/>
                <w:sz w:val="17"/>
              </w:rPr>
              <w:t>85歳以上</w:t>
            </w:r>
          </w:p>
        </w:tc>
        <w:tc>
          <w:tcPr>
            <w:tcW w:type="dxa" w:w="1904"/>
            <w:vAlign w:val="center"/>
          </w:tcPr>
          <w:p>
            <w:pPr>
              <w:keepNext/>
              <w:spacing w:before="20" w:after="20"/>
            </w:pPr>
            <w:r>
              <w:rPr>
                <w:rFonts w:ascii="游ゴシック" w:hAnsi="游ゴシック" w:eastAsia="游ゴシック"/>
                <w:b/>
                <w:i w:val="0"/>
                <w:sz w:val="17"/>
              </w:rPr>
              <w:t>632</w:t>
            </w:r>
          </w:p>
        </w:tc>
        <w:tc>
          <w:tcPr>
            <w:tcW w:type="dxa" w:w="1904"/>
            <w:vAlign w:val="center"/>
          </w:tcPr>
          <w:p>
            <w:pPr>
              <w:keepNext/>
              <w:spacing w:before="20" w:after="20"/>
            </w:pPr>
            <w:r>
              <w:rPr>
                <w:rFonts w:ascii="游ゴシック" w:hAnsi="游ゴシック" w:eastAsia="游ゴシック"/>
                <w:b/>
                <w:i w:val="0"/>
                <w:sz w:val="17"/>
              </w:rPr>
              <w:t>515</w:t>
            </w:r>
          </w:p>
        </w:tc>
        <w:tc>
          <w:tcPr>
            <w:tcW w:type="dxa" w:w="2322"/>
            <w:vAlign w:val="center"/>
          </w:tcPr>
          <w:p>
            <w:pPr>
              <w:keepNext/>
              <w:spacing w:before="20" w:after="20"/>
            </w:pPr>
            <w:r>
              <w:rPr>
                <w:rFonts w:ascii="游ゴシック" w:hAnsi="游ゴシック" w:eastAsia="游ゴシック"/>
                <w:b/>
                <w:i w:val="0"/>
                <w:sz w:val="17"/>
              </w:rPr>
              <w:t>▲117（▲18.5％）</w:t>
            </w:r>
          </w:p>
        </w:tc>
        <w:tc>
          <w:tcPr>
            <w:tcW w:type="dxa" w:w="1811"/>
            <w:vAlign w:val="center"/>
          </w:tcPr>
          <w:p>
            <w:pPr>
              <w:keepNext/>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keepNext/>
              <w:spacing w:before="20" w:after="20"/>
            </w:pPr>
            <w:r>
              <w:rPr>
                <w:rFonts w:ascii="游ゴシック" w:hAnsi="游ゴシック" w:eastAsia="游ゴシック"/>
                <w:b w:val="0"/>
                <w:i w:val="0"/>
                <w:sz w:val="17"/>
              </w:rPr>
              <w:t>報告漏れによる暫定値か</w:t>
            </w:r>
          </w:p>
        </w:tc>
        <w:tc>
          <w:tcPr>
            <w:tcW w:type="dxa" w:w="4502"/>
            <w:vAlign w:val="center"/>
          </w:tcPr>
          <w:p>
            <w:pPr>
              <w:keepNext/>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keepNext/>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pStyle w:val="Heading1"/>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pStyle w:val="Heading2"/>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keepNext/>
              <w:spacing w:before="20" w:after="20"/>
            </w:pPr>
            <w:r>
              <w:rPr>
                <w:rFonts w:ascii="游ゴシック" w:hAnsi="游ゴシック" w:eastAsia="游ゴシック"/>
                <w:b w:val="0"/>
                <w:i w:val="0"/>
                <w:sz w:val="17"/>
              </w:rPr>
              <w:t>2,281</w:t>
            </w:r>
          </w:p>
        </w:tc>
        <w:tc>
          <w:tcPr>
            <w:tcW w:type="dxa" w:w="1825"/>
            <w:vAlign w:val="center"/>
          </w:tcPr>
          <w:p>
            <w:pPr>
              <w:keepNext/>
              <w:spacing w:before="20" w:after="20"/>
            </w:pPr>
            <w:r>
              <w:rPr>
                <w:rFonts w:ascii="游ゴシック" w:hAnsi="游ゴシック" w:eastAsia="游ゴシック"/>
                <w:b w:val="0"/>
                <w:i w:val="0"/>
                <w:sz w:val="17"/>
              </w:rPr>
              <w:t>3,067</w:t>
            </w:r>
          </w:p>
        </w:tc>
        <w:tc>
          <w:tcPr>
            <w:tcW w:type="dxa" w:w="1825"/>
            <w:vAlign w:val="center"/>
          </w:tcPr>
          <w:p>
            <w:pPr>
              <w:keepNext/>
              <w:spacing w:before="20" w:after="20"/>
            </w:pPr>
            <w:r>
              <w:rPr>
                <w:rFonts w:ascii="游ゴシック" w:hAnsi="游ゴシック" w:eastAsia="游ゴシック"/>
                <w:b w:val="0"/>
                <w:i w:val="0"/>
                <w:sz w:val="17"/>
              </w:rPr>
              <w:t>―</w:t>
            </w:r>
          </w:p>
        </w:tc>
        <w:tc>
          <w:tcPr>
            <w:tcW w:type="dxa" w:w="1825"/>
            <w:vAlign w:val="center"/>
          </w:tcPr>
          <w:p>
            <w:pPr>
              <w:keepNext/>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keepNext/>
              <w:spacing w:before="20" w:after="20"/>
            </w:pPr>
            <w:r>
              <w:rPr>
                <w:rFonts w:ascii="游ゴシック" w:hAnsi="游ゴシック" w:eastAsia="游ゴシック"/>
                <w:b w:val="0"/>
                <w:i w:val="0"/>
                <w:sz w:val="17"/>
              </w:rPr>
              <w:t>令和6年度</w:t>
            </w:r>
          </w:p>
        </w:tc>
        <w:tc>
          <w:tcPr>
            <w:tcW w:type="dxa" w:w="2733"/>
            <w:vAlign w:val="center"/>
          </w:tcPr>
          <w:p>
            <w:pPr>
              <w:keepNext/>
              <w:spacing w:before="20" w:after="20"/>
            </w:pPr>
            <w:r>
              <w:rPr>
                <w:rFonts w:ascii="游ゴシック" w:hAnsi="游ゴシック" w:eastAsia="游ゴシック"/>
                <w:b w:val="0"/>
                <w:i w:val="0"/>
                <w:sz w:val="17"/>
              </w:rPr>
              <w:t>1,085,998</w:t>
            </w:r>
          </w:p>
        </w:tc>
        <w:tc>
          <w:tcPr>
            <w:tcW w:type="dxa" w:w="2733"/>
            <w:vAlign w:val="center"/>
          </w:tcPr>
          <w:p>
            <w:pPr>
              <w:keepNext/>
              <w:spacing w:before="20" w:after="20"/>
            </w:pPr>
            <w:r>
              <w:rPr>
                <w:rFonts w:ascii="游ゴシック" w:hAnsi="游ゴシック" w:eastAsia="游ゴシック"/>
                <w:b w:val="0"/>
                <w:i w:val="0"/>
                <w:sz w:val="17"/>
              </w:rPr>
              <w:t>1,169,470</w:t>
            </w:r>
          </w:p>
        </w:tc>
        <w:tc>
          <w:tcPr>
            <w:tcW w:type="dxa" w:w="2142"/>
            <w:vAlign w:val="center"/>
          </w:tcPr>
          <w:p>
            <w:pPr>
              <w:keepNext/>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pStyle w:val="Heading2"/>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pStyle w:val="Heading2"/>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keepNext/>
              <w:spacing w:before="20" w:after="20"/>
            </w:pPr>
            <w:r>
              <w:rPr>
                <w:rFonts w:ascii="游ゴシック" w:hAnsi="游ゴシック" w:eastAsia="游ゴシック"/>
                <w:b w:val="0"/>
                <w:i w:val="0"/>
                <w:sz w:val="17"/>
              </w:rPr>
              <w:t>7.4日</w:t>
            </w:r>
          </w:p>
        </w:tc>
        <w:tc>
          <w:tcPr>
            <w:tcW w:type="dxa" w:w="2737"/>
            <w:vAlign w:val="center"/>
          </w:tcPr>
          <w:p>
            <w:pPr>
              <w:keepNext/>
              <w:spacing w:before="20" w:after="20"/>
            </w:pPr>
            <w:r>
              <w:rPr>
                <w:rFonts w:ascii="游ゴシック" w:hAnsi="游ゴシック" w:eastAsia="游ゴシック"/>
                <w:b w:val="0"/>
                <w:i w:val="0"/>
                <w:sz w:val="17"/>
              </w:rPr>
              <w:t>9.3日</w:t>
            </w:r>
          </w:p>
        </w:tc>
        <w:tc>
          <w:tcPr>
            <w:tcW w:type="dxa" w:w="2208"/>
            <w:vAlign w:val="center"/>
          </w:tcPr>
          <w:p>
            <w:pPr>
              <w:keepNext/>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keepNext/>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keepNext/>
              <w:spacing w:before="20" w:after="20"/>
            </w:pPr>
            <w:r>
              <w:rPr>
                <w:rFonts w:ascii="游ゴシック" w:hAnsi="游ゴシック" w:eastAsia="游ゴシック"/>
                <w:b w:val="0"/>
                <w:i w:val="0"/>
                <w:sz w:val="17"/>
              </w:rPr>
              <w:t>1.08</w:t>
            </w:r>
          </w:p>
        </w:tc>
        <w:tc>
          <w:tcPr>
            <w:tcW w:type="dxa" w:w="4039"/>
            <w:vAlign w:val="center"/>
          </w:tcPr>
          <w:p>
            <w:pPr>
              <w:keepNext/>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keepNext/>
              <w:spacing w:before="20" w:after="20"/>
            </w:pPr>
            <w:r>
              <w:rPr>
                <w:rFonts w:ascii="游ゴシック" w:hAnsi="游ゴシック" w:eastAsia="游ゴシック"/>
                <w:b w:val="0"/>
                <w:i w:val="0"/>
                <w:sz w:val="17"/>
              </w:rPr>
              <w:t>訪問看護（か所）</w:t>
            </w:r>
          </w:p>
        </w:tc>
        <w:tc>
          <w:tcPr>
            <w:tcW w:type="dxa" w:w="1589"/>
            <w:vAlign w:val="center"/>
          </w:tcPr>
          <w:p>
            <w:pPr>
              <w:keepNext/>
              <w:spacing w:before="20" w:after="20"/>
            </w:pPr>
            <w:r>
              <w:rPr>
                <w:rFonts w:ascii="游ゴシック" w:hAnsi="游ゴシック" w:eastAsia="游ゴシック"/>
                <w:b w:val="0"/>
                <w:i w:val="0"/>
                <w:sz w:val="17"/>
              </w:rPr>
              <w:t>―</w:t>
            </w:r>
          </w:p>
        </w:tc>
        <w:tc>
          <w:tcPr>
            <w:tcW w:type="dxa" w:w="1519"/>
            <w:vAlign w:val="center"/>
          </w:tcPr>
          <w:p>
            <w:pPr>
              <w:keepNext/>
              <w:spacing w:before="20" w:after="20"/>
            </w:pPr>
            <w:r>
              <w:rPr>
                <w:rFonts w:ascii="游ゴシック" w:hAnsi="游ゴシック" w:eastAsia="游ゴシック"/>
                <w:b w:val="0"/>
                <w:i w:val="0"/>
                <w:sz w:val="17"/>
              </w:rPr>
              <w:t>―</w:t>
            </w:r>
          </w:p>
        </w:tc>
        <w:tc>
          <w:tcPr>
            <w:tcW w:type="dxa" w:w="1589"/>
            <w:vAlign w:val="center"/>
          </w:tcPr>
          <w:p>
            <w:pPr>
              <w:keepNext/>
              <w:spacing w:before="20" w:after="20"/>
            </w:pPr>
            <w:r>
              <w:rPr>
                <w:rFonts w:ascii="游ゴシック" w:hAnsi="游ゴシック" w:eastAsia="游ゴシック"/>
                <w:b w:val="0"/>
                <w:i w:val="0"/>
                <w:sz w:val="17"/>
              </w:rPr>
              <w:t>1</w:t>
            </w:r>
          </w:p>
        </w:tc>
        <w:tc>
          <w:tcPr>
            <w:tcW w:type="dxa" w:w="3043"/>
            <w:vAlign w:val="center"/>
          </w:tcPr>
          <w:p>
            <w:pPr>
              <w:keepNext/>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pStyle w:val="Heading2"/>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keepNext/>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keepNext/>
              <w:spacing w:before="20" w:after="20"/>
            </w:pPr>
            <w:r>
              <w:rPr>
                <w:rFonts w:ascii="游ゴシック" w:hAnsi="游ゴシック" w:eastAsia="游ゴシック"/>
                <w:b w:val="0"/>
                <w:i w:val="0"/>
                <w:sz w:val="17"/>
              </w:rPr>
              <w:t>29,335</w:t>
            </w:r>
          </w:p>
        </w:tc>
        <w:tc>
          <w:tcPr>
            <w:tcW w:type="dxa" w:w="1985"/>
            <w:vAlign w:val="center"/>
          </w:tcPr>
          <w:p>
            <w:pPr>
              <w:keepNext/>
              <w:spacing w:before="20" w:after="20"/>
            </w:pPr>
            <w:r>
              <w:rPr>
                <w:rFonts w:ascii="游ゴシック" w:hAnsi="游ゴシック" w:eastAsia="游ゴシック"/>
                <w:b w:val="0"/>
                <w:i w:val="0"/>
                <w:sz w:val="17"/>
              </w:rPr>
              <w:t>【データ受領後に記載】</w:t>
            </w:r>
          </w:p>
        </w:tc>
        <w:tc>
          <w:tcPr>
            <w:tcW w:type="dxa" w:w="1644"/>
            <w:vAlign w:val="center"/>
          </w:tcPr>
          <w:p>
            <w:pPr>
              <w:keepNext/>
              <w:spacing w:before="20" w:after="20"/>
            </w:pPr>
            <w:r>
              <w:rPr>
                <w:rFonts w:ascii="游ゴシック" w:hAnsi="游ゴシック" w:eastAsia="游ゴシック"/>
                <w:b w:val="0"/>
                <w:i w:val="0"/>
                <w:sz w:val="17"/>
              </w:rPr>
              <w:t>―</w:t>
            </w:r>
          </w:p>
        </w:tc>
        <w:tc>
          <w:tcPr>
            <w:tcW w:type="dxa" w:w="1717"/>
            <w:vAlign w:val="center"/>
          </w:tcPr>
          <w:p>
            <w:pPr>
              <w:keepNext/>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keepNext/>
              <w:spacing w:before="20" w:after="20"/>
            </w:pPr>
            <w:r>
              <w:rPr>
                <w:rFonts w:ascii="游ゴシック" w:hAnsi="游ゴシック" w:eastAsia="游ゴシック"/>
                <w:b w:val="0"/>
                <w:i w:val="0"/>
                <w:sz w:val="17"/>
              </w:rPr>
              <w:t>令和5年度</w:t>
            </w:r>
          </w:p>
        </w:tc>
        <w:tc>
          <w:tcPr>
            <w:tcW w:type="dxa" w:w="1539"/>
            <w:vAlign w:val="center"/>
          </w:tcPr>
          <w:p>
            <w:pPr>
              <w:keepNext/>
              <w:spacing w:before="20" w:after="20"/>
            </w:pPr>
            <w:r>
              <w:rPr>
                <w:rFonts w:ascii="游ゴシック" w:hAnsi="游ゴシック" w:eastAsia="游ゴシック"/>
                <w:b w:val="0"/>
                <w:i w:val="0"/>
                <w:sz w:val="17"/>
              </w:rPr>
              <w:t>63,275</w:t>
            </w:r>
          </w:p>
        </w:tc>
        <w:tc>
          <w:tcPr>
            <w:tcW w:type="dxa" w:w="1539"/>
            <w:vAlign w:val="center"/>
          </w:tcPr>
          <w:p>
            <w:pPr>
              <w:keepNext/>
              <w:spacing w:before="20" w:after="20"/>
            </w:pPr>
            <w:r>
              <w:rPr>
                <w:rFonts w:ascii="游ゴシック" w:hAnsi="游ゴシック" w:eastAsia="游ゴシック"/>
                <w:b w:val="0"/>
                <w:i w:val="0"/>
                <w:sz w:val="17"/>
              </w:rPr>
              <w:t>35,670</w:t>
            </w:r>
          </w:p>
        </w:tc>
        <w:tc>
          <w:tcPr>
            <w:tcW w:type="dxa" w:w="1715"/>
            <w:vAlign w:val="center"/>
          </w:tcPr>
          <w:p>
            <w:pPr>
              <w:keepNext/>
              <w:spacing w:before="20" w:after="20"/>
            </w:pPr>
            <w:r>
              <w:rPr>
                <w:rFonts w:ascii="游ゴシック" w:hAnsi="游ゴシック" w:eastAsia="游ゴシック"/>
                <w:b w:val="0"/>
                <w:i w:val="0"/>
                <w:sz w:val="17"/>
              </w:rPr>
              <w:t>34,677</w:t>
            </w:r>
          </w:p>
        </w:tc>
        <w:tc>
          <w:tcPr>
            <w:tcW w:type="dxa" w:w="1715"/>
            <w:vAlign w:val="center"/>
          </w:tcPr>
          <w:p>
            <w:pPr>
              <w:keepNext/>
              <w:spacing w:before="20" w:after="20"/>
            </w:pPr>
            <w:r>
              <w:rPr>
                <w:rFonts w:ascii="游ゴシック" w:hAnsi="游ゴシック" w:eastAsia="游ゴシック"/>
                <w:b w:val="0"/>
                <w:i w:val="0"/>
                <w:sz w:val="17"/>
              </w:rPr>
              <w:t>994</w:t>
            </w:r>
          </w:p>
        </w:tc>
        <w:tc>
          <w:tcPr>
            <w:tcW w:type="dxa" w:w="1769"/>
            <w:vAlign w:val="center"/>
          </w:tcPr>
          <w:p>
            <w:pPr>
              <w:keepNext/>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pStyle w:val="Heading2"/>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8"/>
        <w:gridCol w:w="1347"/>
        <w:gridCol w:w="1411"/>
        <w:gridCol w:w="1347"/>
        <w:gridCol w:w="1883"/>
        <w:gridCol w:w="2206"/>
      </w:tblGrid>
      <w:tr>
        <w:tc>
          <w:tcPr>
            <w:tcW w:type="dxa" w:w="155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411"/>
            <w:shd w:val="clear" w:fill="1F3864"/>
            <w:vAlign w:val="center"/>
          </w:tcPr>
          <w:p>
            <w:pPr>
              <w:spacing w:before="20" w:after="20"/>
              <w:jc w:val="center"/>
            </w:pPr>
            <w:r>
              <w:rPr>
                <w:rFonts w:ascii="游ゴシック" w:hAnsi="游ゴシック" w:eastAsia="游ゴシック"/>
                <w:b/>
                <w:i w:val="0"/>
                <w:color w:val="FFFFFF"/>
                <w:sz w:val="17"/>
              </w:rPr>
              <w:t>平成28〜30年度</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令和元・2年度</w:t>
            </w:r>
          </w:p>
        </w:tc>
        <w:tc>
          <w:tcPr>
            <w:tcW w:type="dxa" w:w="1883"/>
            <w:shd w:val="clear" w:fill="1F3864"/>
            <w:vAlign w:val="center"/>
          </w:tcPr>
          <w:p>
            <w:pPr>
              <w:spacing w:before="20" w:after="20"/>
              <w:jc w:val="center"/>
            </w:pPr>
            <w:r>
              <w:rPr>
                <w:rFonts w:ascii="游ゴシック" w:hAnsi="游ゴシック" w:eastAsia="游ゴシック"/>
                <w:b/>
                <w:i w:val="0"/>
                <w:color w:val="FFFFFF"/>
                <w:sz w:val="17"/>
              </w:rPr>
              <w:t>令和3年度以降</w:t>
            </w:r>
          </w:p>
        </w:tc>
        <w:tc>
          <w:tcPr>
            <w:tcW w:type="dxa" w:w="2206"/>
            <w:shd w:val="clear" w:fill="1F3864"/>
            <w:vAlign w:val="center"/>
          </w:tcPr>
          <w:p>
            <w:pPr>
              <w:spacing w:before="20" w:after="20"/>
              <w:jc w:val="center"/>
            </w:pPr>
            <w:r>
              <w:rPr>
                <w:rFonts w:ascii="游ゴシック" w:hAnsi="游ゴシック" w:eastAsia="游ゴシック"/>
                <w:b/>
                <w:i w:val="0"/>
                <w:color w:val="FFFFFF"/>
                <w:sz w:val="17"/>
              </w:rPr>
              <w:t>県内（令和2年度）</w:t>
            </w:r>
          </w:p>
        </w:tc>
      </w:tr>
      <w:tr>
        <w:tc>
          <w:tcPr>
            <w:tcW w:type="dxa" w:w="1558"/>
            <w:vAlign w:val="center"/>
          </w:tcPr>
          <w:p>
            <w:pPr>
              <w:spacing w:before="20" w:after="20"/>
            </w:pPr>
            <w:r>
              <w:rPr>
                <w:rFonts w:ascii="游ゴシック" w:hAnsi="游ゴシック" w:eastAsia="游ゴシック"/>
                <w:b/>
                <w:i w:val="0"/>
                <w:sz w:val="17"/>
              </w:rPr>
              <w:t>週1回以上の通いの場（か所）</w:t>
            </w:r>
          </w:p>
        </w:tc>
        <w:tc>
          <w:tcPr>
            <w:tcW w:type="dxa" w:w="1347"/>
            <w:vAlign w:val="center"/>
          </w:tcPr>
          <w:p>
            <w:pPr>
              <w:spacing w:before="20" w:after="20"/>
            </w:pPr>
            <w:r>
              <w:rPr>
                <w:rFonts w:ascii="游ゴシック" w:hAnsi="游ゴシック" w:eastAsia="游ゴシック"/>
                <w:b/>
                <w:i w:val="0"/>
                <w:sz w:val="17"/>
              </w:rPr>
              <w:t>3か所・56人</w:t>
            </w:r>
          </w:p>
        </w:tc>
        <w:tc>
          <w:tcPr>
            <w:tcW w:type="dxa" w:w="1411"/>
            <w:vAlign w:val="center"/>
          </w:tcPr>
          <w:p>
            <w:pPr>
              <w:spacing w:before="20" w:after="20"/>
            </w:pPr>
            <w:r>
              <w:rPr>
                <w:rFonts w:ascii="游ゴシック" w:hAnsi="游ゴシック" w:eastAsia="游ゴシック"/>
                <w:b/>
                <w:i w:val="0"/>
                <w:sz w:val="17"/>
              </w:rPr>
              <w:t>0か所</w:t>
            </w:r>
          </w:p>
        </w:tc>
        <w:tc>
          <w:tcPr>
            <w:tcW w:type="dxa" w:w="1347"/>
            <w:vAlign w:val="center"/>
          </w:tcPr>
          <w:p>
            <w:pPr>
              <w:spacing w:before="20" w:after="20"/>
            </w:pPr>
            <w:r>
              <w:rPr>
                <w:rFonts w:ascii="游ゴシック" w:hAnsi="游ゴシック" w:eastAsia="游ゴシック"/>
                <w:b/>
                <w:i w:val="0"/>
                <w:sz w:val="17"/>
              </w:rPr>
              <w:t>0か所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i w:val="0"/>
                <w:sz w:val="17"/>
              </w:rPr>
              <w:t>小野町0.0％は59市町村中38位。中央値0.9％・最大15.3％。0％の団体が22</w:t>
            </w:r>
          </w:p>
        </w:tc>
      </w:tr>
      <w:tr>
        <w:tc>
          <w:tcPr>
            <w:tcW w:type="dxa" w:w="1558"/>
            <w:vAlign w:val="center"/>
          </w:tcPr>
          <w:p>
            <w:pPr>
              <w:keepNext/>
              <w:spacing w:before="20" w:after="20"/>
            </w:pPr>
            <w:r>
              <w:rPr>
                <w:rFonts w:ascii="游ゴシック" w:hAnsi="游ゴシック" w:eastAsia="游ゴシック"/>
                <w:b w:val="0"/>
                <w:i w:val="0"/>
                <w:sz w:val="17"/>
              </w:rPr>
              <w:t>月1回以上の通いの場（か所）</w:t>
            </w:r>
          </w:p>
        </w:tc>
        <w:tc>
          <w:tcPr>
            <w:tcW w:type="dxa" w:w="1347"/>
            <w:vAlign w:val="center"/>
          </w:tcPr>
          <w:p>
            <w:pPr>
              <w:keepNext/>
              <w:spacing w:before="20" w:after="20"/>
            </w:pPr>
            <w:r>
              <w:rPr>
                <w:rFonts w:ascii="游ゴシック" w:hAnsi="游ゴシック" w:eastAsia="游ゴシック"/>
                <w:b w:val="0"/>
                <w:i w:val="0"/>
                <w:sz w:val="17"/>
              </w:rPr>
              <w:t>3か所</w:t>
            </w:r>
          </w:p>
        </w:tc>
        <w:tc>
          <w:tcPr>
            <w:tcW w:type="dxa" w:w="1411"/>
            <w:vAlign w:val="center"/>
          </w:tcPr>
          <w:p>
            <w:pPr>
              <w:keepNext/>
              <w:spacing w:before="20" w:after="20"/>
            </w:pPr>
            <w:r>
              <w:rPr>
                <w:rFonts w:ascii="游ゴシック" w:hAnsi="游ゴシック" w:eastAsia="游ゴシック"/>
                <w:b w:val="0"/>
                <w:i w:val="0"/>
                <w:sz w:val="17"/>
              </w:rPr>
              <w:t>11〜12か所</w:t>
            </w:r>
          </w:p>
        </w:tc>
        <w:tc>
          <w:tcPr>
            <w:tcW w:type="dxa" w:w="1347"/>
            <w:vAlign w:val="center"/>
          </w:tcPr>
          <w:p>
            <w:pPr>
              <w:keepNext/>
              <w:spacing w:before="20" w:after="20"/>
            </w:pPr>
            <w:r>
              <w:rPr>
                <w:rFonts w:ascii="游ゴシック" w:hAnsi="游ゴシック" w:eastAsia="游ゴシック"/>
                <w:b w:val="0"/>
                <w:i w:val="0"/>
                <w:sz w:val="17"/>
              </w:rPr>
              <w:t>1〜3か所</w:t>
            </w:r>
          </w:p>
        </w:tc>
        <w:tc>
          <w:tcPr>
            <w:tcW w:type="dxa" w:w="1883"/>
            <w:vAlign w:val="center"/>
          </w:tcPr>
          <w:p>
            <w:pPr>
              <w:keepNext/>
              <w:spacing w:before="20" w:after="20"/>
            </w:pPr>
            <w:r>
              <w:rPr>
                <w:rFonts w:ascii="游ゴシック" w:hAnsi="游ゴシック" w:eastAsia="游ゴシック"/>
                <w:b/>
                <w:i w:val="0"/>
                <w:sz w:val="17"/>
              </w:rPr>
              <w:t>データなし</w:t>
            </w:r>
          </w:p>
        </w:tc>
        <w:tc>
          <w:tcPr>
            <w:tcW w:type="dxa" w:w="2206"/>
            <w:vAlign w:val="center"/>
          </w:tcPr>
          <w:p>
            <w:pPr>
              <w:keepNext/>
              <w:spacing w:before="20" w:after="20"/>
            </w:pPr>
            <w:r>
              <w:rPr>
                <w:rFonts w:ascii="游ゴシック" w:hAnsi="游ゴシック" w:eastAsia="游ゴシック"/>
                <w:b w:val="0"/>
                <w:i w:val="0"/>
                <w:sz w:val="17"/>
              </w:rPr>
              <w:t>小野町1.2％は44位。中央値3.4％・最大34.9％。0％の団体が9</w:t>
            </w:r>
          </w:p>
        </w:tc>
      </w:tr>
      <w:tr>
        <w:tc>
          <w:tcPr>
            <w:tcW w:type="dxa" w:w="1558"/>
            <w:vAlign w:val="center"/>
          </w:tcPr>
          <w:p>
            <w:pPr>
              <w:spacing w:before="20" w:after="20"/>
            </w:pPr>
            <w:r>
              <w:rPr>
                <w:rFonts w:ascii="游ゴシック" w:hAnsi="游ゴシック" w:eastAsia="游ゴシック"/>
                <w:b w:val="0"/>
                <w:i w:val="0"/>
                <w:sz w:val="17"/>
              </w:rPr>
              <w:t>一般介護予防事業費</w:t>
            </w:r>
          </w:p>
        </w:tc>
        <w:tc>
          <w:tcPr>
            <w:tcW w:type="dxa" w:w="1347"/>
            <w:vAlign w:val="center"/>
          </w:tcPr>
          <w:p>
            <w:pPr>
              <w:spacing w:before="20" w:after="20"/>
            </w:pPr>
            <w:r>
              <w:rPr>
                <w:rFonts w:ascii="游ゴシック" w:hAnsi="游ゴシック" w:eastAsia="游ゴシック"/>
                <w:b w:val="0"/>
                <w:i w:val="0"/>
                <w:sz w:val="17"/>
              </w:rPr>
              <w:t>―</w:t>
            </w:r>
          </w:p>
        </w:tc>
        <w:tc>
          <w:tcPr>
            <w:tcW w:type="dxa" w:w="1411"/>
            <w:vAlign w:val="center"/>
          </w:tcPr>
          <w:p>
            <w:pPr>
              <w:spacing w:before="20" w:after="20"/>
            </w:pPr>
            <w:r>
              <w:rPr>
                <w:rFonts w:ascii="游ゴシック" w:hAnsi="游ゴシック" w:eastAsia="游ゴシック"/>
                <w:b w:val="0"/>
                <w:i w:val="0"/>
                <w:sz w:val="17"/>
              </w:rPr>
              <w:t>―</w:t>
            </w:r>
          </w:p>
        </w:tc>
        <w:tc>
          <w:tcPr>
            <w:tcW w:type="dxa" w:w="1347"/>
            <w:vAlign w:val="center"/>
          </w:tcPr>
          <w:p>
            <w:pPr>
              <w:spacing w:before="20" w:after="20"/>
            </w:pPr>
            <w:r>
              <w:rPr>
                <w:rFonts w:ascii="游ゴシック" w:hAnsi="游ゴシック" w:eastAsia="游ゴシック"/>
                <w:b w:val="0"/>
                <w:i w:val="0"/>
                <w:sz w:val="17"/>
              </w:rPr>
              <w:t>―</w:t>
            </w:r>
          </w:p>
        </w:tc>
        <w:tc>
          <w:tcPr>
            <w:tcW w:type="dxa" w:w="1883"/>
            <w:vAlign w:val="center"/>
          </w:tcPr>
          <w:p>
            <w:pPr>
              <w:spacing w:before="20" w:after="20"/>
            </w:pPr>
            <w:r>
              <w:rPr>
                <w:rFonts w:ascii="游ゴシック" w:hAnsi="游ゴシック" w:eastAsia="游ゴシック"/>
                <w:b w:val="0"/>
                <w:i w:val="0"/>
                <w:sz w:val="17"/>
              </w:rPr>
              <w:t>令和3〜5年度 1百万円前後／</w:t>
            </w:r>
            <w:r>
              <w:rPr>
                <w:rFonts w:ascii="游ゴシック" w:hAnsi="游ゴシック" w:eastAsia="游ゴシック"/>
                <w:b/>
                <w:i w:val="0"/>
                <w:sz w:val="17"/>
              </w:rPr>
              <w:t>令和6年度 5.3百万円</w:t>
            </w:r>
          </w:p>
        </w:tc>
        <w:tc>
          <w:tcPr>
            <w:tcW w:type="dxa" w:w="2206"/>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参加率は高齢者人口に対する割合。</w:t>
      </w:r>
      <w:r>
        <w:rPr>
          <w:rFonts w:ascii="游ゴシック" w:hAnsi="游ゴシック" w:eastAsia="游ゴシック"/>
          <w:b/>
          <w:i w:val="0"/>
          <w:sz w:val="17"/>
        </w:rPr>
        <w:t>県内の数値は59市町村の中での位置と分布であり、個別の団体名も個別の値も示していません。</w:t>
      </w:r>
      <w:r>
        <w:rPr>
          <w:rFonts w:ascii="游ゴシック" w:hAnsi="游ゴシック" w:eastAsia="游ゴシック"/>
          <w:b w:val="0"/>
          <w:i w:val="0"/>
          <w:sz w:val="17"/>
        </w:rPr>
        <w:t>※ 見える化システムのF系列は令和2年度までで、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（出力日 令和8年8月4日）。</w:t>
      </w: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総合事業費（令和5年度34.7百万円）のほぼ全額が訪問型・通所型サービスであり、一般介護予防事業費は令和3〜5年度が1百万円前後でした。</w:t>
      </w:r>
      <w:r>
        <w:rPr>
          <w:rFonts w:ascii="游ゴシック" w:hAnsi="游ゴシック" w:eastAsia="游ゴシック"/>
          <w:b/>
          <w:i w:val="0"/>
          <w:sz w:val="21"/>
        </w:rPr>
        <w:t>支出面でも通いの場がほとんど実施されていないことと整合します。</w:t>
      </w:r>
      <w:r>
        <w:rPr>
          <w:rFonts w:ascii="游ゴシック" w:hAnsi="游ゴシック" w:eastAsia="游ゴシック"/>
          <w:b/>
          <w:i w:val="0"/>
          <w:sz w:val="21"/>
        </w:rPr>
        <w:t>ただし令和6年度は5,304,726円（前年の5.3倍）に増えており、何の事業によるものかを確認しています。</w:t>
      </w:r>
    </w:p>
    <w:p>
      <w:pPr>
        <w:keepNext/>
        <w:spacing w:before="200" w:after="40"/>
      </w:pPr>
      <w:r>
        <w:rPr>
          <w:rFonts w:ascii="游ゴシック" w:hAnsi="游ゴシック" w:eastAsia="游ゴシック"/>
          <w:b/>
          <w:i w:val="0"/>
          <w:color w:val="1F4D78"/>
          <w:sz w:val="22"/>
        </w:rPr>
        <w:t>【図8】通いの場の実施状況と調査の回答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8" name="Picture 8"/>
            <wp:cNvGraphicFramePr>
              <a:graphicFrameLocks noChangeAspect="1"/>
            </wp:cNvGraphicFramePr>
            <a:graphic>
              <a:graphicData uri="http://schemas.openxmlformats.org/drawingml/2006/picture">
                <pic:pic>
                  <pic:nvPicPr>
                    <pic:cNvPr id="0" name="f48_kayoi.png"/>
                    <pic:cNvPicPr/>
                  </pic:nvPicPr>
                  <pic:blipFill>
                    <a:blip r:embed="rId20"/>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この食い違いの解明が要ります。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keepNext/>
              <w:spacing w:before="20" w:after="20"/>
            </w:pPr>
            <w:r>
              <w:rPr>
                <w:rFonts w:ascii="游ゴシック" w:hAnsi="游ゴシック" w:eastAsia="游ゴシック"/>
                <w:b w:val="0"/>
                <w:i w:val="0"/>
                <w:sz w:val="17"/>
              </w:rPr>
              <w:t>認知症カフェ（か所）</w:t>
            </w:r>
          </w:p>
        </w:tc>
        <w:tc>
          <w:tcPr>
            <w:tcW w:type="dxa" w:w="1476"/>
            <w:vAlign w:val="center"/>
          </w:tcPr>
          <w:p>
            <w:pPr>
              <w:keepNext/>
              <w:spacing w:before="20" w:after="20"/>
            </w:pPr>
            <w:r>
              <w:rPr>
                <w:rFonts w:ascii="游ゴシック" w:hAnsi="游ゴシック" w:eastAsia="游ゴシック"/>
                <w:b w:val="0"/>
                <w:i w:val="0"/>
                <w:sz w:val="17"/>
              </w:rPr>
              <w:t>1</w:t>
            </w:r>
          </w:p>
        </w:tc>
        <w:tc>
          <w:tcPr>
            <w:tcW w:type="dxa" w:w="1630"/>
            <w:vAlign w:val="center"/>
          </w:tcPr>
          <w:p>
            <w:pPr>
              <w:keepNext/>
              <w:spacing w:before="20" w:after="20"/>
            </w:pPr>
            <w:r>
              <w:rPr>
                <w:rFonts w:ascii="游ゴシック" w:hAnsi="游ゴシック" w:eastAsia="游ゴシック"/>
                <w:b w:val="0"/>
                <w:i w:val="0"/>
                <w:sz w:val="17"/>
              </w:rPr>
              <w:t>1</w:t>
            </w:r>
          </w:p>
        </w:tc>
        <w:tc>
          <w:tcPr>
            <w:tcW w:type="dxa" w:w="3235"/>
            <w:vAlign w:val="center"/>
          </w:tcPr>
          <w:p>
            <w:pPr>
              <w:keepNext/>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00" w:after="40"/>
      </w:pPr>
      <w:r>
        <w:rPr>
          <w:rFonts w:ascii="游ゴシック" w:hAnsi="游ゴシック" w:eastAsia="游ゴシック"/>
          <w:b/>
          <w:i w:val="0"/>
          <w:color w:val="1F4D78"/>
          <w:sz w:val="22"/>
        </w:rPr>
        <w:t>【図9】認知症施策の体制と活動</w:t>
      </w:r>
    </w:p>
    <w:p>
      <w:pPr>
        <w:keepNext/>
        <w:spacing w:before="0" w:after="40"/>
        <w:jc w:val="center"/>
      </w:pPr>
      <w:r>
        <w:drawing>
          <wp:inline xmlns:a="http://schemas.openxmlformats.org/drawingml/2006/main" xmlns:pic="http://schemas.openxmlformats.org/drawingml/2006/picture">
            <wp:extent cx="5400000" cy="2751266"/>
            <wp:docPr id="9" name="Picture 9"/>
            <wp:cNvGraphicFramePr>
              <a:graphicFrameLocks noChangeAspect="1"/>
            </wp:cNvGraphicFramePr>
            <a:graphic>
              <a:graphicData uri="http://schemas.openxmlformats.org/drawingml/2006/picture">
                <pic:pic>
                  <pic:nvPicPr>
                    <pic:cNvPr id="0" name="f47_ninchisho.png"/>
                    <pic:cNvPicPr/>
                  </pic:nvPicPr>
                  <pic:blipFill>
                    <a:blip r:embed="rId21"/>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資料：地域包括ケア「見える化」システム（J16・J17・J18。出典は厚生労働省「認知症総合支援事業等実施状況調べ」）。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pStyle w:val="Heading1"/>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pStyle w:val="Heading2"/>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keepNext/>
              <w:spacing w:before="20" w:after="20"/>
            </w:pPr>
            <w:r>
              <w:rPr>
                <w:rFonts w:ascii="游ゴシック" w:hAnsi="游ゴシック" w:eastAsia="游ゴシック"/>
                <w:b w:val="0"/>
                <w:i w:val="0"/>
                <w:sz w:val="17"/>
              </w:rPr>
              <w:t>② ケアプラン等の点検</w:t>
            </w:r>
          </w:p>
        </w:tc>
        <w:tc>
          <w:tcPr>
            <w:tcW w:type="dxa" w:w="1935"/>
            <w:vAlign w:val="center"/>
          </w:tcPr>
          <w:p>
            <w:pPr>
              <w:keepNext/>
              <w:spacing w:before="20" w:after="20"/>
            </w:pPr>
            <w:r>
              <w:rPr>
                <w:rFonts w:ascii="游ゴシック" w:hAnsi="游ゴシック" w:eastAsia="游ゴシック"/>
                <w:b/>
                <w:i w:val="0"/>
                <w:sz w:val="17"/>
              </w:rPr>
              <w:t>実施（調査票の回答）</w:t>
            </w:r>
          </w:p>
        </w:tc>
        <w:tc>
          <w:tcPr>
            <w:tcW w:type="dxa" w:w="5182"/>
            <w:vAlign w:val="center"/>
          </w:tcPr>
          <w:p>
            <w:pPr>
              <w:keepNext/>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pStyle w:val="Heading2"/>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keepNext/>
              <w:spacing w:before="20" w:after="20"/>
            </w:pPr>
            <w:r>
              <w:rPr>
                <w:rFonts w:ascii="游ゴシック" w:hAnsi="游ゴシック" w:eastAsia="游ゴシック"/>
                <w:b/>
                <w:i w:val="0"/>
                <w:sz w:val="17"/>
              </w:rPr>
              <w:t>支援Ⅲ　在宅医療・在宅介護連携</w:t>
            </w:r>
          </w:p>
        </w:tc>
        <w:tc>
          <w:tcPr>
            <w:tcW w:type="dxa" w:w="1592"/>
            <w:vAlign w:val="center"/>
          </w:tcPr>
          <w:p>
            <w:pPr>
              <w:keepNext/>
              <w:spacing w:before="20" w:after="20"/>
            </w:pPr>
            <w:r>
              <w:rPr>
                <w:rFonts w:ascii="游ゴシック" w:hAnsi="游ゴシック" w:eastAsia="游ゴシック"/>
                <w:b/>
                <w:i w:val="0"/>
                <w:sz w:val="17"/>
              </w:rPr>
              <w:t>55点</w:t>
            </w:r>
          </w:p>
        </w:tc>
        <w:tc>
          <w:tcPr>
            <w:tcW w:type="dxa" w:w="1592"/>
            <w:vAlign w:val="center"/>
          </w:tcPr>
          <w:p>
            <w:pPr>
              <w:keepNext/>
              <w:spacing w:before="20" w:after="20"/>
            </w:pPr>
            <w:r>
              <w:rPr>
                <w:rFonts w:ascii="游ゴシック" w:hAnsi="游ゴシック" w:eastAsia="游ゴシック"/>
                <w:b w:val="0"/>
                <w:i w:val="0"/>
                <w:sz w:val="17"/>
              </w:rPr>
              <w:t>100点</w:t>
            </w:r>
          </w:p>
        </w:tc>
        <w:tc>
          <w:tcPr>
            <w:tcW w:type="dxa" w:w="1875"/>
            <w:vAlign w:val="center"/>
          </w:tcPr>
          <w:p>
            <w:pPr>
              <w:keepNext/>
              <w:spacing w:before="20" w:after="20"/>
            </w:pPr>
            <w:r>
              <w:rPr>
                <w:rFonts w:ascii="游ゴシック" w:hAnsi="游ゴシック" w:eastAsia="游ゴシック"/>
                <w:b w:val="0"/>
                <w:i w:val="0"/>
                <w:sz w:val="17"/>
              </w:rPr>
              <w:t>68.3点</w:t>
            </w:r>
          </w:p>
        </w:tc>
        <w:tc>
          <w:tcPr>
            <w:tcW w:type="dxa" w:w="1786"/>
            <w:vAlign w:val="center"/>
          </w:tcPr>
          <w:p>
            <w:pPr>
              <w:keepNext/>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pStyle w:val="Heading1"/>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pStyle w:val="Heading2"/>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keepNext/>
              <w:spacing w:before="20" w:after="20"/>
            </w:pPr>
            <w:r>
              <w:rPr>
                <w:rFonts w:ascii="游ゴシック" w:hAnsi="游ゴシック" w:eastAsia="游ゴシック"/>
                <w:b w:val="0"/>
                <w:i w:val="0"/>
                <w:sz w:val="17"/>
              </w:rPr>
              <w:t>保険料基準額（取崩後）</w:t>
            </w:r>
          </w:p>
        </w:tc>
        <w:tc>
          <w:tcPr>
            <w:tcW w:type="dxa" w:w="5861"/>
            <w:vAlign w:val="center"/>
          </w:tcPr>
          <w:p>
            <w:pPr>
              <w:keepNext/>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pStyle w:val="Heading2"/>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keepNext/>
              <w:spacing w:before="20" w:after="20"/>
            </w:pPr>
            <w:r>
              <w:rPr>
                <w:rFonts w:ascii="游ゴシック" w:hAnsi="游ゴシック" w:eastAsia="游ゴシック"/>
                <w:b w:val="0"/>
                <w:i w:val="0"/>
                <w:sz w:val="17"/>
              </w:rPr>
              <w:t>保険給付費（百万円）</w:t>
            </w:r>
          </w:p>
        </w:tc>
        <w:tc>
          <w:tcPr>
            <w:tcW w:type="dxa" w:w="1870"/>
            <w:vAlign w:val="center"/>
          </w:tcPr>
          <w:p>
            <w:pPr>
              <w:keepNext/>
              <w:spacing w:before="20" w:after="20"/>
            </w:pPr>
            <w:r>
              <w:rPr>
                <w:rFonts w:ascii="游ゴシック" w:hAnsi="游ゴシック" w:eastAsia="游ゴシック"/>
                <w:b w:val="0"/>
                <w:i w:val="0"/>
                <w:sz w:val="17"/>
              </w:rPr>
              <w:t>1,005.1</w:t>
            </w:r>
          </w:p>
        </w:tc>
        <w:tc>
          <w:tcPr>
            <w:tcW w:type="dxa" w:w="1870"/>
            <w:vAlign w:val="center"/>
          </w:tcPr>
          <w:p>
            <w:pPr>
              <w:keepNext/>
              <w:spacing w:before="20" w:after="20"/>
            </w:pPr>
            <w:r>
              <w:rPr>
                <w:rFonts w:ascii="游ゴシック" w:hAnsi="游ゴシック" w:eastAsia="游ゴシック"/>
                <w:b w:val="0"/>
                <w:i w:val="0"/>
                <w:sz w:val="17"/>
              </w:rPr>
              <w:t>1,097.1</w:t>
            </w:r>
          </w:p>
        </w:tc>
        <w:tc>
          <w:tcPr>
            <w:tcW w:type="dxa" w:w="1870"/>
            <w:vAlign w:val="center"/>
          </w:tcPr>
          <w:p>
            <w:pPr>
              <w:keepNext/>
              <w:spacing w:before="20" w:after="20"/>
            </w:pPr>
            <w:r>
              <w:rPr>
                <w:rFonts w:ascii="游ゴシック" w:hAnsi="游ゴシック" w:eastAsia="游ゴシック"/>
                <w:b w:val="0"/>
                <w:i w:val="0"/>
                <w:sz w:val="17"/>
              </w:rPr>
              <w:t>1,121.3</w:t>
            </w:r>
          </w:p>
        </w:tc>
        <w:tc>
          <w:tcPr>
            <w:tcW w:type="dxa" w:w="1870"/>
            <w:vAlign w:val="center"/>
          </w:tcPr>
          <w:p>
            <w:pPr>
              <w:keepNext/>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i w:val="0"/>
          <w:sz w:val="21"/>
        </w:rPr>
        <w:t>介護給付費準備基金の残高は、町の財務書類で令和5年度末120,000千円です。</w:t>
      </w:r>
      <w:r>
        <w:rPr>
          <w:rFonts w:ascii="游ゴシック" w:hAnsi="游ゴシック" w:eastAsia="游ゴシック"/>
          <w:b w:val="0"/>
          <w:i w:val="0"/>
          <w:sz w:val="21"/>
        </w:rPr>
        <w:t>同じ様式4 の介護給付費準備基金保有額は財務書類と合わないため、財務書類の残高を用います（6-3）。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keepNext/>
              <w:spacing w:before="20" w:after="20"/>
            </w:pPr>
            <w:r>
              <w:rPr>
                <w:rFonts w:ascii="游ゴシック" w:hAnsi="游ゴシック" w:eastAsia="游ゴシック"/>
                <w:b w:val="0"/>
                <w:i w:val="0"/>
                <w:sz w:val="17"/>
              </w:rPr>
              <w:t>令和6年度</w:t>
            </w:r>
          </w:p>
        </w:tc>
        <w:tc>
          <w:tcPr>
            <w:tcW w:type="dxa" w:w="2785"/>
            <w:vAlign w:val="center"/>
          </w:tcPr>
          <w:p>
            <w:pPr>
              <w:keepNext/>
              <w:spacing w:before="20" w:after="20"/>
            </w:pPr>
            <w:r>
              <w:rPr>
                <w:rFonts w:ascii="游ゴシック" w:hAnsi="游ゴシック" w:eastAsia="游ゴシック"/>
                <w:b w:val="0"/>
                <w:i w:val="0"/>
                <w:sz w:val="17"/>
              </w:rPr>
              <w:t>258,620,900</w:t>
            </w:r>
          </w:p>
        </w:tc>
        <w:tc>
          <w:tcPr>
            <w:tcW w:type="dxa" w:w="2785"/>
            <w:vAlign w:val="center"/>
          </w:tcPr>
          <w:p>
            <w:pPr>
              <w:keepNext/>
              <w:spacing w:before="20" w:after="20"/>
            </w:pPr>
            <w:r>
              <w:rPr>
                <w:rFonts w:ascii="游ゴシック" w:hAnsi="游ゴシック" w:eastAsia="游ゴシック"/>
                <w:b w:val="0"/>
                <w:i w:val="0"/>
                <w:sz w:val="17"/>
              </w:rPr>
              <w:t>256,969,900</w:t>
            </w:r>
          </w:p>
        </w:tc>
        <w:tc>
          <w:tcPr>
            <w:tcW w:type="dxa" w:w="2161"/>
            <w:vAlign w:val="center"/>
          </w:tcPr>
          <w:p>
            <w:pPr>
              <w:keepNext/>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【図10】繰越金の蓄積</w:t>
      </w:r>
    </w:p>
    <w:p>
      <w:pPr>
        <w:keepNext/>
        <w:spacing w:before="0" w:after="40"/>
        <w:jc w:val="center"/>
      </w:pPr>
      <w:r>
        <w:drawing>
          <wp:inline xmlns:a="http://schemas.openxmlformats.org/drawingml/2006/main" xmlns:pic="http://schemas.openxmlformats.org/drawingml/2006/picture">
            <wp:extent cx="5040000" cy="2448241"/>
            <wp:docPr id="10" name="Picture 10"/>
            <wp:cNvGraphicFramePr>
              <a:graphicFrameLocks noChangeAspect="1"/>
            </wp:cNvGraphicFramePr>
            <a:graphic>
              <a:graphicData uri="http://schemas.openxmlformats.org/drawingml/2006/picture">
                <pic:pic>
                  <pic:nvPicPr>
                    <pic:cNvPr id="0" name="f09_zaisei.png"/>
                    <pic:cNvPicPr/>
                  </pic:nvPicPr>
                  <pic:blipFill>
                    <a:blip r:embed="rId22"/>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14"/>
        <w:gridCol w:w="6537"/>
      </w:tblGrid>
      <w:tr>
        <w:tc>
          <w:tcPr>
            <w:tcW w:type="dxa" w:w="3214"/>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537"/>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214"/>
            <w:vAlign w:val="center"/>
          </w:tcPr>
          <w:p>
            <w:pPr>
              <w:spacing w:before="20" w:after="20"/>
            </w:pPr>
            <w:r>
              <w:rPr>
                <w:rFonts w:ascii="游ゴシック" w:hAnsi="游ゴシック" w:eastAsia="游ゴシック"/>
                <w:b w:val="0"/>
                <w:i w:val="0"/>
                <w:sz w:val="17"/>
              </w:rPr>
              <w:t>積立（歳出）</w:t>
            </w:r>
          </w:p>
        </w:tc>
        <w:tc>
          <w:tcPr>
            <w:tcW w:type="dxa" w:w="6537"/>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214"/>
            <w:vAlign w:val="center"/>
          </w:tcPr>
          <w:p>
            <w:pPr>
              <w:spacing w:before="20" w:after="20"/>
            </w:pPr>
            <w:r>
              <w:rPr>
                <w:rFonts w:ascii="游ゴシック" w:hAnsi="游ゴシック" w:eastAsia="游ゴシック"/>
                <w:b w:val="0"/>
                <w:i w:val="0"/>
                <w:sz w:val="17"/>
              </w:rPr>
              <w:t>取崩（歳入）</w:t>
            </w:r>
          </w:p>
        </w:tc>
        <w:tc>
          <w:tcPr>
            <w:tcW w:type="dxa" w:w="6537"/>
            <w:vAlign w:val="center"/>
          </w:tcPr>
          <w:p>
            <w:pPr>
              <w:spacing w:before="20" w:after="20"/>
            </w:pPr>
            <w:r>
              <w:rPr>
                <w:rFonts w:ascii="游ゴシック" w:hAnsi="游ゴシック" w:eastAsia="游ゴシック"/>
                <w:b w:val="0"/>
                <w:i w:val="0"/>
                <w:sz w:val="17"/>
              </w:rPr>
              <w:t>19.9百万円（平成26年度1.9、平成29年度18.0のみ）</w:t>
            </w:r>
          </w:p>
        </w:tc>
      </w:tr>
      <w:tr>
        <w:tc>
          <w:tcPr>
            <w:tcW w:type="dxa" w:w="3214"/>
            <w:vAlign w:val="center"/>
          </w:tcPr>
          <w:p>
            <w:pPr>
              <w:keepNext/>
              <w:spacing w:before="20" w:after="20"/>
            </w:pPr>
            <w:r>
              <w:rPr>
                <w:rFonts w:ascii="游ゴシック" w:hAnsi="游ゴシック" w:eastAsia="游ゴシック"/>
                <w:b w:val="0"/>
                <w:i w:val="0"/>
                <w:sz w:val="17"/>
              </w:rPr>
              <w:t>差引（純増）</w:t>
            </w:r>
          </w:p>
        </w:tc>
        <w:tc>
          <w:tcPr>
            <w:tcW w:type="dxa" w:w="6537"/>
            <w:vAlign w:val="center"/>
          </w:tcPr>
          <w:p>
            <w:pPr>
              <w:keepNext/>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r>
        <w:tc>
          <w:tcPr>
            <w:tcW w:type="dxa" w:w="3214"/>
            <w:vAlign w:val="center"/>
          </w:tcPr>
          <w:p>
            <w:pPr>
              <w:spacing w:before="20" w:after="20"/>
            </w:pPr>
            <w:r>
              <w:rPr>
                <w:rFonts w:ascii="游ゴシック" w:hAnsi="游ゴシック" w:eastAsia="游ゴシック"/>
                <w:b/>
                <w:i w:val="0"/>
                <w:sz w:val="17"/>
              </w:rPr>
              <w:t>残高（令和5年度末）</w:t>
            </w:r>
          </w:p>
        </w:tc>
        <w:tc>
          <w:tcPr>
            <w:tcW w:type="dxa" w:w="6537"/>
            <w:vAlign w:val="center"/>
          </w:tcPr>
          <w:p>
            <w:pPr>
              <w:spacing w:before="20" w:after="20"/>
            </w:pPr>
            <w:r>
              <w:rPr>
                <w:rFonts w:ascii="游ゴシック" w:hAnsi="游ゴシック" w:eastAsia="游ゴシック"/>
                <w:b/>
                <w:i w:val="0"/>
                <w:sz w:val="17"/>
              </w:rPr>
              <w:t>120.0百万円</w:t>
            </w:r>
            <w:r>
              <w:rPr>
                <w:rFonts w:ascii="游ゴシック" w:hAnsi="游ゴシック" w:eastAsia="游ゴシック"/>
                <w:b w:val="0"/>
                <w:i w:val="0"/>
                <w:sz w:val="17"/>
              </w:rPr>
              <w:t>（町の財務書類 附属明細書「基金の明細」）</w:t>
            </w:r>
          </w:p>
        </w:tc>
      </w:tr>
    </w:tbl>
    <w:p>
      <w:pPr>
        <w:spacing w:after="40"/>
      </w:pPr>
    </w:p>
    <w:p>
      <w:pPr>
        <w:spacing w:before="40" w:after="160"/>
        <w:ind w:left="113"/>
      </w:pPr>
      <w:r>
        <w:rPr>
          <w:rFonts w:ascii="游ゴシック" w:hAnsi="游ゴシック" w:eastAsia="游ゴシック"/>
          <w:b w:val="0"/>
          <w:i w:val="0"/>
          <w:sz w:val="17"/>
        </w:rPr>
        <w:t>※ 積立・取崩は見える化システムの値。見える化の積立には令和4年度の30.0百万円が入っていない（町の決算では令和2〜5年度に各30.0百万円）。残高は町の財務書類による。</w:t>
      </w: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残高120.0百万円（令和5年度末）を合わせると、</w:t>
      </w:r>
      <w:r>
        <w:rPr>
          <w:rFonts w:ascii="游ゴシック" w:hAnsi="游ゴシック" w:eastAsia="游ゴシック"/>
          <w:b/>
          <w:i w:val="0"/>
          <w:sz w:val="21"/>
        </w:rPr>
        <w:t>300百万円程度の財政的な余力</w:t>
      </w:r>
      <w:r>
        <w:rPr>
          <w:rFonts w:ascii="游ゴシック" w:hAnsi="游ゴシック" w:eastAsia="游ゴシック"/>
          <w:b w:val="0"/>
          <w:i w:val="0"/>
          <w:sz w:val="21"/>
        </w:rPr>
        <w:t>があります。第10期3年間の保険給付費（年間1,100百万円程度で3,300百万円程度）の9％前後です。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pStyle w:val="Heading2"/>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基金の残高は、町の財務書類（附属明細書「基金の明細」）で確かめられました。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73"/>
        <w:gridCol w:w="2805"/>
        <w:gridCol w:w="3473"/>
      </w:tblGrid>
      <w:tr>
        <w:tc>
          <w:tcPr>
            <w:tcW w:type="dxa" w:w="3473"/>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805"/>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3473"/>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73"/>
            <w:vAlign w:val="center"/>
          </w:tcPr>
          <w:p>
            <w:pPr>
              <w:spacing w:before="20" w:after="20"/>
            </w:pPr>
            <w:r>
              <w:rPr>
                <w:rFonts w:ascii="游ゴシック" w:hAnsi="游ゴシック" w:eastAsia="游ゴシック"/>
                <w:b w:val="0"/>
                <w:i w:val="0"/>
                <w:sz w:val="17"/>
              </w:rPr>
              <w:t>介護給付費準備基金 残高（令和4年度末）</w:t>
            </w:r>
          </w:p>
        </w:tc>
        <w:tc>
          <w:tcPr>
            <w:tcW w:type="dxa" w:w="2805"/>
            <w:vAlign w:val="center"/>
          </w:tcPr>
          <w:p>
            <w:pPr>
              <w:spacing w:before="20" w:after="20"/>
            </w:pPr>
            <w:r>
              <w:rPr>
                <w:rFonts w:ascii="游ゴシック" w:hAnsi="游ゴシック" w:eastAsia="游ゴシック"/>
                <w:b w:val="0"/>
                <w:i w:val="0"/>
                <w:sz w:val="17"/>
              </w:rPr>
              <w:t>90,000千円</w:t>
            </w:r>
          </w:p>
        </w:tc>
        <w:tc>
          <w:tcPr>
            <w:tcW w:type="dxa" w:w="3473"/>
            <w:vAlign w:val="center"/>
          </w:tcPr>
          <w:p>
            <w:pPr>
              <w:spacing w:before="20" w:after="20"/>
            </w:pPr>
            <w:r>
              <w:rPr>
                <w:rFonts w:ascii="游ゴシック" w:hAnsi="游ゴシック" w:eastAsia="游ゴシック"/>
                <w:b w:val="0"/>
                <w:i w:val="0"/>
                <w:sz w:val="17"/>
              </w:rPr>
              <w:t>町の財務書類</w:t>
            </w:r>
          </w:p>
        </w:tc>
      </w:tr>
      <w:tr>
        <w:tc>
          <w:tcPr>
            <w:tcW w:type="dxa" w:w="3473"/>
            <w:vAlign w:val="center"/>
          </w:tcPr>
          <w:p>
            <w:pPr>
              <w:spacing w:before="20" w:after="20"/>
            </w:pPr>
            <w:r>
              <w:rPr>
                <w:rFonts w:ascii="游ゴシック" w:hAnsi="游ゴシック" w:eastAsia="游ゴシック"/>
                <w:b/>
                <w:i w:val="0"/>
                <w:sz w:val="17"/>
              </w:rPr>
              <w:t>同（令和5年度末）</w:t>
            </w:r>
          </w:p>
        </w:tc>
        <w:tc>
          <w:tcPr>
            <w:tcW w:type="dxa" w:w="2805"/>
            <w:vAlign w:val="center"/>
          </w:tcPr>
          <w:p>
            <w:pPr>
              <w:spacing w:before="20" w:after="20"/>
            </w:pPr>
            <w:r>
              <w:rPr>
                <w:rFonts w:ascii="游ゴシック" w:hAnsi="游ゴシック" w:eastAsia="游ゴシック"/>
                <w:b/>
                <w:i w:val="0"/>
                <w:sz w:val="17"/>
              </w:rPr>
              <w:t>120,000千円</w:t>
            </w:r>
          </w:p>
        </w:tc>
        <w:tc>
          <w:tcPr>
            <w:tcW w:type="dxa" w:w="3473"/>
            <w:vAlign w:val="center"/>
          </w:tcPr>
          <w:p>
            <w:pPr>
              <w:spacing w:before="20" w:after="20"/>
            </w:pPr>
            <w:r>
              <w:rPr>
                <w:rFonts w:ascii="游ゴシック" w:hAnsi="游ゴシック" w:eastAsia="游ゴシック"/>
                <w:b w:val="0"/>
                <w:i w:val="0"/>
                <w:sz w:val="17"/>
              </w:rPr>
              <w:t>同上（財産に関する調書の記載額と同じ）</w:t>
            </w:r>
          </w:p>
        </w:tc>
      </w:tr>
      <w:tr>
        <w:tc>
          <w:tcPr>
            <w:tcW w:type="dxa" w:w="3473"/>
            <w:vAlign w:val="center"/>
          </w:tcPr>
          <w:p>
            <w:pPr>
              <w:spacing w:before="20" w:after="20"/>
            </w:pPr>
            <w:r>
              <w:rPr>
                <w:rFonts w:ascii="游ゴシック" w:hAnsi="游ゴシック" w:eastAsia="游ゴシック"/>
                <w:b/>
                <w:i w:val="0"/>
                <w:sz w:val="17"/>
              </w:rPr>
              <w:t>同（令和8年度末見込）</w:t>
            </w:r>
          </w:p>
        </w:tc>
        <w:tc>
          <w:tcPr>
            <w:tcW w:type="dxa" w:w="2805"/>
            <w:vAlign w:val="center"/>
          </w:tcPr>
          <w:p>
            <w:pPr>
              <w:spacing w:before="20" w:after="20"/>
            </w:pPr>
            <w:r>
              <w:rPr>
                <w:rFonts w:ascii="游ゴシック" w:hAnsi="游ゴシック" w:eastAsia="游ゴシック"/>
                <w:b/>
                <w:i w:val="0"/>
                <w:sz w:val="17"/>
              </w:rPr>
              <w:t>210,000千円</w:t>
            </w:r>
          </w:p>
        </w:tc>
        <w:tc>
          <w:tcPr>
            <w:tcW w:type="dxa" w:w="3473"/>
            <w:vAlign w:val="center"/>
          </w:tcPr>
          <w:p>
            <w:pPr>
              <w:spacing w:before="20" w:after="20"/>
            </w:pPr>
            <w:r>
              <w:rPr>
                <w:rFonts w:ascii="游ゴシック" w:hAnsi="游ゴシック" w:eastAsia="游ゴシック"/>
                <w:b w:val="0"/>
                <w:i w:val="0"/>
                <w:sz w:val="17"/>
              </w:rPr>
              <w:t>以後の決算の積立と令和8年度予算（当初・9月補正）の積立</w:t>
            </w:r>
          </w:p>
        </w:tc>
      </w:tr>
      <w:tr>
        <w:tc>
          <w:tcPr>
            <w:tcW w:type="dxa" w:w="3473"/>
            <w:vAlign w:val="center"/>
          </w:tcPr>
          <w:p>
            <w:pPr>
              <w:spacing w:before="20" w:after="20"/>
            </w:pPr>
            <w:r>
              <w:rPr>
                <w:rFonts w:ascii="游ゴシック" w:hAnsi="游ゴシック" w:eastAsia="游ゴシック"/>
                <w:b w:val="0"/>
                <w:i w:val="0"/>
                <w:sz w:val="17"/>
              </w:rPr>
              <w:t>年報 様式4 の保有額（令和4年度末／令和5・6年度末）</w:t>
            </w:r>
          </w:p>
        </w:tc>
        <w:tc>
          <w:tcPr>
            <w:tcW w:type="dxa" w:w="2805"/>
            <w:vAlign w:val="center"/>
          </w:tcPr>
          <w:p>
            <w:pPr>
              <w:spacing w:before="20" w:after="20"/>
            </w:pPr>
            <w:r>
              <w:rPr>
                <w:rFonts w:ascii="游ゴシック" w:hAnsi="游ゴシック" w:eastAsia="游ゴシック"/>
                <w:b w:val="0"/>
                <w:i w:val="0"/>
                <w:sz w:val="17"/>
              </w:rPr>
              <w:t>120,000千円／12,000千円</w:t>
            </w:r>
          </w:p>
        </w:tc>
        <w:tc>
          <w:tcPr>
            <w:tcW w:type="dxa" w:w="3473"/>
            <w:vAlign w:val="center"/>
          </w:tcPr>
          <w:p>
            <w:pPr>
              <w:spacing w:before="20" w:after="20"/>
            </w:pPr>
            <w:r>
              <w:rPr>
                <w:rFonts w:ascii="游ゴシック" w:hAnsi="游ゴシック" w:eastAsia="游ゴシック"/>
                <w:b w:val="0"/>
                <w:i w:val="0"/>
                <w:sz w:val="17"/>
              </w:rPr>
              <w:t>年報 様式4。</w:t>
            </w:r>
            <w:r>
              <w:rPr>
                <w:rFonts w:ascii="游ゴシック" w:hAnsi="游ゴシック" w:eastAsia="游ゴシック"/>
                <w:b/>
                <w:i w:val="0"/>
                <w:sz w:val="17"/>
              </w:rPr>
              <w:t>財務書類と合わない</w:t>
            </w:r>
          </w:p>
        </w:tc>
      </w:tr>
      <w:tr>
        <w:tc>
          <w:tcPr>
            <w:tcW w:type="dxa" w:w="3473"/>
            <w:vAlign w:val="center"/>
          </w:tcPr>
          <w:p>
            <w:pPr>
              <w:keepNext/>
              <w:spacing w:before="20" w:after="20"/>
            </w:pPr>
            <w:r>
              <w:rPr>
                <w:rFonts w:ascii="游ゴシック" w:hAnsi="游ゴシック" w:eastAsia="游ゴシック"/>
                <w:b w:val="0"/>
                <w:i w:val="0"/>
                <w:sz w:val="17"/>
              </w:rPr>
              <w:t>歳入歳出差引残額（令和6年度末）</w:t>
            </w:r>
          </w:p>
        </w:tc>
        <w:tc>
          <w:tcPr>
            <w:tcW w:type="dxa" w:w="2805"/>
            <w:vAlign w:val="center"/>
          </w:tcPr>
          <w:p>
            <w:pPr>
              <w:keepNext/>
              <w:spacing w:before="20" w:after="20"/>
            </w:pPr>
            <w:r>
              <w:rPr>
                <w:rFonts w:ascii="游ゴシック" w:hAnsi="游ゴシック" w:eastAsia="游ゴシック"/>
                <w:b w:val="0"/>
                <w:i w:val="0"/>
                <w:sz w:val="17"/>
              </w:rPr>
              <w:t>144,205,672円</w:t>
            </w:r>
          </w:p>
        </w:tc>
        <w:tc>
          <w:tcPr>
            <w:tcW w:type="dxa" w:w="3473"/>
            <w:vAlign w:val="center"/>
          </w:tcPr>
          <w:p>
            <w:pPr>
              <w:keepNext/>
              <w:spacing w:before="20" w:after="20"/>
            </w:pPr>
            <w:r>
              <w:rPr>
                <w:rFonts w:ascii="游ゴシック" w:hAnsi="游ゴシック" w:eastAsia="游ゴシック"/>
                <w:b w:val="0"/>
                <w:i w:val="0"/>
                <w:sz w:val="17"/>
              </w:rPr>
              <w:t>年報 様式4</w:t>
            </w:r>
          </w:p>
        </w:tc>
      </w:tr>
      <w:tr>
        <w:tc>
          <w:tcPr>
            <w:tcW w:type="dxa" w:w="3473"/>
            <w:vAlign w:val="center"/>
          </w:tcPr>
          <w:p>
            <w:pPr>
              <w:spacing w:before="20" w:after="20"/>
            </w:pPr>
            <w:r>
              <w:rPr>
                <w:rFonts w:ascii="游ゴシック" w:hAnsi="游ゴシック" w:eastAsia="游ゴシック"/>
                <w:b w:val="0"/>
                <w:i w:val="0"/>
                <w:sz w:val="17"/>
              </w:rPr>
              <w:t>第9期計画の取崩額（3年計）</w:t>
            </w:r>
          </w:p>
        </w:tc>
        <w:tc>
          <w:tcPr>
            <w:tcW w:type="dxa" w:w="2805"/>
            <w:vAlign w:val="center"/>
          </w:tcPr>
          <w:p>
            <w:pPr>
              <w:spacing w:before="20" w:after="20"/>
            </w:pPr>
            <w:r>
              <w:rPr>
                <w:rFonts w:ascii="游ゴシック" w:hAnsi="游ゴシック" w:eastAsia="游ゴシック"/>
                <w:b w:val="0"/>
                <w:i w:val="0"/>
                <w:sz w:val="17"/>
              </w:rPr>
              <w:t>35,000千円</w:t>
            </w:r>
          </w:p>
        </w:tc>
        <w:tc>
          <w:tcPr>
            <w:tcW w:type="dxa" w:w="3473"/>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第9期が前提とした35,000千円の取崩は、残高の範囲内で実行できます</w:t>
      </w:r>
      <w:r>
        <w:rPr>
          <w:rFonts w:ascii="游ゴシック" w:hAnsi="游ゴシック" w:eastAsia="游ゴシック"/>
          <w:b w:val="0"/>
          <w:i w:val="0"/>
          <w:sz w:val="21"/>
        </w:rPr>
        <w:t>（実際には令和2年度以降、取り崩していません）。令和8年度末見込210,000千円のうちどれだけを第10期に充てるかで、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19"/>
        <w:gridCol w:w="5832"/>
      </w:tblGrid>
      <w:tr>
        <w:tc>
          <w:tcPr>
            <w:tcW w:type="dxa" w:w="3919"/>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5832"/>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919"/>
            <w:vAlign w:val="center"/>
          </w:tcPr>
          <w:p>
            <w:pPr>
              <w:spacing w:before="20" w:after="20"/>
            </w:pPr>
            <w:r>
              <w:rPr>
                <w:rFonts w:ascii="游ゴシック" w:hAnsi="游ゴシック" w:eastAsia="游ゴシック"/>
                <w:b/>
                <w:i w:val="0"/>
                <w:sz w:val="17"/>
              </w:rPr>
              <w:t>令和7年度末の介護給付費準備基金の残高（財産に関する調書）と、令和8年度9月補正の積立の執行</w:t>
            </w:r>
          </w:p>
        </w:tc>
        <w:tc>
          <w:tcPr>
            <w:tcW w:type="dxa" w:w="5832"/>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919"/>
            <w:vAlign w:val="center"/>
          </w:tcPr>
          <w:p>
            <w:pPr>
              <w:spacing w:before="20" w:after="20"/>
            </w:pPr>
            <w:r>
              <w:rPr>
                <w:rFonts w:ascii="游ゴシック" w:hAnsi="游ゴシック" w:eastAsia="游ゴシック"/>
                <w:b/>
                <w:i w:val="0"/>
                <w:sz w:val="17"/>
              </w:rPr>
              <w:t>令和7年度の介護保険特別会計決算</w:t>
            </w:r>
          </w:p>
        </w:tc>
        <w:tc>
          <w:tcPr>
            <w:tcW w:type="dxa" w:w="5832"/>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919"/>
            <w:vAlign w:val="center"/>
          </w:tcPr>
          <w:p>
            <w:pPr>
              <w:keepNext/>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5832"/>
            <w:vAlign w:val="center"/>
          </w:tcPr>
          <w:p>
            <w:pPr>
              <w:keepNext/>
              <w:spacing w:before="20" w:after="20"/>
            </w:pPr>
            <w:r>
              <w:rPr>
                <w:rFonts w:ascii="游ゴシック" w:hAnsi="游ゴシック" w:eastAsia="游ゴシック"/>
                <w:b w:val="0"/>
                <w:i w:val="0"/>
                <w:sz w:val="17"/>
              </w:rPr>
              <w:t>第9期の保険料設定が計画どおり運用されたかの評価</w:t>
            </w:r>
          </w:p>
        </w:tc>
      </w:tr>
      <w:tr>
        <w:tc>
          <w:tcPr>
            <w:tcW w:type="dxa" w:w="3919"/>
            <w:vAlign w:val="center"/>
          </w:tcPr>
          <w:p>
            <w:pPr>
              <w:spacing w:before="20" w:after="20"/>
            </w:pPr>
            <w:r>
              <w:rPr>
                <w:rFonts w:ascii="游ゴシック" w:hAnsi="游ゴシック" w:eastAsia="游ゴシック"/>
                <w:b w:val="0"/>
                <w:i w:val="0"/>
                <w:sz w:val="17"/>
              </w:rPr>
              <w:t>繰越金の水準についての町の考え方</w:t>
            </w:r>
          </w:p>
        </w:tc>
        <w:tc>
          <w:tcPr>
            <w:tcW w:type="dxa" w:w="5832"/>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pStyle w:val="Heading1"/>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基金3,500万円の取崩により6,600円に据置。その後も繰越金182.0百万円・基金残高120.0百万円（令和5年度末）が蓄積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pStyle w:val="Heading1"/>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keepNext/>
              <w:spacing w:before="20" w:after="20"/>
            </w:pPr>
            <w:r>
              <w:rPr>
                <w:rFonts w:ascii="游ゴシック" w:hAnsi="游ゴシック" w:eastAsia="游ゴシック"/>
                <w:b w:val="0"/>
                <w:i w:val="0"/>
                <w:sz w:val="17"/>
              </w:rPr>
              <w:t>4</w:t>
            </w:r>
          </w:p>
        </w:tc>
        <w:tc>
          <w:tcPr>
            <w:tcW w:type="dxa" w:w="4325"/>
            <w:vAlign w:val="center"/>
          </w:tcPr>
          <w:p>
            <w:pPr>
              <w:keepNext/>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keepNext/>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財政に相当の余剰が蓄積している。繰越金182.0百万円（保険給付費の16.5％）、基金残高120.0百万円（令和5年度末）。合わせて300百万円程度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pStyle w:val="Heading1"/>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pStyle w:val="Heading1"/>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keepNext/>
              <w:spacing w:before="20" w:after="20"/>
            </w:pPr>
            <w:r>
              <w:rPr>
                <w:rFonts w:ascii="游ゴシック" w:hAnsi="游ゴシック" w:eastAsia="游ゴシック"/>
                <w:b w:val="0"/>
                <w:i w:val="0"/>
                <w:sz w:val="17"/>
              </w:rPr>
              <w:t>本資料での扱い</w:t>
            </w:r>
          </w:p>
        </w:tc>
        <w:tc>
          <w:tcPr>
            <w:tcW w:type="dxa" w:w="7308"/>
            <w:vAlign w:val="center"/>
          </w:tcPr>
          <w:p>
            <w:pPr>
              <w:keepNext/>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pStyle w:val="Heading2"/>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keepNext/>
              <w:spacing w:before="20" w:after="20"/>
            </w:pPr>
            <w:r>
              <w:rPr>
                <w:rFonts w:ascii="游ゴシック" w:hAnsi="游ゴシック" w:eastAsia="游ゴシック"/>
                <w:b w:val="0"/>
                <w:i w:val="0"/>
                <w:sz w:val="17"/>
              </w:rPr>
              <w:t>介護予防・日常生活圏域ニーズ調査</w:t>
            </w:r>
          </w:p>
        </w:tc>
        <w:tc>
          <w:tcPr>
            <w:tcW w:type="dxa" w:w="1991"/>
            <w:vAlign w:val="center"/>
          </w:tcPr>
          <w:p>
            <w:pPr>
              <w:keepNext/>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keepNext/>
              <w:spacing w:before="20" w:after="20"/>
            </w:pPr>
            <w:r>
              <w:rPr>
                <w:rFonts w:ascii="游ゴシック" w:hAnsi="游ゴシック" w:eastAsia="游ゴシック"/>
                <w:b w:val="0"/>
                <w:i w:val="0"/>
                <w:sz w:val="17"/>
              </w:rPr>
              <w:t>2,700件</w:t>
            </w:r>
          </w:p>
        </w:tc>
        <w:tc>
          <w:tcPr>
            <w:tcW w:type="dxa" w:w="1349"/>
            <w:vAlign w:val="center"/>
          </w:tcPr>
          <w:p>
            <w:pPr>
              <w:keepNext/>
              <w:spacing w:before="20" w:after="20"/>
            </w:pPr>
            <w:r>
              <w:rPr>
                <w:rFonts w:ascii="游ゴシック" w:hAnsi="游ゴシック" w:eastAsia="游ゴシック"/>
                <w:b w:val="0"/>
                <w:i w:val="0"/>
                <w:sz w:val="17"/>
              </w:rPr>
              <w:t>1,835件</w:t>
            </w:r>
          </w:p>
        </w:tc>
        <w:tc>
          <w:tcPr>
            <w:tcW w:type="dxa" w:w="1309"/>
            <w:vAlign w:val="center"/>
          </w:tcPr>
          <w:p>
            <w:pPr>
              <w:keepNext/>
              <w:spacing w:before="20" w:after="20"/>
            </w:pPr>
            <w:r>
              <w:rPr>
                <w:rFonts w:ascii="游ゴシック" w:hAnsi="游ゴシック" w:eastAsia="游ゴシック"/>
                <w:b w:val="0"/>
                <w:i w:val="0"/>
                <w:sz w:val="17"/>
              </w:rPr>
              <w:t>67.9％</w:t>
            </w:r>
          </w:p>
        </w:tc>
        <w:tc>
          <w:tcPr>
            <w:tcW w:type="dxa" w:w="2067"/>
            <w:vAlign w:val="center"/>
          </w:tcPr>
          <w:p>
            <w:pPr>
              <w:keepNext/>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keepNext/>
              <w:spacing w:before="20" w:after="20"/>
            </w:pPr>
            <w:r>
              <w:rPr>
                <w:rFonts w:ascii="游ゴシック" w:hAnsi="游ゴシック" w:eastAsia="游ゴシック"/>
                <w:b w:val="0"/>
                <w:i w:val="0"/>
                <w:sz w:val="17"/>
              </w:rPr>
              <w:t>②</w:t>
            </w:r>
          </w:p>
        </w:tc>
        <w:tc>
          <w:tcPr>
            <w:tcW w:type="dxa" w:w="5404"/>
            <w:vAlign w:val="center"/>
          </w:tcPr>
          <w:p>
            <w:pPr>
              <w:keepNext/>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keepNext/>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pStyle w:val="Heading2"/>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keepNext/>
              <w:spacing w:before="20" w:after="20"/>
            </w:pPr>
            <w:r>
              <w:rPr>
                <w:rFonts w:ascii="游ゴシック" w:hAnsi="游ゴシック" w:eastAsia="游ゴシック"/>
                <w:b w:val="0"/>
                <w:i w:val="0"/>
                <w:sz w:val="17"/>
              </w:rPr>
              <w:t>家族介護者支援</w:t>
            </w:r>
          </w:p>
        </w:tc>
        <w:tc>
          <w:tcPr>
            <w:tcW w:type="dxa" w:w="2639"/>
            <w:vAlign w:val="center"/>
          </w:tcPr>
          <w:p>
            <w:pPr>
              <w:keepNext/>
              <w:spacing w:before="20" w:after="20"/>
            </w:pPr>
            <w:r>
              <w:rPr>
                <w:rFonts w:ascii="游ゴシック" w:hAnsi="游ゴシック" w:eastAsia="游ゴシック"/>
                <w:b w:val="0"/>
                <w:i w:val="0"/>
                <w:sz w:val="17"/>
              </w:rPr>
              <w:t>主な介護者の年齢構成</w:t>
            </w:r>
          </w:p>
        </w:tc>
        <w:tc>
          <w:tcPr>
            <w:tcW w:type="dxa" w:w="5073"/>
            <w:vAlign w:val="center"/>
          </w:tcPr>
          <w:p>
            <w:pPr>
              <w:keepNext/>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keepNext/>
              <w:spacing w:before="20" w:after="20"/>
            </w:pPr>
            <w:r>
              <w:rPr>
                <w:rFonts w:ascii="游ゴシック" w:hAnsi="游ゴシック" w:eastAsia="游ゴシック"/>
                <w:b w:val="0"/>
                <w:i w:val="0"/>
                <w:sz w:val="17"/>
              </w:rPr>
              <w:t>知的能動性の低下</w:t>
            </w:r>
          </w:p>
        </w:tc>
        <w:tc>
          <w:tcPr>
            <w:tcW w:type="dxa" w:w="1644"/>
            <w:vAlign w:val="center"/>
          </w:tcPr>
          <w:p>
            <w:pPr>
              <w:keepNext/>
              <w:spacing w:before="20" w:after="20"/>
            </w:pPr>
            <w:r>
              <w:rPr>
                <w:rFonts w:ascii="游ゴシック" w:hAnsi="游ゴシック" w:eastAsia="游ゴシック"/>
                <w:b w:val="0"/>
                <w:i w:val="0"/>
                <w:sz w:val="17"/>
              </w:rPr>
              <w:t>41.5％</w:t>
            </w:r>
          </w:p>
        </w:tc>
        <w:tc>
          <w:tcPr>
            <w:tcW w:type="dxa" w:w="1644"/>
            <w:vAlign w:val="center"/>
          </w:tcPr>
          <w:p>
            <w:pPr>
              <w:keepNext/>
              <w:spacing w:before="20" w:after="20"/>
            </w:pPr>
            <w:r>
              <w:rPr>
                <w:rFonts w:ascii="游ゴシック" w:hAnsi="游ゴシック" w:eastAsia="游ゴシック"/>
                <w:b w:val="0"/>
                <w:i w:val="0"/>
                <w:sz w:val="17"/>
              </w:rPr>
              <w:t>41.5％</w:t>
            </w:r>
          </w:p>
        </w:tc>
        <w:tc>
          <w:tcPr>
            <w:tcW w:type="dxa" w:w="1486"/>
            <w:vAlign w:val="center"/>
          </w:tcPr>
          <w:p>
            <w:pPr>
              <w:keepNext/>
              <w:spacing w:before="20" w:after="20"/>
            </w:pPr>
            <w:r>
              <w:rPr>
                <w:rFonts w:ascii="游ゴシック" w:hAnsi="游ゴシック" w:eastAsia="游ゴシック"/>
                <w:b w:val="0"/>
                <w:i w:val="0"/>
                <w:sz w:val="17"/>
              </w:rPr>
              <w:t>±0</w:t>
            </w:r>
          </w:p>
        </w:tc>
        <w:tc>
          <w:tcPr>
            <w:tcW w:type="dxa" w:w="1693"/>
            <w:vAlign w:val="center"/>
          </w:tcPr>
          <w:p>
            <w:pPr>
              <w:keepNext/>
              <w:spacing w:before="20" w:after="20"/>
            </w:pPr>
            <w:r>
              <w:rPr>
                <w:rFonts w:ascii="游ゴシック" w:hAnsi="游ゴシック" w:eastAsia="游ゴシック"/>
                <w:b w:val="0"/>
                <w:i w:val="0"/>
                <w:sz w:val="17"/>
              </w:rPr>
              <w:t>48.1％</w:t>
            </w:r>
          </w:p>
        </w:tc>
        <w:tc>
          <w:tcPr>
            <w:tcW w:type="dxa" w:w="1693"/>
            <w:vAlign w:val="center"/>
          </w:tcPr>
          <w:p>
            <w:pPr>
              <w:keepNext/>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keepNext/>
              <w:spacing w:before="20" w:after="20"/>
            </w:pPr>
            <w:r>
              <w:rPr>
                <w:rFonts w:ascii="游ゴシック" w:hAnsi="游ゴシック" w:eastAsia="游ゴシック"/>
                <w:b w:val="0"/>
                <w:i w:val="0"/>
                <w:sz w:val="17"/>
              </w:rPr>
              <w:t>認知機能の低下</w:t>
            </w:r>
          </w:p>
        </w:tc>
        <w:tc>
          <w:tcPr>
            <w:tcW w:type="dxa" w:w="1382"/>
            <w:vAlign w:val="center"/>
          </w:tcPr>
          <w:p>
            <w:pPr>
              <w:keepNext/>
              <w:spacing w:before="20" w:after="20"/>
            </w:pPr>
            <w:r>
              <w:rPr>
                <w:rFonts w:ascii="游ゴシック" w:hAnsi="游ゴシック" w:eastAsia="游ゴシック"/>
                <w:b w:val="0"/>
                <w:i w:val="0"/>
                <w:sz w:val="17"/>
              </w:rPr>
              <w:t>47.9％</w:t>
            </w:r>
          </w:p>
        </w:tc>
        <w:tc>
          <w:tcPr>
            <w:tcW w:type="dxa" w:w="1425"/>
            <w:vAlign w:val="center"/>
          </w:tcPr>
          <w:p>
            <w:pPr>
              <w:keepNext/>
              <w:spacing w:before="20" w:after="20"/>
            </w:pPr>
            <w:r>
              <w:rPr>
                <w:rFonts w:ascii="游ゴシック" w:hAnsi="游ゴシック" w:eastAsia="游ゴシック"/>
                <w:b w:val="0"/>
                <w:i w:val="0"/>
                <w:sz w:val="17"/>
              </w:rPr>
              <w:t>39.1％</w:t>
            </w:r>
          </w:p>
        </w:tc>
        <w:tc>
          <w:tcPr>
            <w:tcW w:type="dxa" w:w="1425"/>
            <w:vAlign w:val="center"/>
          </w:tcPr>
          <w:p>
            <w:pPr>
              <w:keepNext/>
              <w:spacing w:before="20" w:after="20"/>
            </w:pPr>
            <w:r>
              <w:rPr>
                <w:rFonts w:ascii="游ゴシック" w:hAnsi="游ゴシック" w:eastAsia="游ゴシック"/>
                <w:b w:val="0"/>
                <w:i w:val="0"/>
                <w:sz w:val="17"/>
              </w:rPr>
              <w:t>46.4％</w:t>
            </w:r>
          </w:p>
        </w:tc>
        <w:tc>
          <w:tcPr>
            <w:tcW w:type="dxa" w:w="1425"/>
            <w:vAlign w:val="center"/>
          </w:tcPr>
          <w:p>
            <w:pPr>
              <w:keepNext/>
              <w:spacing w:before="20" w:after="20"/>
            </w:pPr>
            <w:r>
              <w:rPr>
                <w:rFonts w:ascii="游ゴシック" w:hAnsi="游ゴシック" w:eastAsia="游ゴシック"/>
                <w:b w:val="0"/>
                <w:i w:val="0"/>
                <w:sz w:val="17"/>
              </w:rPr>
              <w:t>53.3％</w:t>
            </w:r>
          </w:p>
        </w:tc>
        <w:tc>
          <w:tcPr>
            <w:tcW w:type="dxa" w:w="1425"/>
            <w:vAlign w:val="center"/>
          </w:tcPr>
          <w:p>
            <w:pPr>
              <w:keepNext/>
              <w:spacing w:before="20" w:after="20"/>
            </w:pPr>
            <w:r>
              <w:rPr>
                <w:rFonts w:ascii="游ゴシック" w:hAnsi="游ゴシック" w:eastAsia="游ゴシック"/>
                <w:b w:val="0"/>
                <w:i w:val="0"/>
                <w:sz w:val="17"/>
              </w:rPr>
              <w:t>52.9％</w:t>
            </w:r>
          </w:p>
        </w:tc>
        <w:tc>
          <w:tcPr>
            <w:tcW w:type="dxa" w:w="1404"/>
            <w:vAlign w:val="center"/>
          </w:tcPr>
          <w:p>
            <w:pPr>
              <w:keepNext/>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pStyle w:val="Heading2"/>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keepNext/>
              <w:spacing w:before="20" w:after="20"/>
            </w:pPr>
            <w:r>
              <w:rPr>
                <w:rFonts w:ascii="游ゴシック" w:hAnsi="游ゴシック" w:eastAsia="游ゴシック"/>
                <w:b w:val="0"/>
                <w:i w:val="0"/>
                <w:sz w:val="17"/>
              </w:rPr>
              <w:t>その他</w:t>
            </w:r>
          </w:p>
        </w:tc>
        <w:tc>
          <w:tcPr>
            <w:tcW w:type="dxa" w:w="2373"/>
            <w:vAlign w:val="center"/>
          </w:tcPr>
          <w:p>
            <w:pPr>
              <w:keepNext/>
              <w:spacing w:before="20" w:after="20"/>
            </w:pPr>
            <w:r>
              <w:rPr>
                <w:rFonts w:ascii="游ゴシック" w:hAnsi="游ゴシック" w:eastAsia="游ゴシック"/>
                <w:b w:val="0"/>
                <w:i w:val="0"/>
                <w:sz w:val="17"/>
              </w:rPr>
              <w:t>16.2％</w:t>
            </w:r>
          </w:p>
        </w:tc>
        <w:tc>
          <w:tcPr>
            <w:tcW w:type="dxa" w:w="2172"/>
            <w:vAlign w:val="center"/>
          </w:tcPr>
          <w:p>
            <w:pPr>
              <w:keepNext/>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keepNext/>
              <w:spacing w:before="20" w:after="20"/>
            </w:pPr>
            <w:r>
              <w:rPr>
                <w:rFonts w:ascii="游ゴシック" w:hAnsi="游ゴシック" w:eastAsia="游ゴシック"/>
                <w:b w:val="0"/>
                <w:i w:val="0"/>
                <w:sz w:val="17"/>
              </w:rPr>
              <w:t>③ 家族介護に依存する層への支援</w:t>
            </w:r>
          </w:p>
        </w:tc>
        <w:tc>
          <w:tcPr>
            <w:tcW w:type="dxa" w:w="7047"/>
            <w:vAlign w:val="center"/>
          </w:tcPr>
          <w:p>
            <w:pPr>
              <w:keepNext/>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pStyle w:val="Heading2"/>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keepNext/>
              <w:spacing w:before="20" w:after="20"/>
            </w:pPr>
            <w:r>
              <w:rPr>
                <w:rFonts w:ascii="游ゴシック" w:hAnsi="游ゴシック" w:eastAsia="游ゴシック"/>
                <w:b w:val="0"/>
                <w:i w:val="0"/>
                <w:sz w:val="17"/>
              </w:rPr>
              <w:t>参加していない</w:t>
            </w:r>
          </w:p>
        </w:tc>
        <w:tc>
          <w:tcPr>
            <w:tcW w:type="dxa" w:w="2252"/>
            <w:vAlign w:val="center"/>
          </w:tcPr>
          <w:p>
            <w:pPr>
              <w:keepNext/>
              <w:spacing w:before="20" w:after="20"/>
            </w:pPr>
            <w:r>
              <w:rPr>
                <w:rFonts w:ascii="游ゴシック" w:hAnsi="游ゴシック" w:eastAsia="游ゴシック"/>
                <w:b w:val="0"/>
                <w:i w:val="0"/>
                <w:sz w:val="17"/>
              </w:rPr>
              <w:t>76.2％</w:t>
            </w:r>
          </w:p>
        </w:tc>
        <w:tc>
          <w:tcPr>
            <w:tcW w:type="dxa" w:w="4599"/>
            <w:vAlign w:val="center"/>
          </w:tcPr>
          <w:p>
            <w:pPr>
              <w:keepNext/>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keepNext/>
              <w:spacing w:before="20" w:after="20"/>
            </w:pPr>
            <w:r>
              <w:rPr>
                <w:rFonts w:ascii="游ゴシック" w:hAnsi="游ゴシック" w:eastAsia="游ゴシック"/>
                <w:b w:val="0"/>
                <w:i w:val="0"/>
                <w:sz w:val="17"/>
              </w:rPr>
              <w:t>制度を利用しやすい職場づくり</w:t>
            </w:r>
          </w:p>
        </w:tc>
        <w:tc>
          <w:tcPr>
            <w:tcW w:type="dxa" w:w="2685"/>
            <w:vAlign w:val="center"/>
          </w:tcPr>
          <w:p>
            <w:pPr>
              <w:keepNext/>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pStyle w:val="Heading2"/>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pStyle w:val="Heading1"/>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keepNext/>
              <w:spacing w:before="20" w:after="20"/>
            </w:pPr>
            <w:r>
              <w:rPr>
                <w:rFonts w:ascii="游ゴシック" w:hAnsi="游ゴシック" w:eastAsia="游ゴシック"/>
                <w:b w:val="0"/>
                <w:i w:val="0"/>
                <w:sz w:val="17"/>
              </w:rPr>
              <w:t>災害時の対応（第1部7）</w:t>
            </w:r>
          </w:p>
        </w:tc>
        <w:tc>
          <w:tcPr>
            <w:tcW w:type="dxa" w:w="3942"/>
            <w:vAlign w:val="center"/>
          </w:tcPr>
          <w:p>
            <w:pPr>
              <w:keepNext/>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keepNext/>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pStyle w:val="Heading1"/>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keepNext/>
              <w:spacing w:before="20" w:after="20"/>
            </w:pPr>
            <w:r>
              <w:rPr>
                <w:rFonts w:ascii="游ゴシック" w:hAnsi="游ゴシック" w:eastAsia="游ゴシック"/>
                <w:b w:val="0"/>
                <w:i w:val="0"/>
                <w:sz w:val="17"/>
              </w:rPr>
              <w:t>中</w:t>
            </w:r>
          </w:p>
        </w:tc>
        <w:tc>
          <w:tcPr>
            <w:tcW w:type="dxa" w:w="2144"/>
            <w:vAlign w:val="center"/>
          </w:tcPr>
          <w:p>
            <w:pPr>
              <w:keepNext/>
              <w:spacing w:before="20" w:after="20"/>
            </w:pPr>
            <w:r>
              <w:rPr>
                <w:rFonts w:ascii="游ゴシック" w:hAnsi="游ゴシック" w:eastAsia="游ゴシック"/>
                <w:b w:val="0"/>
                <w:i w:val="0"/>
                <w:sz w:val="17"/>
              </w:rPr>
              <w:t>自由記述の一覧</w:t>
            </w:r>
          </w:p>
        </w:tc>
        <w:tc>
          <w:tcPr>
            <w:tcW w:type="dxa" w:w="3596"/>
            <w:vAlign w:val="center"/>
          </w:tcPr>
          <w:p>
            <w:pPr>
              <w:keepNext/>
              <w:spacing w:before="20" w:after="20"/>
            </w:pPr>
            <w:r>
              <w:rPr>
                <w:rFonts w:ascii="游ゴシック" w:hAnsi="游ゴシック" w:eastAsia="游ゴシック"/>
                <w:b w:val="0"/>
                <w:i w:val="0"/>
                <w:sz w:val="17"/>
              </w:rPr>
              <w:t>Excel（1行＝1件）</w:t>
            </w:r>
          </w:p>
        </w:tc>
        <w:tc>
          <w:tcPr>
            <w:tcW w:type="dxa" w:w="2682"/>
            <w:vAlign w:val="center"/>
          </w:tcPr>
          <w:p>
            <w:pPr>
              <w:keepNext/>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pStyle w:val="Heading1"/>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keepNext/>
              <w:spacing w:before="20" w:after="20"/>
            </w:pPr>
            <w:r>
              <w:rPr>
                <w:rFonts w:ascii="游ゴシック" w:hAnsi="游ゴシック" w:eastAsia="游ゴシック"/>
                <w:b w:val="0"/>
                <w:i w:val="0"/>
                <w:sz w:val="17"/>
              </w:rPr>
              <w:t>5</w:t>
            </w:r>
          </w:p>
        </w:tc>
        <w:tc>
          <w:tcPr>
            <w:tcW w:type="dxa" w:w="4812"/>
            <w:vAlign w:val="center"/>
          </w:tcPr>
          <w:p>
            <w:pPr>
              <w:keepNext/>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keepNext/>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pStyle w:val="Heading1"/>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pStyle w:val="Heading1"/>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pStyle w:val="Heading2"/>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keepNext/>
              <w:spacing w:before="20" w:after="20"/>
            </w:pPr>
            <w:r>
              <w:rPr>
                <w:rFonts w:ascii="游ゴシック" w:hAnsi="游ゴシック" w:eastAsia="游ゴシック"/>
                <w:b w:val="0"/>
                <w:i w:val="0"/>
                <w:sz w:val="17"/>
              </w:rPr>
              <w:t>令和7年度調査の集計</w:t>
            </w:r>
          </w:p>
        </w:tc>
        <w:tc>
          <w:tcPr>
            <w:tcW w:type="dxa" w:w="3019"/>
            <w:vAlign w:val="center"/>
          </w:tcPr>
          <w:p>
            <w:pPr>
              <w:keepNext/>
              <w:spacing w:before="20" w:after="20"/>
            </w:pPr>
            <w:r>
              <w:rPr>
                <w:rFonts w:ascii="游ゴシック" w:hAnsi="游ゴシック" w:eastAsia="游ゴシック"/>
                <w:b/>
                <w:i w:val="0"/>
                <w:sz w:val="17"/>
              </w:rPr>
              <w:t>集計結果・分析報告書として取りまとめ</w:t>
            </w:r>
          </w:p>
        </w:tc>
        <w:tc>
          <w:tcPr>
            <w:tcW w:type="dxa" w:w="4060"/>
            <w:vAlign w:val="center"/>
          </w:tcPr>
          <w:p>
            <w:pPr>
              <w:keepNext/>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pStyle w:val="Heading2"/>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介護給付費準備基金の令和7年度末の残高</w:t>
            </w:r>
            <w:r>
              <w:rPr>
                <w:rFonts w:ascii="游ゴシック" w:hAnsi="游ゴシック" w:eastAsia="游ゴシック"/>
                <w:b w:val="0"/>
                <w:i w:val="0"/>
                <w:sz w:val="17"/>
              </w:rPr>
              <w:t>（財産に関する調書）と令和8年度9月補正の積立の執行</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令和5年度末120,000千円は町の財務書類で確認済み。令和8年度末見込210,000千円を確定させる。</w:t>
            </w:r>
            <w:r>
              <w:rPr>
                <w:rFonts w:ascii="游ゴシック" w:hAnsi="游ゴシック" w:eastAsia="游ゴシック"/>
                <w:b/>
                <w:i w:val="0"/>
                <w:sz w:val="17"/>
              </w:rPr>
              <w:t>取崩による保険料の引下げの余地が決まる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pStyle w:val="Heading1"/>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keepNext/>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keepNext/>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pStyle w:val="Heading1"/>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keepNext/>
              <w:spacing w:before="20" w:after="20"/>
            </w:pPr>
            <w:r>
              <w:rPr>
                <w:rFonts w:ascii="游ゴシック" w:hAnsi="游ゴシック" w:eastAsia="游ゴシック"/>
                <w:b/>
                <w:i w:val="0"/>
                <w:sz w:val="17"/>
              </w:rPr>
              <w:t>保険料基準額</w:t>
            </w:r>
          </w:p>
        </w:tc>
        <w:tc>
          <w:tcPr>
            <w:tcW w:type="dxa" w:w="6577"/>
            <w:vAlign w:val="center"/>
          </w:tcPr>
          <w:p>
            <w:pPr>
              <w:keepNext/>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【図11】第10期の保険料基準額の選択肢（100円未満切上げ後）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11" name="Picture 11"/>
            <wp:cNvGraphicFramePr>
              <a:graphicFrameLocks noChangeAspect="1"/>
            </wp:cNvGraphicFramePr>
            <a:graphic>
              <a:graphicData uri="http://schemas.openxmlformats.org/drawingml/2006/picture">
                <pic:pic>
                  <pic:nvPicPr>
                    <pic:cNvPr id="0" name="f08_hokenryo.png"/>
                    <pic:cNvPicPr/>
                  </pic:nvPicPr>
                  <pic:blipFill>
                    <a:blip r:embed="rId23"/>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　資料（第9期計画の評価及び令和7年度調査結果の整理）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