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pStyle w:val="Heading1"/>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keepNext/>
              <w:spacing w:before="20" w:after="20"/>
            </w:pPr>
            <w:r>
              <w:rPr>
                <w:rFonts w:ascii="游ゴシック" w:hAnsi="游ゴシック" w:eastAsia="游ゴシック"/>
                <w:b w:val="0"/>
                <w:i w:val="0"/>
                <w:sz w:val="17"/>
              </w:rPr>
              <w:t>7</w:t>
            </w:r>
          </w:p>
        </w:tc>
        <w:tc>
          <w:tcPr>
            <w:tcW w:type="dxa" w:w="8411"/>
            <w:vAlign w:val="center"/>
          </w:tcPr>
          <w:p>
            <w:pPr>
              <w:keepNext/>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認知症の設問の項目名を原本に合わせ、報告書そのものの中の食い違いを3件見つけました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keepNext/>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keepNext/>
              <w:spacing w:before="20" w:after="20"/>
              <w:jc w:val="right"/>
            </w:pPr>
            <w:r>
              <w:rPr>
                <w:rFonts w:ascii="游ゴシック" w:hAnsi="游ゴシック" w:eastAsia="游ゴシック"/>
                <w:b w:val="0"/>
                <w:i w:val="0"/>
                <w:sz w:val="17"/>
              </w:rPr>
              <w:t>72件</w:t>
            </w:r>
          </w:p>
        </w:tc>
        <w:tc>
          <w:tcPr>
            <w:tcW w:type="dxa" w:w="2378"/>
            <w:vAlign w:val="center"/>
          </w:tcPr>
          <w:p>
            <w:pPr>
              <w:keepNext/>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pStyle w:val="Heading1"/>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3"/>
        <w:gridCol w:w="2779"/>
        <w:gridCol w:w="1650"/>
        <w:gridCol w:w="1863"/>
        <w:gridCol w:w="2057"/>
      </w:tblGrid>
      <w:tr>
        <w:tc>
          <w:tcPr>
            <w:tcW w:type="dxa" w:w="1403"/>
            <w:shd w:val="clear" w:fill="1F3864"/>
            <w:vAlign w:val="center"/>
          </w:tcPr>
          <w:p>
            <w:pPr>
              <w:spacing w:before="20" w:after="20"/>
              <w:jc w:val="center"/>
            </w:pPr>
          </w:p>
        </w:tc>
        <w:tc>
          <w:tcPr>
            <w:tcW w:type="dxa" w:w="2779"/>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63"/>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57"/>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3"/>
            <w:vAlign w:val="center"/>
          </w:tcPr>
          <w:p>
            <w:pPr>
              <w:spacing w:before="20" w:after="20"/>
            </w:pPr>
            <w:r>
              <w:rPr>
                <w:rFonts w:ascii="游ゴシック" w:hAnsi="游ゴシック" w:eastAsia="游ゴシック"/>
                <w:b w:val="0"/>
                <w:i w:val="0"/>
                <w:sz w:val="17"/>
              </w:rPr>
              <w:t>A-1</w:t>
            </w:r>
          </w:p>
        </w:tc>
        <w:tc>
          <w:tcPr>
            <w:tcW w:type="dxa" w:w="2779"/>
            <w:vAlign w:val="center"/>
          </w:tcPr>
          <w:p>
            <w:pPr>
              <w:spacing w:before="20" w:after="20"/>
            </w:pPr>
            <w:r>
              <w:rPr>
                <w:rFonts w:ascii="游ゴシック" w:hAnsi="游ゴシック" w:eastAsia="游ゴシック"/>
                <w:b/>
                <w:i w:val="0"/>
                <w:sz w:val="17"/>
              </w:rPr>
              <w:t>当方の算定　取崩なし</w:t>
            </w:r>
          </w:p>
        </w:tc>
        <w:tc>
          <w:tcPr>
            <w:tcW w:type="dxa" w:w="1650"/>
            <w:vAlign w:val="center"/>
          </w:tcPr>
          <w:p>
            <w:pPr>
              <w:spacing w:before="20" w:after="20"/>
              <w:jc w:val="right"/>
            </w:pPr>
            <w:r>
              <w:rPr>
                <w:rFonts w:ascii="游ゴシック" w:hAnsi="游ゴシック" w:eastAsia="游ゴシック"/>
                <w:b w:val="0"/>
                <w:i w:val="0"/>
                <w:sz w:val="17"/>
              </w:rPr>
              <w:t>6,048円</w:t>
            </w:r>
          </w:p>
        </w:tc>
        <w:tc>
          <w:tcPr>
            <w:tcW w:type="dxa" w:w="1863"/>
            <w:vAlign w:val="center"/>
          </w:tcPr>
          <w:p>
            <w:pPr>
              <w:spacing w:before="20" w:after="20"/>
              <w:jc w:val="right"/>
            </w:pPr>
            <w:r>
              <w:rPr>
                <w:rFonts w:ascii="游ゴシック" w:hAnsi="游ゴシック" w:eastAsia="游ゴシック"/>
                <w:b/>
                <w:i w:val="0"/>
                <w:sz w:val="17"/>
              </w:rPr>
              <w:t>6,100円</w:t>
            </w:r>
          </w:p>
        </w:tc>
        <w:tc>
          <w:tcPr>
            <w:tcW w:type="dxa" w:w="2057"/>
            <w:vAlign w:val="center"/>
          </w:tcPr>
          <w:p>
            <w:pPr>
              <w:spacing w:before="20" w:after="20"/>
              <w:jc w:val="right"/>
            </w:pPr>
            <w:r>
              <w:rPr>
                <w:rFonts w:ascii="游ゴシック" w:hAnsi="游ゴシック" w:eastAsia="游ゴシック"/>
                <w:b/>
                <w:i w:val="0"/>
                <w:sz w:val="17"/>
              </w:rPr>
              <w:t>-500円</w:t>
            </w:r>
          </w:p>
        </w:tc>
      </w:tr>
      <w:tr>
        <w:tc>
          <w:tcPr>
            <w:tcW w:type="dxa" w:w="1403"/>
            <w:vAlign w:val="center"/>
          </w:tcPr>
          <w:p>
            <w:pPr>
              <w:spacing w:before="20" w:after="20"/>
            </w:pPr>
            <w:r>
              <w:rPr>
                <w:rFonts w:ascii="游ゴシック" w:hAnsi="游ゴシック" w:eastAsia="游ゴシック"/>
                <w:b w:val="0"/>
                <w:i w:val="0"/>
                <w:sz w:val="17"/>
              </w:rPr>
              <w:t>A-2</w:t>
            </w:r>
          </w:p>
        </w:tc>
        <w:tc>
          <w:tcPr>
            <w:tcW w:type="dxa" w:w="2779"/>
            <w:vAlign w:val="center"/>
          </w:tcPr>
          <w:p>
            <w:pPr>
              <w:spacing w:before="20" w:after="20"/>
            </w:pPr>
            <w:r>
              <w:rPr>
                <w:rFonts w:ascii="游ゴシック" w:hAnsi="游ゴシック" w:eastAsia="游ゴシック"/>
                <w:b w:val="0"/>
                <w:i w:val="0"/>
                <w:sz w:val="17"/>
              </w:rPr>
              <w:t>当方の算定　基金105,000千円を取崩</w:t>
            </w:r>
          </w:p>
        </w:tc>
        <w:tc>
          <w:tcPr>
            <w:tcW w:type="dxa" w:w="1650"/>
            <w:vAlign w:val="center"/>
          </w:tcPr>
          <w:p>
            <w:pPr>
              <w:spacing w:before="20" w:after="20"/>
              <w:jc w:val="right"/>
            </w:pPr>
            <w:r>
              <w:rPr>
                <w:rFonts w:ascii="游ゴシック" w:hAnsi="游ゴシック" w:eastAsia="游ゴシック"/>
                <w:b w:val="0"/>
                <w:i w:val="0"/>
                <w:sz w:val="17"/>
              </w:rPr>
              <w:t>5,188円</w:t>
            </w:r>
          </w:p>
        </w:tc>
        <w:tc>
          <w:tcPr>
            <w:tcW w:type="dxa" w:w="1863"/>
            <w:vAlign w:val="center"/>
          </w:tcPr>
          <w:p>
            <w:pPr>
              <w:spacing w:before="20" w:after="20"/>
              <w:jc w:val="right"/>
            </w:pPr>
            <w:r>
              <w:rPr>
                <w:rFonts w:ascii="游ゴシック" w:hAnsi="游ゴシック" w:eastAsia="游ゴシック"/>
                <w:b/>
                <w:i w:val="0"/>
                <w:sz w:val="17"/>
              </w:rPr>
              <w:t>5,200円</w:t>
            </w:r>
          </w:p>
        </w:tc>
        <w:tc>
          <w:tcPr>
            <w:tcW w:type="dxa" w:w="2057"/>
            <w:vAlign w:val="center"/>
          </w:tcPr>
          <w:p>
            <w:pPr>
              <w:spacing w:before="20" w:after="20"/>
              <w:jc w:val="right"/>
            </w:pPr>
            <w:r>
              <w:rPr>
                <w:rFonts w:ascii="游ゴシック" w:hAnsi="游ゴシック" w:eastAsia="游ゴシック"/>
                <w:b/>
                <w:i w:val="0"/>
                <w:sz w:val="17"/>
              </w:rPr>
              <w:t>-1,400円</w:t>
            </w:r>
          </w:p>
        </w:tc>
      </w:tr>
      <w:tr>
        <w:tc>
          <w:tcPr>
            <w:tcW w:type="dxa" w:w="1403"/>
            <w:vAlign w:val="center"/>
          </w:tcPr>
          <w:p>
            <w:pPr>
              <w:spacing w:before="20" w:after="20"/>
            </w:pPr>
            <w:r>
              <w:rPr>
                <w:rFonts w:ascii="游ゴシック" w:hAnsi="游ゴシック" w:eastAsia="游ゴシック"/>
                <w:b w:val="0"/>
                <w:i w:val="0"/>
                <w:sz w:val="17"/>
              </w:rPr>
              <w:t>A-3</w:t>
            </w:r>
          </w:p>
        </w:tc>
        <w:tc>
          <w:tcPr>
            <w:tcW w:type="dxa" w:w="2779"/>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0"/>
            <w:vAlign w:val="center"/>
          </w:tcPr>
          <w:p>
            <w:pPr>
              <w:spacing w:before="20" w:after="20"/>
              <w:jc w:val="right"/>
            </w:pPr>
            <w:r>
              <w:rPr>
                <w:rFonts w:ascii="游ゴシック" w:hAnsi="游ゴシック" w:eastAsia="游ゴシック"/>
                <w:b w:val="0"/>
                <w:i w:val="0"/>
                <w:sz w:val="17"/>
              </w:rPr>
              <w:t>5,761円</w:t>
            </w:r>
          </w:p>
        </w:tc>
        <w:tc>
          <w:tcPr>
            <w:tcW w:type="dxa" w:w="1863"/>
            <w:vAlign w:val="center"/>
          </w:tcPr>
          <w:p>
            <w:pPr>
              <w:spacing w:before="20" w:after="20"/>
              <w:jc w:val="right"/>
            </w:pPr>
            <w:r>
              <w:rPr>
                <w:rFonts w:ascii="游ゴシック" w:hAnsi="游ゴシック" w:eastAsia="游ゴシック"/>
                <w:b/>
                <w:i w:val="0"/>
                <w:sz w:val="17"/>
              </w:rPr>
              <w:t>5,800円</w:t>
            </w:r>
          </w:p>
        </w:tc>
        <w:tc>
          <w:tcPr>
            <w:tcW w:type="dxa" w:w="2057"/>
            <w:vAlign w:val="center"/>
          </w:tcPr>
          <w:p>
            <w:pPr>
              <w:spacing w:before="20" w:after="20"/>
              <w:jc w:val="right"/>
            </w:pPr>
            <w:r>
              <w:rPr>
                <w:rFonts w:ascii="游ゴシック" w:hAnsi="游ゴシック" w:eastAsia="游ゴシック"/>
                <w:b/>
                <w:i w:val="0"/>
                <w:sz w:val="17"/>
              </w:rPr>
              <w:t>-800円</w:t>
            </w:r>
          </w:p>
        </w:tc>
      </w:tr>
      <w:tr>
        <w:tc>
          <w:tcPr>
            <w:tcW w:type="dxa" w:w="1403"/>
            <w:vAlign w:val="center"/>
          </w:tcPr>
          <w:p>
            <w:pPr>
              <w:spacing w:before="20" w:after="20"/>
            </w:pPr>
            <w:r>
              <w:rPr>
                <w:rFonts w:ascii="游ゴシック" w:hAnsi="游ゴシック" w:eastAsia="游ゴシック"/>
                <w:b w:val="0"/>
                <w:i w:val="0"/>
                <w:sz w:val="17"/>
              </w:rPr>
              <w:t>A-4</w:t>
            </w:r>
          </w:p>
        </w:tc>
        <w:tc>
          <w:tcPr>
            <w:tcW w:type="dxa" w:w="2779"/>
            <w:vAlign w:val="center"/>
          </w:tcPr>
          <w:p>
            <w:pPr>
              <w:spacing w:before="20" w:after="20"/>
            </w:pPr>
            <w:r>
              <w:rPr>
                <w:rFonts w:ascii="游ゴシック" w:hAnsi="游ゴシック" w:eastAsia="游ゴシック"/>
                <w:b w:val="0"/>
                <w:i w:val="0"/>
                <w:sz w:val="17"/>
              </w:rPr>
              <w:t>当方の算定　基金210,000千円を全額取崩</w:t>
            </w:r>
          </w:p>
        </w:tc>
        <w:tc>
          <w:tcPr>
            <w:tcW w:type="dxa" w:w="1650"/>
            <w:vAlign w:val="center"/>
          </w:tcPr>
          <w:p>
            <w:pPr>
              <w:spacing w:before="20" w:after="20"/>
              <w:jc w:val="right"/>
            </w:pPr>
            <w:r>
              <w:rPr>
                <w:rFonts w:ascii="游ゴシック" w:hAnsi="游ゴシック" w:eastAsia="游ゴシック"/>
                <w:b w:val="0"/>
                <w:i w:val="0"/>
                <w:sz w:val="17"/>
              </w:rPr>
              <w:t>4,328円</w:t>
            </w:r>
          </w:p>
        </w:tc>
        <w:tc>
          <w:tcPr>
            <w:tcW w:type="dxa" w:w="1863"/>
            <w:vAlign w:val="center"/>
          </w:tcPr>
          <w:p>
            <w:pPr>
              <w:spacing w:before="20" w:after="20"/>
              <w:jc w:val="right"/>
            </w:pPr>
            <w:r>
              <w:rPr>
                <w:rFonts w:ascii="游ゴシック" w:hAnsi="游ゴシック" w:eastAsia="游ゴシック"/>
                <w:b/>
                <w:i w:val="0"/>
                <w:sz w:val="17"/>
              </w:rPr>
              <w:t>4,400円</w:t>
            </w:r>
          </w:p>
        </w:tc>
        <w:tc>
          <w:tcPr>
            <w:tcW w:type="dxa" w:w="2057"/>
            <w:vAlign w:val="center"/>
          </w:tcPr>
          <w:p>
            <w:pPr>
              <w:spacing w:before="20" w:after="20"/>
              <w:jc w:val="right"/>
            </w:pPr>
            <w:r>
              <w:rPr>
                <w:rFonts w:ascii="游ゴシック" w:hAnsi="游ゴシック" w:eastAsia="游ゴシック"/>
                <w:b/>
                <w:i w:val="0"/>
                <w:sz w:val="17"/>
              </w:rPr>
              <w:t>-2,200円</w:t>
            </w:r>
          </w:p>
        </w:tc>
      </w:tr>
      <w:tr>
        <w:tc>
          <w:tcPr>
            <w:tcW w:type="dxa" w:w="1403"/>
            <w:vAlign w:val="center"/>
          </w:tcPr>
          <w:p>
            <w:pPr>
              <w:spacing w:before="20" w:after="20"/>
            </w:pPr>
            <w:r>
              <w:rPr>
                <w:rFonts w:ascii="游ゴシック" w:hAnsi="游ゴシック" w:eastAsia="游ゴシック"/>
                <w:b w:val="0"/>
                <w:i w:val="0"/>
                <w:sz w:val="17"/>
              </w:rPr>
              <w:t>B-1</w:t>
            </w:r>
          </w:p>
        </w:tc>
        <w:tc>
          <w:tcPr>
            <w:tcW w:type="dxa" w:w="2779"/>
            <w:vAlign w:val="center"/>
          </w:tcPr>
          <w:p>
            <w:pPr>
              <w:spacing w:before="20" w:after="20"/>
            </w:pPr>
            <w:r>
              <w:rPr>
                <w:rFonts w:ascii="游ゴシック" w:hAnsi="游ゴシック" w:eastAsia="游ゴシック"/>
                <w:b/>
                <w:i w:val="0"/>
                <w:sz w:val="17"/>
              </w:rPr>
              <w:t>見える化システム　取崩なし</w:t>
            </w:r>
          </w:p>
        </w:tc>
        <w:tc>
          <w:tcPr>
            <w:tcW w:type="dxa" w:w="1650"/>
            <w:vAlign w:val="center"/>
          </w:tcPr>
          <w:p>
            <w:pPr>
              <w:spacing w:before="20" w:after="20"/>
              <w:jc w:val="right"/>
            </w:pPr>
            <w:r>
              <w:rPr>
                <w:rFonts w:ascii="游ゴシック" w:hAnsi="游ゴシック" w:eastAsia="游ゴシック"/>
                <w:b w:val="0"/>
                <w:i w:val="0"/>
                <w:sz w:val="17"/>
              </w:rPr>
              <w:t>6,533円</w:t>
            </w:r>
          </w:p>
        </w:tc>
        <w:tc>
          <w:tcPr>
            <w:tcW w:type="dxa" w:w="1863"/>
            <w:vAlign w:val="center"/>
          </w:tcPr>
          <w:p>
            <w:pPr>
              <w:spacing w:before="20" w:after="20"/>
              <w:jc w:val="right"/>
            </w:pPr>
            <w:r>
              <w:rPr>
                <w:rFonts w:ascii="游ゴシック" w:hAnsi="游ゴシック" w:eastAsia="游ゴシック"/>
                <w:b/>
                <w:i w:val="0"/>
                <w:sz w:val="17"/>
              </w:rPr>
              <w:t>6,600円</w:t>
            </w:r>
          </w:p>
        </w:tc>
        <w:tc>
          <w:tcPr>
            <w:tcW w:type="dxa" w:w="2057"/>
            <w:vAlign w:val="center"/>
          </w:tcPr>
          <w:p>
            <w:pPr>
              <w:spacing w:before="20" w:after="20"/>
              <w:jc w:val="right"/>
            </w:pPr>
            <w:r>
              <w:rPr>
                <w:rFonts w:ascii="游ゴシック" w:hAnsi="游ゴシック" w:eastAsia="游ゴシック"/>
                <w:b/>
                <w:i w:val="0"/>
                <w:sz w:val="17"/>
              </w:rPr>
              <w:t>±0円（据え置き）</w:t>
            </w:r>
          </w:p>
        </w:tc>
      </w:tr>
      <w:tr>
        <w:tc>
          <w:tcPr>
            <w:tcW w:type="dxa" w:w="1403"/>
            <w:vAlign w:val="center"/>
          </w:tcPr>
          <w:p>
            <w:pPr>
              <w:spacing w:before="20" w:after="20"/>
            </w:pPr>
            <w:r>
              <w:rPr>
                <w:rFonts w:ascii="游ゴシック" w:hAnsi="游ゴシック" w:eastAsia="游ゴシック"/>
                <w:b w:val="0"/>
                <w:i w:val="0"/>
                <w:sz w:val="17"/>
              </w:rPr>
              <w:t>B-2</w:t>
            </w:r>
          </w:p>
        </w:tc>
        <w:tc>
          <w:tcPr>
            <w:tcW w:type="dxa" w:w="2779"/>
            <w:vAlign w:val="center"/>
          </w:tcPr>
          <w:p>
            <w:pPr>
              <w:spacing w:before="20" w:after="20"/>
            </w:pPr>
            <w:r>
              <w:rPr>
                <w:rFonts w:ascii="游ゴシック" w:hAnsi="游ゴシック" w:eastAsia="游ゴシック"/>
                <w:b w:val="0"/>
                <w:i w:val="0"/>
                <w:sz w:val="17"/>
              </w:rPr>
              <w:t>見える化システム　基金105,000千円を取崩</w:t>
            </w:r>
          </w:p>
        </w:tc>
        <w:tc>
          <w:tcPr>
            <w:tcW w:type="dxa" w:w="1650"/>
            <w:vAlign w:val="center"/>
          </w:tcPr>
          <w:p>
            <w:pPr>
              <w:spacing w:before="20" w:after="20"/>
              <w:jc w:val="right"/>
            </w:pPr>
            <w:r>
              <w:rPr>
                <w:rFonts w:ascii="游ゴシック" w:hAnsi="游ゴシック" w:eastAsia="游ゴシック"/>
                <w:b w:val="0"/>
                <w:i w:val="0"/>
                <w:sz w:val="17"/>
              </w:rPr>
              <w:t>5,673円</w:t>
            </w:r>
          </w:p>
        </w:tc>
        <w:tc>
          <w:tcPr>
            <w:tcW w:type="dxa" w:w="1863"/>
            <w:vAlign w:val="center"/>
          </w:tcPr>
          <w:p>
            <w:pPr>
              <w:spacing w:before="20" w:after="20"/>
              <w:jc w:val="right"/>
            </w:pPr>
            <w:r>
              <w:rPr>
                <w:rFonts w:ascii="游ゴシック" w:hAnsi="游ゴシック" w:eastAsia="游ゴシック"/>
                <w:b/>
                <w:i w:val="0"/>
                <w:sz w:val="17"/>
              </w:rPr>
              <w:t>5,700円</w:t>
            </w:r>
          </w:p>
        </w:tc>
        <w:tc>
          <w:tcPr>
            <w:tcW w:type="dxa" w:w="2057"/>
            <w:vAlign w:val="center"/>
          </w:tcPr>
          <w:p>
            <w:pPr>
              <w:spacing w:before="20" w:after="20"/>
              <w:jc w:val="right"/>
            </w:pPr>
            <w:r>
              <w:rPr>
                <w:rFonts w:ascii="游ゴシック" w:hAnsi="游ゴシック" w:eastAsia="游ゴシック"/>
                <w:b/>
                <w:i w:val="0"/>
                <w:sz w:val="17"/>
              </w:rPr>
              <w:t>-900円</w:t>
            </w:r>
          </w:p>
        </w:tc>
      </w:tr>
      <w:tr>
        <w:tc>
          <w:tcPr>
            <w:tcW w:type="dxa" w:w="1403"/>
            <w:vAlign w:val="center"/>
          </w:tcPr>
          <w:p>
            <w:pPr>
              <w:spacing w:before="20" w:after="20"/>
            </w:pPr>
            <w:r>
              <w:rPr>
                <w:rFonts w:ascii="游ゴシック" w:hAnsi="游ゴシック" w:eastAsia="游ゴシック"/>
                <w:b w:val="0"/>
                <w:i w:val="0"/>
                <w:sz w:val="17"/>
              </w:rPr>
              <w:t>B-3</w:t>
            </w:r>
          </w:p>
        </w:tc>
        <w:tc>
          <w:tcPr>
            <w:tcW w:type="dxa" w:w="2779"/>
            <w:vAlign w:val="center"/>
          </w:tcPr>
          <w:p>
            <w:pPr>
              <w:spacing w:before="20" w:after="20"/>
            </w:pPr>
            <w:r>
              <w:rPr>
                <w:rFonts w:ascii="游ゴシック" w:hAnsi="游ゴシック" w:eastAsia="游ゴシック"/>
                <w:b w:val="0"/>
                <w:i w:val="0"/>
                <w:sz w:val="17"/>
              </w:rPr>
              <w:t>見える化システム　35,000千円を取崩</w:t>
            </w:r>
          </w:p>
        </w:tc>
        <w:tc>
          <w:tcPr>
            <w:tcW w:type="dxa" w:w="1650"/>
            <w:vAlign w:val="center"/>
          </w:tcPr>
          <w:p>
            <w:pPr>
              <w:spacing w:before="20" w:after="20"/>
              <w:jc w:val="right"/>
            </w:pPr>
            <w:r>
              <w:rPr>
                <w:rFonts w:ascii="游ゴシック" w:hAnsi="游ゴシック" w:eastAsia="游ゴシック"/>
                <w:b w:val="0"/>
                <w:i w:val="0"/>
                <w:sz w:val="17"/>
              </w:rPr>
              <w:t>6,247円</w:t>
            </w:r>
          </w:p>
        </w:tc>
        <w:tc>
          <w:tcPr>
            <w:tcW w:type="dxa" w:w="1863"/>
            <w:vAlign w:val="center"/>
          </w:tcPr>
          <w:p>
            <w:pPr>
              <w:spacing w:before="20" w:after="20"/>
              <w:jc w:val="right"/>
            </w:pPr>
            <w:r>
              <w:rPr>
                <w:rFonts w:ascii="游ゴシック" w:hAnsi="游ゴシック" w:eastAsia="游ゴシック"/>
                <w:b/>
                <w:i w:val="0"/>
                <w:sz w:val="17"/>
              </w:rPr>
              <w:t>6,300円</w:t>
            </w:r>
          </w:p>
        </w:tc>
        <w:tc>
          <w:tcPr>
            <w:tcW w:type="dxa" w:w="2057"/>
            <w:vAlign w:val="center"/>
          </w:tcPr>
          <w:p>
            <w:pPr>
              <w:spacing w:before="20" w:after="20"/>
              <w:jc w:val="right"/>
            </w:pPr>
            <w:r>
              <w:rPr>
                <w:rFonts w:ascii="游ゴシック" w:hAnsi="游ゴシック" w:eastAsia="游ゴシック"/>
                <w:b/>
                <w:i w:val="0"/>
                <w:sz w:val="17"/>
              </w:rPr>
              <w:t>-300円</w:t>
            </w:r>
          </w:p>
        </w:tc>
      </w:tr>
      <w:tr>
        <w:tc>
          <w:tcPr>
            <w:tcW w:type="dxa" w:w="1403"/>
            <w:vAlign w:val="center"/>
          </w:tcPr>
          <w:p>
            <w:pPr>
              <w:spacing w:before="20" w:after="20"/>
            </w:pPr>
            <w:r>
              <w:rPr>
                <w:rFonts w:ascii="游ゴシック" w:hAnsi="游ゴシック" w:eastAsia="游ゴシック"/>
                <w:b w:val="0"/>
                <w:i w:val="0"/>
                <w:sz w:val="17"/>
              </w:rPr>
              <w:t>B-4</w:t>
            </w:r>
          </w:p>
        </w:tc>
        <w:tc>
          <w:tcPr>
            <w:tcW w:type="dxa" w:w="2779"/>
            <w:vAlign w:val="center"/>
          </w:tcPr>
          <w:p>
            <w:pPr>
              <w:spacing w:before="20" w:after="20"/>
            </w:pPr>
            <w:r>
              <w:rPr>
                <w:rFonts w:ascii="游ゴシック" w:hAnsi="游ゴシック" w:eastAsia="游ゴシック"/>
                <w:b w:val="0"/>
                <w:i w:val="0"/>
                <w:sz w:val="17"/>
              </w:rPr>
              <w:t>見える化システム　基金210,000千円を全額取崩</w:t>
            </w:r>
          </w:p>
        </w:tc>
        <w:tc>
          <w:tcPr>
            <w:tcW w:type="dxa" w:w="1650"/>
            <w:vAlign w:val="center"/>
          </w:tcPr>
          <w:p>
            <w:pPr>
              <w:spacing w:before="20" w:after="20"/>
              <w:jc w:val="right"/>
            </w:pPr>
            <w:r>
              <w:rPr>
                <w:rFonts w:ascii="游ゴシック" w:hAnsi="游ゴシック" w:eastAsia="游ゴシック"/>
                <w:b w:val="0"/>
                <w:i w:val="0"/>
                <w:sz w:val="17"/>
              </w:rPr>
              <w:t>4,813円</w:t>
            </w:r>
          </w:p>
        </w:tc>
        <w:tc>
          <w:tcPr>
            <w:tcW w:type="dxa" w:w="1863"/>
            <w:vAlign w:val="center"/>
          </w:tcPr>
          <w:p>
            <w:pPr>
              <w:spacing w:before="20" w:after="20"/>
              <w:jc w:val="right"/>
            </w:pPr>
            <w:r>
              <w:rPr>
                <w:rFonts w:ascii="游ゴシック" w:hAnsi="游ゴシック" w:eastAsia="游ゴシック"/>
                <w:b/>
                <w:i w:val="0"/>
                <w:sz w:val="17"/>
              </w:rPr>
              <w:t>4,900円</w:t>
            </w:r>
          </w:p>
        </w:tc>
        <w:tc>
          <w:tcPr>
            <w:tcW w:type="dxa" w:w="2057"/>
            <w:vAlign w:val="center"/>
          </w:tcPr>
          <w:p>
            <w:pPr>
              <w:spacing w:before="20" w:after="20"/>
              <w:jc w:val="right"/>
            </w:pPr>
            <w:r>
              <w:rPr>
                <w:rFonts w:ascii="游ゴシック" w:hAnsi="游ゴシック" w:eastAsia="游ゴシック"/>
                <w:b/>
                <w:i w:val="0"/>
                <w:sz w:val="17"/>
              </w:rPr>
              <w:t>-1,700円</w:t>
            </w:r>
          </w:p>
        </w:tc>
      </w:tr>
      <w:tr>
        <w:tc>
          <w:tcPr>
            <w:tcW w:type="dxa" w:w="1403"/>
            <w:vAlign w:val="center"/>
          </w:tcPr>
          <w:p>
            <w:pPr>
              <w:keepNext/>
              <w:spacing w:before="20" w:after="20"/>
            </w:pPr>
            <w:r>
              <w:rPr>
                <w:rFonts w:ascii="游ゴシック" w:hAnsi="游ゴシック" w:eastAsia="游ゴシック"/>
                <w:b w:val="0"/>
                <w:i w:val="0"/>
                <w:sz w:val="17"/>
              </w:rPr>
              <w:t>C-1</w:t>
            </w:r>
          </w:p>
        </w:tc>
        <w:tc>
          <w:tcPr>
            <w:tcW w:type="dxa" w:w="2779"/>
            <w:vAlign w:val="center"/>
          </w:tcPr>
          <w:p>
            <w:pPr>
              <w:keepNext/>
              <w:spacing w:before="20" w:after="20"/>
            </w:pPr>
            <w:r>
              <w:rPr>
                <w:rFonts w:ascii="游ゴシック" w:hAnsi="游ゴシック" w:eastAsia="游ゴシック"/>
                <w:b w:val="0"/>
                <w:i w:val="0"/>
                <w:sz w:val="17"/>
              </w:rPr>
              <w:t>当方の算定　第1号被保険者負担割合24％</w:t>
            </w:r>
          </w:p>
        </w:tc>
        <w:tc>
          <w:tcPr>
            <w:tcW w:type="dxa" w:w="1650"/>
            <w:vAlign w:val="center"/>
          </w:tcPr>
          <w:p>
            <w:pPr>
              <w:keepNext/>
              <w:spacing w:before="20" w:after="20"/>
              <w:jc w:val="right"/>
            </w:pPr>
            <w:r>
              <w:rPr>
                <w:rFonts w:ascii="游ゴシック" w:hAnsi="游ゴシック" w:eastAsia="游ゴシック"/>
                <w:b w:val="0"/>
                <w:i w:val="0"/>
                <w:sz w:val="17"/>
              </w:rPr>
              <w:t>6,317円</w:t>
            </w:r>
          </w:p>
        </w:tc>
        <w:tc>
          <w:tcPr>
            <w:tcW w:type="dxa" w:w="1863"/>
            <w:vAlign w:val="center"/>
          </w:tcPr>
          <w:p>
            <w:pPr>
              <w:keepNext/>
              <w:spacing w:before="20" w:after="20"/>
              <w:jc w:val="right"/>
            </w:pPr>
            <w:r>
              <w:rPr>
                <w:rFonts w:ascii="游ゴシック" w:hAnsi="游ゴシック" w:eastAsia="游ゴシック"/>
                <w:b/>
                <w:i w:val="0"/>
                <w:sz w:val="17"/>
              </w:rPr>
              <w:t>6,400円</w:t>
            </w:r>
          </w:p>
        </w:tc>
        <w:tc>
          <w:tcPr>
            <w:tcW w:type="dxa" w:w="2057"/>
            <w:vAlign w:val="center"/>
          </w:tcPr>
          <w:p>
            <w:pPr>
              <w:keepNext/>
              <w:spacing w:before="20" w:after="20"/>
              <w:jc w:val="right"/>
            </w:pPr>
            <w:r>
              <w:rPr>
                <w:rFonts w:ascii="游ゴシック" w:hAnsi="游ゴシック" w:eastAsia="游ゴシック"/>
                <w:b/>
                <w:i w:val="0"/>
                <w:sz w:val="17"/>
              </w:rPr>
              <w:t>-200円</w:t>
            </w:r>
          </w:p>
        </w:tc>
      </w:tr>
      <w:tr>
        <w:tc>
          <w:tcPr>
            <w:tcW w:type="dxa" w:w="1403"/>
            <w:vAlign w:val="center"/>
          </w:tcPr>
          <w:p>
            <w:pPr>
              <w:spacing w:before="20" w:after="20"/>
            </w:pPr>
            <w:r>
              <w:rPr>
                <w:rFonts w:ascii="游ゴシック" w:hAnsi="游ゴシック" w:eastAsia="游ゴシック"/>
                <w:b w:val="0"/>
                <w:i w:val="0"/>
                <w:sz w:val="17"/>
              </w:rPr>
              <w:t>C-2</w:t>
            </w:r>
          </w:p>
        </w:tc>
        <w:tc>
          <w:tcPr>
            <w:tcW w:type="dxa" w:w="2779"/>
            <w:vAlign w:val="center"/>
          </w:tcPr>
          <w:p>
            <w:pPr>
              <w:spacing w:before="20" w:after="20"/>
            </w:pPr>
            <w:r>
              <w:rPr>
                <w:rFonts w:ascii="游ゴシック" w:hAnsi="游ゴシック" w:eastAsia="游ゴシック"/>
                <w:b w:val="0"/>
                <w:i w:val="0"/>
                <w:sz w:val="17"/>
              </w:rPr>
              <w:t>システム　第1号被保険者負担割合24％</w:t>
            </w:r>
          </w:p>
        </w:tc>
        <w:tc>
          <w:tcPr>
            <w:tcW w:type="dxa" w:w="1650"/>
            <w:vAlign w:val="center"/>
          </w:tcPr>
          <w:p>
            <w:pPr>
              <w:spacing w:before="20" w:after="20"/>
              <w:jc w:val="right"/>
            </w:pPr>
            <w:r>
              <w:rPr>
                <w:rFonts w:ascii="游ゴシック" w:hAnsi="游ゴシック" w:eastAsia="游ゴシック"/>
                <w:b w:val="0"/>
                <w:i w:val="0"/>
                <w:sz w:val="17"/>
              </w:rPr>
              <w:t>6,824円</w:t>
            </w:r>
          </w:p>
        </w:tc>
        <w:tc>
          <w:tcPr>
            <w:tcW w:type="dxa" w:w="1863"/>
            <w:vAlign w:val="center"/>
          </w:tcPr>
          <w:p>
            <w:pPr>
              <w:spacing w:before="20" w:after="20"/>
              <w:jc w:val="right"/>
            </w:pPr>
            <w:r>
              <w:rPr>
                <w:rFonts w:ascii="游ゴシック" w:hAnsi="游ゴシック" w:eastAsia="游ゴシック"/>
                <w:b/>
                <w:i w:val="0"/>
                <w:sz w:val="17"/>
              </w:rPr>
              <w:t>6,900円</w:t>
            </w:r>
          </w:p>
        </w:tc>
        <w:tc>
          <w:tcPr>
            <w:tcW w:type="dxa" w:w="2057"/>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keepNext/>
              <w:spacing w:before="20" w:after="20"/>
            </w:pPr>
            <w:r>
              <w:rPr>
                <w:rFonts w:ascii="游ゴシック" w:hAnsi="游ゴシック" w:eastAsia="游ゴシック"/>
                <w:b w:val="0"/>
                <w:i w:val="0"/>
                <w:sz w:val="17"/>
              </w:rPr>
              <w:t>補正後被保険者数 10,245人→10,235人</w:t>
            </w:r>
          </w:p>
        </w:tc>
        <w:tc>
          <w:tcPr>
            <w:tcW w:type="dxa" w:w="2717"/>
            <w:vAlign w:val="center"/>
          </w:tcPr>
          <w:p>
            <w:pPr>
              <w:keepNext/>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pStyle w:val="Heading2"/>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pStyle w:val="Heading2"/>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基金の残高は、町の財務書類（附属明細書「基金の明細」）で確かめられました。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2"/>
        <w:gridCol w:w="2081"/>
        <w:gridCol w:w="1950"/>
        <w:gridCol w:w="3169"/>
      </w:tblGrid>
      <w:tr>
        <w:tc>
          <w:tcPr>
            <w:tcW w:type="dxa" w:w="255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95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552"/>
            <w:vAlign w:val="center"/>
          </w:tcPr>
          <w:p>
            <w:pPr>
              <w:spacing w:before="20" w:after="20"/>
            </w:pPr>
            <w:r>
              <w:rPr>
                <w:rFonts w:ascii="游ゴシック" w:hAnsi="游ゴシック" w:eastAsia="游ゴシック"/>
                <w:b w:val="0"/>
                <w:i w:val="0"/>
                <w:sz w:val="17"/>
              </w:rPr>
              <w:t>介護給付費準備基金 残高（令和5年度末）</w:t>
            </w:r>
          </w:p>
        </w:tc>
        <w:tc>
          <w:tcPr>
            <w:tcW w:type="dxa" w:w="2081"/>
            <w:vAlign w:val="center"/>
          </w:tcPr>
          <w:p>
            <w:pPr>
              <w:spacing w:before="20" w:after="20"/>
              <w:jc w:val="right"/>
            </w:pPr>
            <w:r>
              <w:rPr>
                <w:rFonts w:ascii="游ゴシック" w:hAnsi="游ゴシック" w:eastAsia="游ゴシック"/>
                <w:b w:val="0"/>
                <w:i w:val="0"/>
                <w:sz w:val="17"/>
              </w:rPr>
              <w:t>120,000千円</w:t>
            </w:r>
          </w:p>
        </w:tc>
        <w:tc>
          <w:tcPr>
            <w:tcW w:type="dxa" w:w="1950"/>
            <w:vAlign w:val="center"/>
          </w:tcPr>
          <w:p>
            <w:pPr>
              <w:spacing w:before="20" w:after="20"/>
              <w:jc w:val="right"/>
            </w:pPr>
            <w:r>
              <w:rPr>
                <w:rFonts w:ascii="游ゴシック" w:hAnsi="游ゴシック" w:eastAsia="游ゴシック"/>
                <w:b w:val="0"/>
                <w:i w:val="0"/>
                <w:sz w:val="17"/>
              </w:rPr>
              <w:t>町の財務書類</w:t>
            </w:r>
          </w:p>
        </w:tc>
        <w:tc>
          <w:tcPr>
            <w:tcW w:type="dxa" w:w="3169"/>
            <w:vAlign w:val="center"/>
          </w:tcPr>
          <w:p>
            <w:pPr>
              <w:spacing w:before="20" w:after="20"/>
              <w:jc w:val="right"/>
            </w:pPr>
            <w:r>
              <w:rPr>
                <w:rFonts w:ascii="游ゴシック" w:hAnsi="游ゴシック" w:eastAsia="游ゴシック"/>
                <w:b/>
                <w:i w:val="0"/>
                <w:sz w:val="17"/>
              </w:rPr>
              <w:t>財産に関する調書の記載額と同じ</w:t>
            </w:r>
          </w:p>
        </w:tc>
      </w:tr>
      <w:tr>
        <w:tc>
          <w:tcPr>
            <w:tcW w:type="dxa" w:w="2552"/>
            <w:vAlign w:val="center"/>
          </w:tcPr>
          <w:p>
            <w:pPr>
              <w:spacing w:before="20" w:after="20"/>
            </w:pPr>
            <w:r>
              <w:rPr>
                <w:rFonts w:ascii="游ゴシック" w:hAnsi="游ゴシック" w:eastAsia="游ゴシック"/>
                <w:b w:val="0"/>
                <w:i w:val="0"/>
                <w:sz w:val="17"/>
              </w:rPr>
              <w:t>同（令和8年度末見込）</w:t>
            </w:r>
          </w:p>
        </w:tc>
        <w:tc>
          <w:tcPr>
            <w:tcW w:type="dxa" w:w="2081"/>
            <w:vAlign w:val="center"/>
          </w:tcPr>
          <w:p>
            <w:pPr>
              <w:spacing w:before="20" w:after="20"/>
              <w:jc w:val="right"/>
            </w:pPr>
            <w:r>
              <w:rPr>
                <w:rFonts w:ascii="游ゴシック" w:hAnsi="游ゴシック" w:eastAsia="游ゴシック"/>
                <w:b w:val="0"/>
                <w:i w:val="0"/>
                <w:sz w:val="17"/>
              </w:rPr>
              <w:t>210,000千円</w:t>
            </w:r>
          </w:p>
        </w:tc>
        <w:tc>
          <w:tcPr>
            <w:tcW w:type="dxa" w:w="1950"/>
            <w:vAlign w:val="center"/>
          </w:tcPr>
          <w:p>
            <w:pPr>
              <w:spacing w:before="20" w:after="20"/>
              <w:jc w:val="right"/>
            </w:pPr>
            <w:r>
              <w:rPr>
                <w:rFonts w:ascii="游ゴシック" w:hAnsi="游ゴシック" w:eastAsia="游ゴシック"/>
                <w:b w:val="0"/>
                <w:i w:val="0"/>
                <w:sz w:val="17"/>
              </w:rPr>
              <w:t>決算・令和8年度予算</w:t>
            </w:r>
          </w:p>
        </w:tc>
        <w:tc>
          <w:tcPr>
            <w:tcW w:type="dxa" w:w="3169"/>
            <w:vAlign w:val="center"/>
          </w:tcPr>
          <w:p>
            <w:pPr>
              <w:spacing w:before="20" w:after="20"/>
              <w:jc w:val="right"/>
            </w:pPr>
            <w:r>
              <w:rPr>
                <w:rFonts w:ascii="游ゴシック" w:hAnsi="游ゴシック" w:eastAsia="游ゴシック"/>
                <w:b w:val="0"/>
                <w:i w:val="0"/>
                <w:sz w:val="17"/>
              </w:rPr>
              <w:t>以後の積立と令和8年度予算（当初・9月補正）の積立を足したもの</w:t>
            </w:r>
          </w:p>
        </w:tc>
      </w:tr>
      <w:tr>
        <w:tc>
          <w:tcPr>
            <w:tcW w:type="dxa" w:w="2552"/>
            <w:vAlign w:val="center"/>
          </w:tcPr>
          <w:p>
            <w:pPr>
              <w:keepNext/>
              <w:spacing w:before="20" w:after="20"/>
            </w:pPr>
            <w:r>
              <w:rPr>
                <w:rFonts w:ascii="游ゴシック" w:hAnsi="游ゴシック" w:eastAsia="游ゴシック"/>
                <w:b w:val="0"/>
                <w:i w:val="0"/>
                <w:sz w:val="17"/>
              </w:rPr>
              <w:t>歳入歳出差引残額（令和6年度末）</w:t>
            </w:r>
          </w:p>
        </w:tc>
        <w:tc>
          <w:tcPr>
            <w:tcW w:type="dxa" w:w="2081"/>
            <w:vAlign w:val="center"/>
          </w:tcPr>
          <w:p>
            <w:pPr>
              <w:keepNext/>
              <w:spacing w:before="20" w:after="20"/>
              <w:jc w:val="right"/>
            </w:pPr>
            <w:r>
              <w:rPr>
                <w:rFonts w:ascii="游ゴシック" w:hAnsi="游ゴシック" w:eastAsia="游ゴシック"/>
                <w:b w:val="0"/>
                <w:i w:val="0"/>
                <w:sz w:val="17"/>
              </w:rPr>
              <w:t>144,205,672円</w:t>
            </w:r>
          </w:p>
        </w:tc>
        <w:tc>
          <w:tcPr>
            <w:tcW w:type="dxa" w:w="1950"/>
            <w:vAlign w:val="center"/>
          </w:tcPr>
          <w:p>
            <w:pPr>
              <w:keepNext/>
              <w:spacing w:before="20" w:after="20"/>
              <w:jc w:val="right"/>
            </w:pPr>
            <w:r>
              <w:rPr>
                <w:rFonts w:ascii="游ゴシック" w:hAnsi="游ゴシック" w:eastAsia="游ゴシック"/>
                <w:b w:val="0"/>
                <w:i w:val="0"/>
                <w:sz w:val="17"/>
              </w:rPr>
              <w:t>年報 様式4</w:t>
            </w:r>
          </w:p>
        </w:tc>
        <w:tc>
          <w:tcPr>
            <w:tcW w:type="dxa" w:w="3169"/>
            <w:vAlign w:val="center"/>
          </w:tcPr>
          <w:p>
            <w:pPr>
              <w:keepNext/>
              <w:spacing w:before="20" w:after="20"/>
              <w:jc w:val="right"/>
            </w:pPr>
            <w:r>
              <w:rPr>
                <w:rFonts w:ascii="游ゴシック" w:hAnsi="游ゴシック" w:eastAsia="游ゴシック"/>
                <w:b/>
                <w:i w:val="0"/>
                <w:sz w:val="17"/>
              </w:rPr>
              <w:t>繰越金として滞留しています</w:t>
            </w:r>
          </w:p>
        </w:tc>
      </w:tr>
      <w:tr>
        <w:tc>
          <w:tcPr>
            <w:tcW w:type="dxa" w:w="2552"/>
            <w:vAlign w:val="center"/>
          </w:tcPr>
          <w:p>
            <w:pPr>
              <w:spacing w:before="20" w:after="20"/>
            </w:pPr>
            <w:r>
              <w:rPr>
                <w:rFonts w:ascii="游ゴシック" w:hAnsi="游ゴシック" w:eastAsia="游ゴシック"/>
                <w:b w:val="0"/>
                <w:i w:val="0"/>
                <w:sz w:val="17"/>
              </w:rPr>
              <w:t>第9期の取崩額</w:t>
            </w:r>
          </w:p>
        </w:tc>
        <w:tc>
          <w:tcPr>
            <w:tcW w:type="dxa" w:w="2081"/>
            <w:vAlign w:val="center"/>
          </w:tcPr>
          <w:p>
            <w:pPr>
              <w:spacing w:before="20" w:after="20"/>
              <w:jc w:val="right"/>
            </w:pPr>
            <w:r>
              <w:rPr>
                <w:rFonts w:ascii="游ゴシック" w:hAnsi="游ゴシック" w:eastAsia="游ゴシック"/>
                <w:b w:val="0"/>
                <w:i w:val="0"/>
                <w:sz w:val="17"/>
              </w:rPr>
              <w:t>35,000千円</w:t>
            </w:r>
          </w:p>
        </w:tc>
        <w:tc>
          <w:tcPr>
            <w:tcW w:type="dxa" w:w="1950"/>
            <w:vAlign w:val="center"/>
          </w:tcPr>
          <w:p>
            <w:pPr>
              <w:spacing w:before="20" w:after="20"/>
              <w:jc w:val="right"/>
            </w:pPr>
            <w:r>
              <w:rPr>
                <w:rFonts w:ascii="游ゴシック" w:hAnsi="游ゴシック" w:eastAsia="游ゴシック"/>
                <w:b w:val="0"/>
                <w:i w:val="0"/>
                <w:sz w:val="17"/>
              </w:rPr>
              <w:t>第9期計画</w:t>
            </w:r>
          </w:p>
        </w:tc>
        <w:tc>
          <w:tcPr>
            <w:tcW w:type="dxa" w:w="3169"/>
            <w:vAlign w:val="center"/>
          </w:tcPr>
          <w:p>
            <w:pPr>
              <w:spacing w:before="20" w:after="20"/>
              <w:jc w:val="right"/>
            </w:pPr>
            <w:r>
              <w:rPr>
                <w:rFonts w:ascii="游ゴシック" w:hAnsi="游ゴシック" w:eastAsia="游ゴシック"/>
                <w:b/>
                <w:i w:val="0"/>
                <w:sz w:val="17"/>
              </w:rPr>
              <w:t>残高の範囲内で実行できます</w:t>
            </w:r>
            <w:r>
              <w:rPr>
                <w:rFonts w:ascii="游ゴシック" w:hAnsi="游ゴシック" w:eastAsia="游ゴシック"/>
                <w:b w:val="0"/>
                <w:i w:val="0"/>
                <w:sz w:val="17"/>
              </w:rPr>
              <w:t>（令和2年度以降、取崩しはありません）</w:t>
            </w:r>
          </w:p>
        </w:tc>
      </w:tr>
    </w:tbl>
    <w:p>
      <w:pPr>
        <w:spacing w:after="40"/>
      </w:pPr>
    </w:p>
    <w:p>
      <w:pPr>
        <w:spacing w:before="60" w:after="60"/>
      </w:pPr>
      <w:r>
        <w:rPr>
          <w:rFonts w:ascii="游ゴシック" w:hAnsi="游ゴシック" w:eastAsia="游ゴシック"/>
          <w:b/>
          <w:i w:val="0"/>
          <w:sz w:val="21"/>
        </w:rPr>
        <w:t>令和7年度末の残高（財産に関する調書）をご確認ください。</w:t>
      </w:r>
      <w:r>
        <w:rPr>
          <w:rFonts w:ascii="游ゴシック" w:hAnsi="游ゴシック" w:eastAsia="游ゴシック"/>
          <w:b w:val="0"/>
          <w:i w:val="0"/>
          <w:sz w:val="21"/>
        </w:rPr>
        <w:t>年報 様式4 の保有額は財務書類と合わないため用いません。</w:t>
      </w:r>
      <w:r>
        <w:rPr>
          <w:rFonts w:ascii="游ゴシック" w:hAnsi="游ゴシック" w:eastAsia="游ゴシック"/>
          <w:b/>
          <w:i w:val="0"/>
          <w:sz w:val="21"/>
        </w:rPr>
        <w:t>繰越金144.2百万円の一部を基金に積み立てれば、第10期での取崩の余地はさらに広がります。</w:t>
      </w:r>
    </w:p>
    <w:p>
      <w:pPr>
        <w:pStyle w:val="Heading1"/>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pStyle w:val="Heading2"/>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pStyle w:val="Heading2"/>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基金の残高は、町の財務書類で令和5年度末120,000千円、令和8年度末見込210,000千円です。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令和7年度末の残高（財産に関する調書）と令和8年度9月補正の積立の執行をご確認ください。</w:t>
      </w:r>
      <w:r>
        <w:rPr>
          <w:rFonts w:ascii="游ゴシック" w:hAnsi="游ゴシック" w:eastAsia="游ゴシック"/>
          <w:b w:val="0"/>
          <w:i w:val="0"/>
          <w:sz w:val="21"/>
        </w:rPr>
        <w:t>第10期にどれだけ取り崩すかで、打てる手が変わります</w:t>
      </w:r>
    </w:p>
    <w:p>
      <w:pPr>
        <w:pStyle w:val="Heading2"/>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pStyle w:val="Heading2"/>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pStyle w:val="Heading2"/>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pStyle w:val="Heading2"/>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pStyle w:val="Heading2"/>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pStyle w:val="Heading2"/>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pStyle w:val="Heading2"/>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pStyle w:val="Heading2"/>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pStyle w:val="Heading2"/>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pStyle w:val="Heading1"/>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keepNext/>
              <w:spacing w:before="20" w:after="20"/>
            </w:pPr>
            <w:r>
              <w:rPr>
                <w:rFonts w:ascii="游ゴシック" w:hAnsi="游ゴシック" w:eastAsia="游ゴシック"/>
                <w:b/>
                <w:i w:val="0"/>
                <w:sz w:val="17"/>
              </w:rPr>
              <w:t>推進Ⅱ　公正・公平な給付（介護給付適正化）</w:t>
            </w:r>
          </w:p>
        </w:tc>
        <w:tc>
          <w:tcPr>
            <w:tcW w:type="dxa" w:w="1815"/>
            <w:vAlign w:val="center"/>
          </w:tcPr>
          <w:p>
            <w:pPr>
              <w:keepNext/>
              <w:spacing w:before="20" w:after="20"/>
            </w:pPr>
            <w:r>
              <w:rPr>
                <w:rFonts w:ascii="游ゴシック" w:hAnsi="游ゴシック" w:eastAsia="游ゴシック"/>
                <w:b/>
                <w:i w:val="0"/>
                <w:sz w:val="17"/>
              </w:rPr>
              <w:t>84点</w:t>
            </w:r>
          </w:p>
        </w:tc>
        <w:tc>
          <w:tcPr>
            <w:tcW w:type="dxa" w:w="2209"/>
            <w:vAlign w:val="center"/>
          </w:tcPr>
          <w:p>
            <w:pPr>
              <w:keepNext/>
              <w:spacing w:before="20" w:after="20"/>
            </w:pPr>
            <w:r>
              <w:rPr>
                <w:rFonts w:ascii="游ゴシック" w:hAnsi="游ゴシック" w:eastAsia="游ゴシック"/>
                <w:b w:val="0"/>
                <w:i w:val="0"/>
                <w:sz w:val="17"/>
              </w:rPr>
              <w:t>69.1点</w:t>
            </w:r>
          </w:p>
        </w:tc>
        <w:tc>
          <w:tcPr>
            <w:tcW w:type="dxa" w:w="2084"/>
            <w:vAlign w:val="center"/>
          </w:tcPr>
          <w:p>
            <w:pPr>
              <w:keepNext/>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keepNext/>
              <w:spacing w:before="20" w:after="20"/>
            </w:pPr>
            <w:r>
              <w:rPr>
                <w:rFonts w:ascii="游ゴシック" w:hAnsi="游ゴシック" w:eastAsia="游ゴシック"/>
                <w:b w:val="0"/>
                <w:i w:val="0"/>
                <w:sz w:val="17"/>
              </w:rPr>
              <w:t>活動（配点32・12点）</w:t>
            </w:r>
          </w:p>
        </w:tc>
        <w:tc>
          <w:tcPr>
            <w:tcW w:type="dxa" w:w="1396"/>
            <w:vAlign w:val="center"/>
          </w:tcPr>
          <w:p>
            <w:pPr>
              <w:keepNext/>
              <w:spacing w:before="20" w:after="20"/>
              <w:jc w:val="right"/>
            </w:pPr>
            <w:r>
              <w:rPr>
                <w:rFonts w:ascii="游ゴシック" w:hAnsi="游ゴシック" w:eastAsia="游ゴシック"/>
                <w:b/>
                <w:i w:val="0"/>
                <w:sz w:val="17"/>
              </w:rPr>
              <w:t>8点</w:t>
            </w:r>
          </w:p>
        </w:tc>
        <w:tc>
          <w:tcPr>
            <w:tcW w:type="dxa" w:w="3700"/>
            <w:vAlign w:val="center"/>
          </w:tcPr>
          <w:p>
            <w:pPr>
              <w:keepNext/>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keepNext/>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認知症の設問の項目名は、原本のとおり次のとおりです。</w:t>
      </w:r>
      <w:r>
        <w:rPr>
          <w:rFonts w:ascii="游ゴシック" w:hAnsi="游ゴシック" w:eastAsia="游ゴシック"/>
          <w:b/>
          <w:i w:val="0"/>
          <w:sz w:val="21"/>
        </w:rPr>
        <w:t>「認知症の方や家族を地域で支えていくために必要なこと」の最多54.1％は、「地域での見守りや声掛け」です。</w:t>
      </w:r>
      <w:r>
        <w:rPr>
          <w:rFonts w:ascii="游ゴシック" w:hAnsi="游ゴシック" w:eastAsia="游ゴシック"/>
          <w:b w:val="0"/>
          <w:i w:val="0"/>
          <w:sz w:val="21"/>
        </w:rPr>
        <w:t>素案・協議会資料・調査結果報告書の3点とも、この項目名で記載しています。</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pStyle w:val="Heading1"/>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pStyle w:val="Heading1"/>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年度末は印刷が集中するため、1月中に印刷業者を押さえる</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keepNext/>
              <w:spacing w:before="20" w:after="20"/>
            </w:pPr>
            <w:r>
              <w:rPr>
                <w:rFonts w:ascii="游ゴシック" w:hAnsi="游ゴシック" w:eastAsia="游ゴシック"/>
                <w:b w:val="0"/>
                <w:i w:val="0"/>
                <w:sz w:val="17"/>
              </w:rPr>
              <w:t>令和9年2月</w:t>
            </w:r>
          </w:p>
        </w:tc>
        <w:tc>
          <w:tcPr>
            <w:tcW w:type="dxa" w:w="3075"/>
            <w:vAlign w:val="center"/>
          </w:tcPr>
          <w:p>
            <w:pPr>
              <w:keepNext/>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keepNext/>
              <w:spacing w:before="20" w:after="20"/>
            </w:pPr>
            <w:r>
              <w:rPr>
                <w:rFonts w:ascii="游ゴシック" w:hAnsi="游ゴシック" w:eastAsia="游ゴシック"/>
                <w:b w:val="0"/>
                <w:i w:val="0"/>
                <w:sz w:val="17"/>
              </w:rPr>
              <w:t>受託者・町</w:t>
            </w:r>
          </w:p>
        </w:tc>
        <w:tc>
          <w:tcPr>
            <w:tcW w:type="dxa" w:w="3283"/>
            <w:vAlign w:val="center"/>
          </w:tcPr>
          <w:p>
            <w:pPr>
              <w:keepNext/>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ここから逆算すると発注は2月中旬まで待てますが、</w:t>
      </w:r>
      <w:r>
        <w:rPr>
          <w:rFonts w:ascii="游ゴシック" w:hAnsi="游ゴシック" w:eastAsia="游ゴシック"/>
          <w:b/>
          <w:i w:val="0"/>
          <w:sz w:val="21"/>
        </w:rPr>
        <w:t>年度末は印刷が集中するため1月中の確保が要ります。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pStyle w:val="Heading1"/>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keepNext/>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keepNext/>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keepNext/>
              <w:spacing w:before="20" w:after="20"/>
            </w:pPr>
            <w:r>
              <w:rPr>
                <w:rFonts w:ascii="游ゴシック" w:hAnsi="游ゴシック" w:eastAsia="游ゴシック"/>
                <w:b/>
                <w:i w:val="0"/>
                <w:sz w:val="17"/>
              </w:rPr>
              <w:t>未決</w:t>
            </w:r>
          </w:p>
        </w:tc>
        <w:tc>
          <w:tcPr>
            <w:tcW w:type="dxa" w:w="3973"/>
            <w:vAlign w:val="center"/>
          </w:tcPr>
          <w:p>
            <w:pPr>
              <w:keepNext/>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現在地と論点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