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成果指標群　―　4指標は伸び、健康寿命だけが0点のままです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(5)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keepNext/>
              <w:spacing w:before="20" w:after="20"/>
            </w:pPr>
            <w:r>
              <w:rPr>
                <w:rFonts w:ascii="游ゴシック" w:hAnsi="游ゴシック" w:eastAsia="游ゴシック"/>
                <w:b w:val="0"/>
                <w:i w:val="0"/>
                <w:sz w:val="17"/>
              </w:rPr>
              <w:t>9</w:t>
            </w:r>
          </w:p>
        </w:tc>
        <w:tc>
          <w:tcPr>
            <w:tcW w:type="dxa" w:w="8957"/>
            <w:vAlign w:val="center"/>
          </w:tcPr>
          <w:p>
            <w:pPr>
              <w:keepNext/>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pStyle w:val="Heading2"/>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keepNext/>
              <w:spacing w:before="20" w:after="20"/>
            </w:pPr>
          </w:p>
        </w:tc>
        <w:tc>
          <w:tcPr>
            <w:tcW w:type="dxa" w:w="2306"/>
            <w:vAlign w:val="center"/>
          </w:tcPr>
          <w:p>
            <w:pPr>
              <w:keepNext/>
              <w:spacing w:before="20" w:after="20"/>
            </w:pPr>
            <w:r>
              <w:rPr>
                <w:rFonts w:ascii="游ゴシック" w:hAnsi="游ゴシック" w:eastAsia="游ゴシック"/>
                <w:b w:val="0"/>
                <w:i w:val="0"/>
                <w:sz w:val="17"/>
              </w:rPr>
              <w:t>Ⅳ　（推進交付金の目標Ⅳと同一）</w:t>
            </w:r>
          </w:p>
        </w:tc>
        <w:tc>
          <w:tcPr>
            <w:tcW w:type="dxa" w:w="1383"/>
            <w:vAlign w:val="center"/>
          </w:tcPr>
          <w:p>
            <w:pPr>
              <w:keepNext/>
              <w:spacing w:before="20" w:after="20"/>
              <w:jc w:val="right"/>
            </w:pPr>
            <w:r>
              <w:rPr>
                <w:rFonts w:ascii="游ゴシック" w:hAnsi="游ゴシック" w:eastAsia="游ゴシック"/>
                <w:b w:val="0"/>
                <w:i w:val="0"/>
                <w:sz w:val="17"/>
              </w:rPr>
              <w:t>―</w:t>
            </w:r>
          </w:p>
        </w:tc>
        <w:tc>
          <w:tcPr>
            <w:tcW w:type="dxa" w:w="1329"/>
            <w:vAlign w:val="center"/>
          </w:tcPr>
          <w:p>
            <w:pPr>
              <w:keepNext/>
              <w:spacing w:before="20" w:after="20"/>
              <w:jc w:val="right"/>
            </w:pPr>
            <w:r>
              <w:rPr>
                <w:rFonts w:ascii="游ゴシック" w:hAnsi="游ゴシック" w:eastAsia="游ゴシック"/>
                <w:b w:val="0"/>
                <w:i w:val="0"/>
                <w:sz w:val="17"/>
              </w:rPr>
              <w:t>―</w:t>
            </w:r>
          </w:p>
        </w:tc>
        <w:tc>
          <w:tcPr>
            <w:tcW w:type="dxa" w:w="1329"/>
            <w:vAlign w:val="center"/>
          </w:tcPr>
          <w:p>
            <w:pPr>
              <w:keepNext/>
              <w:spacing w:before="20" w:after="20"/>
              <w:jc w:val="right"/>
            </w:pPr>
            <w:r>
              <w:rPr>
                <w:rFonts w:ascii="游ゴシック" w:hAnsi="游ゴシック" w:eastAsia="游ゴシック"/>
                <w:b w:val="0"/>
                <w:i w:val="0"/>
                <w:sz w:val="17"/>
              </w:rPr>
              <w:t>100点</w:t>
            </w:r>
          </w:p>
        </w:tc>
        <w:tc>
          <w:tcPr>
            <w:tcW w:type="dxa" w:w="1329"/>
            <w:vAlign w:val="center"/>
          </w:tcPr>
          <w:p>
            <w:pPr>
              <w:keepNext/>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pStyle w:val="Heading2"/>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keepNext/>
              <w:spacing w:before="20" w:after="20"/>
            </w:pPr>
            <w:r>
              <w:rPr>
                <w:rFonts w:ascii="游ゴシック" w:hAnsi="游ゴシック" w:eastAsia="游ゴシック"/>
                <w:b/>
                <w:i w:val="0"/>
                <w:sz w:val="17"/>
              </w:rPr>
              <w:t>（ⅱ）活動</w:t>
            </w:r>
          </w:p>
        </w:tc>
        <w:tc>
          <w:tcPr>
            <w:tcW w:type="dxa" w:w="3447"/>
            <w:vAlign w:val="center"/>
          </w:tcPr>
          <w:p>
            <w:pPr>
              <w:keepNext/>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keepNext/>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pStyle w:val="Heading2"/>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keepNext/>
              <w:spacing w:before="20" w:after="20"/>
            </w:pPr>
            <w:r>
              <w:rPr>
                <w:rFonts w:ascii="游ゴシック" w:hAnsi="游ゴシック" w:eastAsia="游ゴシック"/>
                <w:b w:val="0"/>
                <w:i w:val="0"/>
                <w:sz w:val="17"/>
              </w:rPr>
              <w:t>令和11年度</w:t>
            </w:r>
          </w:p>
        </w:tc>
        <w:tc>
          <w:tcPr>
            <w:tcW w:type="dxa" w:w="2894"/>
            <w:vAlign w:val="center"/>
          </w:tcPr>
          <w:p>
            <w:pPr>
              <w:keepNext/>
              <w:spacing w:before="20" w:after="20"/>
            </w:pPr>
            <w:r>
              <w:rPr>
                <w:rFonts w:ascii="游ゴシック" w:hAnsi="游ゴシック" w:eastAsia="游ゴシック"/>
                <w:b w:val="0"/>
                <w:i w:val="0"/>
                <w:sz w:val="17"/>
              </w:rPr>
              <w:t>令和10年度</w:t>
            </w:r>
          </w:p>
        </w:tc>
        <w:tc>
          <w:tcPr>
            <w:tcW w:type="dxa" w:w="4540"/>
            <w:vAlign w:val="center"/>
          </w:tcPr>
          <w:p>
            <w:pPr>
              <w:keepNext/>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pStyle w:val="Heading1"/>
        <w:keepNext/>
        <w:spacing w:before="240" w:after="100"/>
      </w:pPr>
      <w:bookmarkStart w:id="106" w:name="_Toc_006"/>
      <w:r>
        <w:rPr>
          <w:rFonts w:ascii="游ゴシック" w:hAnsi="游ゴシック" w:eastAsia="游ゴシック"/>
          <w:b/>
          <w:i w:val="0"/>
          <w:color w:val="2E74B5"/>
          <w:sz w:val="30"/>
        </w:rPr>
        <w:t>2　小野町の位置</w:t>
      </w:r>
      <w:bookmarkEnd w:id="106"/>
    </w:p>
    <w:p>
      <w:pPr>
        <w:pStyle w:val="Heading2"/>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keepNext/>
              <w:spacing w:before="20" w:after="20"/>
            </w:pPr>
            <w:r>
              <w:rPr>
                <w:rFonts w:ascii="游ゴシック" w:hAnsi="游ゴシック" w:eastAsia="游ゴシック"/>
                <w:b w:val="0"/>
                <w:i w:val="0"/>
                <w:sz w:val="17"/>
              </w:rPr>
              <w:t>保険者機能強化推進交付金 計</w:t>
            </w:r>
          </w:p>
        </w:tc>
        <w:tc>
          <w:tcPr>
            <w:tcW w:type="dxa" w:w="1410"/>
            <w:vAlign w:val="center"/>
          </w:tcPr>
          <w:p>
            <w:pPr>
              <w:keepNext/>
              <w:spacing w:before="20" w:after="20"/>
              <w:jc w:val="right"/>
            </w:pPr>
            <w:r>
              <w:rPr>
                <w:rFonts w:ascii="游ゴシック" w:hAnsi="游ゴシック" w:eastAsia="游ゴシック"/>
                <w:b/>
                <w:i w:val="0"/>
                <w:sz w:val="17"/>
              </w:rPr>
              <w:t>272点</w:t>
            </w:r>
          </w:p>
        </w:tc>
        <w:tc>
          <w:tcPr>
            <w:tcW w:type="dxa" w:w="1410"/>
            <w:vAlign w:val="center"/>
          </w:tcPr>
          <w:p>
            <w:pPr>
              <w:keepNext/>
              <w:spacing w:before="20" w:after="20"/>
              <w:jc w:val="right"/>
            </w:pPr>
            <w:r>
              <w:rPr>
                <w:rFonts w:ascii="游ゴシック" w:hAnsi="游ゴシック" w:eastAsia="游ゴシック"/>
                <w:b w:val="0"/>
                <w:i w:val="0"/>
                <w:sz w:val="17"/>
              </w:rPr>
              <w:t>400点</w:t>
            </w:r>
          </w:p>
        </w:tc>
        <w:tc>
          <w:tcPr>
            <w:tcW w:type="dxa" w:w="1541"/>
            <w:vAlign w:val="center"/>
          </w:tcPr>
          <w:p>
            <w:pPr>
              <w:keepNext/>
              <w:spacing w:before="20" w:after="20"/>
              <w:jc w:val="right"/>
            </w:pPr>
            <w:r>
              <w:rPr>
                <w:rFonts w:ascii="游ゴシック" w:hAnsi="游ゴシック" w:eastAsia="游ゴシック"/>
                <w:b w:val="0"/>
                <w:i w:val="0"/>
                <w:sz w:val="17"/>
              </w:rPr>
              <w:t>229.3点</w:t>
            </w:r>
          </w:p>
        </w:tc>
        <w:tc>
          <w:tcPr>
            <w:tcW w:type="dxa" w:w="1773"/>
            <w:vAlign w:val="center"/>
          </w:tcPr>
          <w:p>
            <w:pPr>
              <w:keepNext/>
              <w:spacing w:before="20" w:after="20"/>
              <w:jc w:val="right"/>
            </w:pPr>
            <w:r>
              <w:rPr>
                <w:rFonts w:ascii="游ゴシック" w:hAnsi="游ゴシック" w:eastAsia="游ゴシック"/>
                <w:b/>
                <w:i w:val="0"/>
                <w:sz w:val="17"/>
              </w:rPr>
              <w:t>306位／1,536</w:t>
            </w:r>
          </w:p>
        </w:tc>
        <w:tc>
          <w:tcPr>
            <w:tcW w:type="dxa" w:w="1541"/>
            <w:vAlign w:val="center"/>
          </w:tcPr>
          <w:p>
            <w:pPr>
              <w:keepNext/>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keepNext/>
              <w:spacing w:before="20" w:after="20"/>
            </w:pPr>
            <w:r>
              <w:rPr>
                <w:rFonts w:ascii="游ゴシック" w:hAnsi="游ゴシック" w:eastAsia="游ゴシック"/>
                <w:b w:val="0"/>
                <w:i w:val="0"/>
                <w:sz w:val="17"/>
              </w:rPr>
              <w:t>県内の第1四分位</w:t>
            </w:r>
          </w:p>
        </w:tc>
        <w:tc>
          <w:tcPr>
            <w:tcW w:type="dxa" w:w="4819"/>
            <w:vAlign w:val="center"/>
          </w:tcPr>
          <w:p>
            <w:pPr>
              <w:keepNext/>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keepNext/>
              <w:spacing w:before="20" w:after="20"/>
            </w:pPr>
            <w:r>
              <w:rPr>
                <w:rFonts w:ascii="游ゴシック" w:hAnsi="游ゴシック" w:eastAsia="游ゴシック"/>
                <w:b w:val="0"/>
                <w:i w:val="0"/>
                <w:sz w:val="17"/>
              </w:rPr>
              <w:t>支援</w:t>
            </w:r>
          </w:p>
        </w:tc>
        <w:tc>
          <w:tcPr>
            <w:tcW w:type="dxa" w:w="2569"/>
            <w:vAlign w:val="center"/>
          </w:tcPr>
          <w:p>
            <w:pPr>
              <w:keepNext/>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keepNext/>
              <w:spacing w:before="20" w:after="20"/>
              <w:jc w:val="right"/>
            </w:pPr>
            <w:r>
              <w:rPr>
                <w:rFonts w:ascii="游ゴシック" w:hAnsi="游ゴシック" w:eastAsia="游ゴシック"/>
                <w:b/>
                <w:i w:val="0"/>
                <w:sz w:val="17"/>
              </w:rPr>
              <w:t>55点</w:t>
            </w:r>
          </w:p>
        </w:tc>
        <w:tc>
          <w:tcPr>
            <w:tcW w:type="dxa" w:w="1480"/>
            <w:vAlign w:val="center"/>
          </w:tcPr>
          <w:p>
            <w:pPr>
              <w:keepNext/>
              <w:spacing w:before="20" w:after="20"/>
              <w:jc w:val="right"/>
            </w:pPr>
            <w:r>
              <w:rPr>
                <w:rFonts w:ascii="游ゴシック" w:hAnsi="游ゴシック" w:eastAsia="游ゴシック"/>
                <w:b w:val="0"/>
                <w:i w:val="0"/>
                <w:sz w:val="17"/>
              </w:rPr>
              <w:t>68.3点</w:t>
            </w:r>
          </w:p>
        </w:tc>
        <w:tc>
          <w:tcPr>
            <w:tcW w:type="dxa" w:w="1480"/>
            <w:vAlign w:val="center"/>
          </w:tcPr>
          <w:p>
            <w:pPr>
              <w:keepNext/>
              <w:spacing w:before="20" w:after="20"/>
              <w:jc w:val="right"/>
            </w:pPr>
            <w:r>
              <w:rPr>
                <w:rFonts w:ascii="游ゴシック" w:hAnsi="游ゴシック" w:eastAsia="游ゴシック"/>
                <w:b w:val="0"/>
                <w:i w:val="0"/>
                <w:sz w:val="17"/>
              </w:rPr>
              <w:t>64.7点</w:t>
            </w:r>
          </w:p>
        </w:tc>
        <w:tc>
          <w:tcPr>
            <w:tcW w:type="dxa" w:w="1545"/>
            <w:vAlign w:val="center"/>
          </w:tcPr>
          <w:p>
            <w:pPr>
              <w:keepNext/>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keepNext/>
              <w:spacing w:before="20" w:after="20"/>
            </w:pPr>
            <w:r>
              <w:rPr>
                <w:rFonts w:ascii="游ゴシック" w:hAnsi="游ゴシック" w:eastAsia="游ゴシック"/>
                <w:b/>
                <w:i w:val="0"/>
                <w:sz w:val="17"/>
              </w:rPr>
              <w:t>成果指標群</w:t>
            </w:r>
          </w:p>
        </w:tc>
        <w:tc>
          <w:tcPr>
            <w:tcW w:type="dxa" w:w="1529"/>
            <w:vAlign w:val="center"/>
          </w:tcPr>
          <w:p>
            <w:pPr>
              <w:keepNext/>
              <w:spacing w:before="20" w:after="20"/>
              <w:jc w:val="right"/>
            </w:pPr>
            <w:r>
              <w:rPr>
                <w:rFonts w:ascii="游ゴシック" w:hAnsi="游ゴシック" w:eastAsia="游ゴシック"/>
                <w:b/>
                <w:i w:val="0"/>
                <w:sz w:val="17"/>
              </w:rPr>
              <w:t>60点</w:t>
            </w:r>
          </w:p>
        </w:tc>
        <w:tc>
          <w:tcPr>
            <w:tcW w:type="dxa" w:w="1529"/>
            <w:vAlign w:val="center"/>
          </w:tcPr>
          <w:p>
            <w:pPr>
              <w:keepNext/>
              <w:spacing w:before="20" w:after="20"/>
              <w:jc w:val="right"/>
            </w:pPr>
            <w:r>
              <w:rPr>
                <w:rFonts w:ascii="游ゴシック" w:hAnsi="游ゴシック" w:eastAsia="游ゴシック"/>
                <w:b w:val="0"/>
                <w:i w:val="0"/>
                <w:sz w:val="17"/>
              </w:rPr>
              <w:t>100点</w:t>
            </w:r>
          </w:p>
        </w:tc>
        <w:tc>
          <w:tcPr>
            <w:tcW w:type="dxa" w:w="1434"/>
            <w:vAlign w:val="center"/>
          </w:tcPr>
          <w:p>
            <w:pPr>
              <w:keepNext/>
              <w:spacing w:before="20" w:after="20"/>
              <w:jc w:val="right"/>
            </w:pPr>
            <w:r>
              <w:rPr>
                <w:rFonts w:ascii="游ゴシック" w:hAnsi="游ゴシック" w:eastAsia="游ゴシック"/>
                <w:b/>
                <w:i w:val="0"/>
                <w:sz w:val="17"/>
              </w:rPr>
              <w:t>60％</w:t>
            </w:r>
          </w:p>
        </w:tc>
        <w:tc>
          <w:tcPr>
            <w:tcW w:type="dxa" w:w="1701"/>
            <w:vAlign w:val="center"/>
          </w:tcPr>
          <w:p>
            <w:pPr>
              <w:keepNext/>
              <w:spacing w:before="20" w:after="20"/>
              <w:jc w:val="right"/>
            </w:pPr>
            <w:r>
              <w:rPr>
                <w:rFonts w:ascii="游ゴシック" w:hAnsi="游ゴシック" w:eastAsia="游ゴシック"/>
                <w:b w:val="0"/>
                <w:i w:val="0"/>
                <w:sz w:val="17"/>
              </w:rPr>
              <w:t>47.8点</w:t>
            </w:r>
          </w:p>
        </w:tc>
        <w:tc>
          <w:tcPr>
            <w:tcW w:type="dxa" w:w="1701"/>
            <w:vAlign w:val="center"/>
          </w:tcPr>
          <w:p>
            <w:pPr>
              <w:keepNext/>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pStyle w:val="Heading2"/>
        <w:keepNext/>
        <w:spacing w:before="180" w:after="100"/>
      </w:pPr>
      <w:bookmarkStart w:id="110" w:name="_Toc_010"/>
      <w:r>
        <w:rPr>
          <w:rFonts w:ascii="游ゴシック" w:hAnsi="游ゴシック" w:eastAsia="游ゴシック"/>
          <w:b/>
          <w:i w:val="0"/>
          <w:color w:val="2E74B5"/>
          <w:sz w:val="25"/>
        </w:rPr>
        <w:t>(4)　成果指標群　―　4指標は伸び、健康寿命だけが0点のままです</w:t>
      </w:r>
      <w:bookmarkEnd w:id="110"/>
    </w:p>
    <w:p>
      <w:pPr>
        <w:keepNext/>
        <w:spacing w:before="200" w:after="40"/>
      </w:pPr>
      <w:r>
        <w:rPr>
          <w:rFonts w:ascii="游ゴシック" w:hAnsi="游ゴシック" w:eastAsia="游ゴシック"/>
          <w:b/>
          <w:i w:val="0"/>
          <w:color w:val="1F4D78"/>
          <w:sz w:val="22"/>
        </w:rPr>
        <w:t>【図4】成果指標群（目標Ⅳ）の指標別得点と、健康寿命が0点である理由</w:t>
      </w:r>
    </w:p>
    <w:p>
      <w:pPr>
        <w:keepNext/>
        <w:spacing w:before="0" w:after="40"/>
        <w:jc w:val="center"/>
      </w:pPr>
      <w:r>
        <w:drawing>
          <wp:inline xmlns:a="http://schemas.openxmlformats.org/drawingml/2006/main" xmlns:pic="http://schemas.openxmlformats.org/drawingml/2006/picture">
            <wp:extent cx="5400000" cy="2393890"/>
            <wp:docPr id="4" name="Picture 4"/>
            <wp:cNvGraphicFramePr>
              <a:graphicFrameLocks noChangeAspect="1"/>
            </wp:cNvGraphicFramePr>
            <a:graphic>
              <a:graphicData uri="http://schemas.openxmlformats.org/drawingml/2006/picture">
                <pic:pic>
                  <pic:nvPicPr>
                    <pic:cNvPr id="0" name="f49_yokaigo.png"/>
                    <pic:cNvPicPr/>
                  </pic:nvPicPr>
                  <pic:blipFill>
                    <a:blip r:embed="rId16"/>
                    <a:stretch>
                      <a:fillRect/>
                    </a:stretch>
                  </pic:blipFill>
                  <pic:spPr>
                    <a:xfrm>
                      <a:off x="0" y="0"/>
                      <a:ext cx="5400000" cy="2393890"/>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資料：令和8年度交付金の該当状況調査票集計表（市町村分）、及び地域包括ケア「見える化」システム W137・W144・W145。</w:t>
      </w:r>
      <w:r>
        <w:rPr>
          <w:rFonts w:ascii="游ゴシック" w:hAnsi="游ゴシック" w:eastAsia="游ゴシック"/>
          <w:b/>
          <w:i w:val="0"/>
          <w:sz w:val="17"/>
        </w:rPr>
        <w:t>左の令和6年度は令和5年(2023年)の実績、令和8年度は令和6年度(2024年)の実績が評価の対象です。</w:t>
      </w:r>
      <w:r>
        <w:rPr>
          <w:rFonts w:ascii="游ゴシック" w:hAnsi="游ゴシック" w:eastAsia="游ゴシック"/>
          <w:b w:val="0"/>
          <w:i w:val="0"/>
          <w:sz w:val="17"/>
        </w:rPr>
        <w:t>右は令和5年(2023年)の値で、左の令和6年度交付金と同じ時点です。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8"/>
        <w:gridCol w:w="1593"/>
        <w:gridCol w:w="1593"/>
        <w:gridCol w:w="1368"/>
        <w:gridCol w:w="1368"/>
        <w:gridCol w:w="1741"/>
      </w:tblGrid>
      <w:tr>
        <w:tc>
          <w:tcPr>
            <w:tcW w:type="dxa" w:w="208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令和6年度交付金</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令和8年度交付金</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全国平均（令和8年度）</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5点</w:t>
            </w:r>
          </w:p>
        </w:tc>
        <w:tc>
          <w:tcPr>
            <w:tcW w:type="dxa" w:w="1593"/>
            <w:vAlign w:val="center"/>
          </w:tcPr>
          <w:p>
            <w:pPr>
              <w:spacing w:before="20" w:after="20"/>
              <w:jc w:val="right"/>
            </w:pPr>
            <w:r>
              <w:rPr>
                <w:rFonts w:ascii="游ゴシック" w:hAnsi="游ゴシック" w:eastAsia="游ゴシック"/>
                <w:b w:val="0"/>
                <w:i w:val="0"/>
                <w:sz w:val="17"/>
              </w:rPr>
              <w:t>20点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368"/>
            <w:vAlign w:val="center"/>
          </w:tcPr>
          <w:p>
            <w:pPr>
              <w:spacing w:before="20" w:after="20"/>
              <w:jc w:val="right"/>
            </w:pPr>
            <w:r>
              <w:rPr>
                <w:rFonts w:ascii="游ゴシック" w:hAnsi="游ゴシック" w:eastAsia="游ゴシック"/>
                <w:b/>
                <w:i w:val="0"/>
                <w:sz w:val="17"/>
              </w:rPr>
              <w:t>+10点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keepNext/>
              <w:spacing w:before="20" w:after="20"/>
            </w:pPr>
            <w:r>
              <w:rPr>
                <w:rFonts w:ascii="游ゴシック" w:hAnsi="游ゴシック" w:eastAsia="游ゴシック"/>
                <w:b w:val="0"/>
                <w:i w:val="0"/>
                <w:sz w:val="17"/>
              </w:rPr>
              <w:t>健康寿命延伸の状況</w:t>
            </w:r>
          </w:p>
        </w:tc>
        <w:tc>
          <w:tcPr>
            <w:tcW w:type="dxa" w:w="1593"/>
            <w:vAlign w:val="center"/>
          </w:tcPr>
          <w:p>
            <w:pPr>
              <w:keepNext/>
              <w:spacing w:before="20" w:after="20"/>
              <w:jc w:val="right"/>
            </w:pPr>
            <w:r>
              <w:rPr>
                <w:rFonts w:ascii="游ゴシック" w:hAnsi="游ゴシック" w:eastAsia="游ゴシック"/>
                <w:b w:val="0"/>
                <w:i w:val="0"/>
                <w:sz w:val="17"/>
              </w:rPr>
              <w:t>0点</w:t>
            </w:r>
          </w:p>
        </w:tc>
        <w:tc>
          <w:tcPr>
            <w:tcW w:type="dxa" w:w="1593"/>
            <w:vAlign w:val="center"/>
          </w:tcPr>
          <w:p>
            <w:pPr>
              <w:keepNext/>
              <w:spacing w:before="20" w:after="20"/>
              <w:jc w:val="right"/>
            </w:pPr>
            <w:r>
              <w:rPr>
                <w:rFonts w:ascii="游ゴシック" w:hAnsi="游ゴシック" w:eastAsia="游ゴシック"/>
                <w:b w:val="0"/>
                <w:i w:val="0"/>
                <w:sz w:val="17"/>
              </w:rPr>
              <w:t>0点</w:t>
            </w:r>
          </w:p>
        </w:tc>
        <w:tc>
          <w:tcPr>
            <w:tcW w:type="dxa" w:w="1368"/>
            <w:vAlign w:val="center"/>
          </w:tcPr>
          <w:p>
            <w:pPr>
              <w:keepNext/>
              <w:spacing w:before="20" w:after="20"/>
              <w:jc w:val="right"/>
            </w:pPr>
            <w:r>
              <w:rPr>
                <w:rFonts w:ascii="游ゴシック" w:hAnsi="游ゴシック" w:eastAsia="游ゴシック"/>
                <w:b w:val="0"/>
                <w:i w:val="0"/>
                <w:sz w:val="17"/>
              </w:rPr>
              <w:t>±0点</w:t>
            </w:r>
          </w:p>
        </w:tc>
        <w:tc>
          <w:tcPr>
            <w:tcW w:type="dxa" w:w="1368"/>
            <w:vAlign w:val="center"/>
          </w:tcPr>
          <w:p>
            <w:pPr>
              <w:keepNext/>
              <w:spacing w:before="20" w:after="20"/>
              <w:jc w:val="right"/>
            </w:pPr>
            <w:r>
              <w:rPr>
                <w:rFonts w:ascii="游ゴシック" w:hAnsi="游ゴシック" w:eastAsia="游ゴシック"/>
                <w:b w:val="0"/>
                <w:i w:val="0"/>
                <w:sz w:val="17"/>
              </w:rPr>
              <w:t>20点</w:t>
            </w:r>
          </w:p>
        </w:tc>
        <w:tc>
          <w:tcPr>
            <w:tcW w:type="dxa" w:w="1741"/>
            <w:vAlign w:val="center"/>
          </w:tcPr>
          <w:p>
            <w:pPr>
              <w:keepNext/>
              <w:spacing w:before="20" w:after="20"/>
              <w:jc w:val="right"/>
            </w:pPr>
            <w:r>
              <w:rPr>
                <w:rFonts w:ascii="游ゴシック" w:hAnsi="游ゴシック" w:eastAsia="游ゴシック"/>
                <w:b w:val="0"/>
                <w:i w:val="0"/>
                <w:sz w:val="17"/>
              </w:rPr>
              <w:t>11.3点</w:t>
            </w:r>
          </w:p>
        </w:tc>
      </w:tr>
      <w:tr>
        <w:tc>
          <w:tcPr>
            <w:tcW w:type="dxa" w:w="2088"/>
            <w:vAlign w:val="center"/>
          </w:tcPr>
          <w:p>
            <w:pPr>
              <w:spacing w:before="20" w:after="20"/>
            </w:pPr>
            <w:r>
              <w:rPr>
                <w:rFonts w:ascii="游ゴシック" w:hAnsi="游ゴシック" w:eastAsia="游ゴシック"/>
                <w:b/>
                <w:i w:val="0"/>
                <w:sz w:val="17"/>
              </w:rPr>
              <w:t>合計</w:t>
            </w:r>
          </w:p>
        </w:tc>
        <w:tc>
          <w:tcPr>
            <w:tcW w:type="dxa" w:w="1593"/>
            <w:vAlign w:val="center"/>
          </w:tcPr>
          <w:p>
            <w:pPr>
              <w:spacing w:before="20" w:after="20"/>
              <w:jc w:val="right"/>
            </w:pPr>
            <w:r>
              <w:rPr>
                <w:rFonts w:ascii="游ゴシック" w:hAnsi="游ゴシック" w:eastAsia="游ゴシック"/>
                <w:b/>
                <w:i w:val="0"/>
                <w:sz w:val="17"/>
              </w:rPr>
              <w:t>15点</w:t>
            </w:r>
          </w:p>
        </w:tc>
        <w:tc>
          <w:tcPr>
            <w:tcW w:type="dxa" w:w="1593"/>
            <w:vAlign w:val="center"/>
          </w:tcPr>
          <w:p>
            <w:pPr>
              <w:spacing w:before="20" w:after="20"/>
              <w:jc w:val="right"/>
            </w:pPr>
            <w:r>
              <w:rPr>
                <w:rFonts w:ascii="游ゴシック" w:hAnsi="游ゴシック" w:eastAsia="游ゴシック"/>
                <w:b/>
                <w:i w:val="0"/>
                <w:sz w:val="17"/>
              </w:rPr>
              <w:t>60点</w:t>
            </w:r>
          </w:p>
        </w:tc>
        <w:tc>
          <w:tcPr>
            <w:tcW w:type="dxa" w:w="1368"/>
            <w:vAlign w:val="center"/>
          </w:tcPr>
          <w:p>
            <w:pPr>
              <w:spacing w:before="20" w:after="20"/>
              <w:jc w:val="right"/>
            </w:pPr>
            <w:r>
              <w:rPr>
                <w:rFonts w:ascii="游ゴシック" w:hAnsi="游ゴシック" w:eastAsia="游ゴシック"/>
                <w:b/>
                <w:i w:val="0"/>
                <w:sz w:val="17"/>
              </w:rPr>
              <w:t>+45点</w:t>
            </w:r>
          </w:p>
        </w:tc>
        <w:tc>
          <w:tcPr>
            <w:tcW w:type="dxa" w:w="1368"/>
            <w:vAlign w:val="center"/>
          </w:tcPr>
          <w:p>
            <w:pPr>
              <w:spacing w:before="20" w:after="20"/>
              <w:jc w:val="right"/>
            </w:pPr>
            <w:r>
              <w:rPr>
                <w:rFonts w:ascii="游ゴシック" w:hAnsi="游ゴシック" w:eastAsia="游ゴシック"/>
                <w:b/>
                <w:i w:val="0"/>
                <w:sz w:val="17"/>
              </w:rPr>
              <w:t>100点</w:t>
            </w:r>
          </w:p>
        </w:tc>
        <w:tc>
          <w:tcPr>
            <w:tcW w:type="dxa" w:w="1741"/>
            <w:vAlign w:val="center"/>
          </w:tcPr>
          <w:p>
            <w:pPr>
              <w:spacing w:before="20" w:after="20"/>
              <w:jc w:val="right"/>
            </w:pPr>
            <w:r>
              <w:rPr>
                <w:rFonts w:ascii="游ゴシック" w:hAnsi="游ゴシック" w:eastAsia="游ゴシック"/>
                <w:b/>
                <w:i w:val="0"/>
                <w:sz w:val="17"/>
              </w:rPr>
              <w:t>47.8点</w:t>
            </w:r>
          </w:p>
        </w:tc>
      </w:tr>
    </w:tbl>
    <w:p>
      <w:pPr>
        <w:spacing w:after="40"/>
      </w:pPr>
    </w:p>
    <w:p>
      <w:pPr>
        <w:spacing w:before="60" w:after="60"/>
      </w:pPr>
      <w:r>
        <w:rPr>
          <w:rFonts w:ascii="游ゴシック" w:hAnsi="游ゴシック" w:eastAsia="游ゴシック"/>
          <w:b/>
          <w:i w:val="0"/>
          <w:sz w:val="21"/>
        </w:rPr>
        <w:t>成果指標群は15点から60点へ、2年で45点伸びています。</w:t>
      </w:r>
      <w:r>
        <w:rPr>
          <w:rFonts w:ascii="游ゴシック" w:hAnsi="游ゴシック" w:eastAsia="游ゴシック"/>
          <w:b w:val="0"/>
          <w:i w:val="0"/>
          <w:sz w:val="21"/>
        </w:rPr>
        <w:t>同じ期間に全国平均はほとんど動いておらず（48.6点→47.8点）、小野町だけが伸びた形です。</w:t>
      </w:r>
      <w:r>
        <w:rPr>
          <w:rFonts w:ascii="游ゴシック" w:hAnsi="游ゴシック" w:eastAsia="游ゴシック"/>
          <w:b/>
          <w:i w:val="0"/>
          <w:sz w:val="21"/>
        </w:rPr>
        <w:t>要介護3〜5の短期的な変化は配点満点に達しました。</w:t>
      </w:r>
    </w:p>
    <w:p>
      <w:pPr>
        <w:spacing w:before="60" w:after="60"/>
      </w:pPr>
      <w:r>
        <w:rPr>
          <w:rFonts w:ascii="游ゴシック" w:hAnsi="游ゴシック" w:eastAsia="游ゴシック"/>
          <w:b/>
          <w:i w:val="0"/>
          <w:sz w:val="21"/>
        </w:rPr>
        <w:t>残る0点は「健康寿命延伸の状況」だけです。</w:t>
      </w:r>
      <w:r>
        <w:rPr>
          <w:rFonts w:ascii="游ゴシック" w:hAnsi="游ゴシック" w:eastAsia="游ゴシック"/>
          <w:b w:val="0"/>
          <w:i w:val="0"/>
          <w:sz w:val="21"/>
        </w:rPr>
        <w:t>これは性・年齢調整済みの要介護2以上の認定率と、その変化率で測ります。</w:t>
      </w:r>
      <w:r>
        <w:rPr>
          <w:rFonts w:ascii="游ゴシック" w:hAnsi="游ゴシック" w:eastAsia="游ゴシック"/>
          <w:b/>
          <w:i w:val="0"/>
          <w:sz w:val="21"/>
        </w:rPr>
        <w:t>小野町は14.28％で、全国8.99％・福島県10.09％より高く、しかも前年から+2.34％と上がっています</w:t>
      </w:r>
      <w:r>
        <w:rPr>
          <w:rFonts w:ascii="游ゴシック" w:hAnsi="游ゴシック" w:eastAsia="游ゴシック"/>
          <w:b w:val="0"/>
          <w:i w:val="0"/>
          <w:sz w:val="21"/>
        </w:rPr>
        <w:t>（全国-0.37％・福島県-0.54％は下がっています）。</w:t>
      </w:r>
    </w:p>
    <w:p>
      <w:pPr>
        <w:spacing w:before="60" w:after="60"/>
      </w:pPr>
      <w:r>
        <w:rPr>
          <w:rFonts w:ascii="游ゴシック" w:hAnsi="游ゴシック" w:eastAsia="游ゴシック"/>
          <w:b/>
          <w:i w:val="0"/>
          <w:sz w:val="21"/>
        </w:rPr>
        <w:t>ここは1年や2年で動く指標ではありません。</w:t>
      </w:r>
      <w:r>
        <w:rPr>
          <w:rFonts w:ascii="游ゴシック" w:hAnsi="游ゴシック" w:eastAsia="游ゴシック"/>
          <w:b w:val="0"/>
          <w:i w:val="0"/>
          <w:sz w:val="21"/>
        </w:rPr>
        <w:t>認定率そのものを下げる必要があり、介護予防・重度化防止の積み上げでしか動きません。</w:t>
      </w:r>
      <w:r>
        <w:rPr>
          <w:rFonts w:ascii="游ゴシック" w:hAnsi="游ゴシック" w:eastAsia="游ゴシック"/>
          <w:b/>
          <w:i w:val="0"/>
          <w:sz w:val="21"/>
        </w:rPr>
        <w:t>第10期の成果指標としては、認定率そのものではなく、それを下げるための取組の量（通いの場の参加率、地域ケア会議の検討件数など）を置くほうが、年次の評価に耐えます。</w:t>
      </w:r>
    </w:p>
    <w:p>
      <w:pPr>
        <w:spacing w:before="60" w:after="60"/>
      </w:pPr>
      <w:r>
        <w:rPr>
          <w:rFonts w:ascii="游ゴシック" w:hAnsi="游ゴシック" w:eastAsia="游ゴシック"/>
          <w:b/>
          <w:i w:val="0"/>
          <w:sz w:val="21"/>
        </w:rPr>
        <w:t>なお、令和7年9月審査分の認定者数の断層（2-4）は、この指標の見え方にも効いてきます。</w:t>
      </w:r>
      <w:r>
        <w:rPr>
          <w:rFonts w:ascii="游ゴシック" w:hAnsi="游ゴシック" w:eastAsia="游ゴシック"/>
          <w:b w:val="0"/>
          <w:i w:val="0"/>
          <w:sz w:val="21"/>
        </w:rPr>
        <w:t>認定者数が計上の変更で減れば認定率も下がりますが、それは実態の改善ではありません。</w:t>
      </w:r>
      <w:r>
        <w:rPr>
          <w:rFonts w:ascii="游ゴシック" w:hAnsi="游ゴシック" w:eastAsia="游ゴシック"/>
          <w:b/>
          <w:i w:val="0"/>
          <w:sz w:val="21"/>
        </w:rPr>
        <w:t>令和9年度以降の評価で認定率が急に下がった場合は、改善と読む前に計上方法を確かめる必要があります。</w:t>
      </w:r>
    </w:p>
    <w:p>
      <w:pPr>
        <w:pStyle w:val="Heading2"/>
        <w:keepNext/>
        <w:spacing w:before="180" w:after="100"/>
      </w:pPr>
      <w:bookmarkStart w:id="111" w:name="_Toc_011"/>
      <w:r>
        <w:rPr>
          <w:rFonts w:ascii="游ゴシック" w:hAnsi="游ゴシック" w:eastAsia="游ゴシック"/>
          <w:b/>
          <w:i w:val="0"/>
          <w:color w:val="2E74B5"/>
          <w:sz w:val="25"/>
        </w:rPr>
        <w:t>(5)　得点の推移　―　2年で大きく伸びています</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keepNext/>
              <w:spacing w:before="20" w:after="20"/>
            </w:pPr>
            <w:r>
              <w:rPr>
                <w:rFonts w:ascii="游ゴシック" w:hAnsi="游ゴシック" w:eastAsia="游ゴシック"/>
                <w:b w:val="0"/>
                <w:i w:val="0"/>
                <w:sz w:val="17"/>
              </w:rPr>
              <w:t>令和7年度交付金</w:t>
            </w:r>
          </w:p>
        </w:tc>
        <w:tc>
          <w:tcPr>
            <w:tcW w:type="dxa" w:w="1466"/>
            <w:vAlign w:val="center"/>
          </w:tcPr>
          <w:p>
            <w:pPr>
              <w:keepNext/>
              <w:spacing w:before="20" w:after="20"/>
            </w:pPr>
            <w:r>
              <w:rPr>
                <w:rFonts w:ascii="游ゴシック" w:hAnsi="游ゴシック" w:eastAsia="游ゴシック"/>
                <w:b w:val="0"/>
                <w:i w:val="0"/>
                <w:sz w:val="17"/>
              </w:rPr>
              <w:t>令和6年度</w:t>
            </w:r>
          </w:p>
        </w:tc>
        <w:tc>
          <w:tcPr>
            <w:tcW w:type="dxa" w:w="1399"/>
            <w:vAlign w:val="center"/>
          </w:tcPr>
          <w:p>
            <w:pPr>
              <w:keepNext/>
              <w:spacing w:before="20" w:after="20"/>
              <w:jc w:val="right"/>
            </w:pPr>
            <w:r>
              <w:rPr>
                <w:rFonts w:ascii="游ゴシック" w:hAnsi="游ゴシック" w:eastAsia="游ゴシック"/>
                <w:b w:val="0"/>
                <w:i w:val="0"/>
                <w:sz w:val="17"/>
              </w:rPr>
              <w:t>324点</w:t>
            </w:r>
          </w:p>
        </w:tc>
        <w:tc>
          <w:tcPr>
            <w:tcW w:type="dxa" w:w="1528"/>
            <w:vAlign w:val="center"/>
          </w:tcPr>
          <w:p>
            <w:pPr>
              <w:keepNext/>
              <w:spacing w:before="20" w:after="20"/>
              <w:jc w:val="right"/>
            </w:pPr>
            <w:r>
              <w:rPr>
                <w:rFonts w:ascii="游ゴシック" w:hAnsi="游ゴシック" w:eastAsia="游ゴシック"/>
                <w:b w:val="0"/>
                <w:i w:val="0"/>
                <w:sz w:val="17"/>
              </w:rPr>
              <w:t>433.8点</w:t>
            </w:r>
          </w:p>
        </w:tc>
        <w:tc>
          <w:tcPr>
            <w:tcW w:type="dxa" w:w="1399"/>
            <w:vAlign w:val="center"/>
          </w:tcPr>
          <w:p>
            <w:pPr>
              <w:keepNext/>
              <w:spacing w:before="20" w:after="20"/>
              <w:jc w:val="right"/>
            </w:pPr>
            <w:r>
              <w:rPr>
                <w:rFonts w:ascii="游ゴシック" w:hAnsi="游ゴシック" w:eastAsia="游ゴシック"/>
                <w:b w:val="0"/>
                <w:i w:val="0"/>
                <w:sz w:val="17"/>
              </w:rPr>
              <w:t>75％</w:t>
            </w:r>
          </w:p>
        </w:tc>
        <w:tc>
          <w:tcPr>
            <w:tcW w:type="dxa" w:w="2314"/>
            <w:vAlign w:val="center"/>
          </w:tcPr>
          <w:p>
            <w:pPr>
              <w:keepNext/>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pStyle w:val="Heading1"/>
        <w:keepNext/>
        <w:spacing w:before="240" w:after="100"/>
      </w:pPr>
      <w:bookmarkStart w:id="112" w:name="_Toc_012"/>
      <w:r>
        <w:rPr>
          <w:rFonts w:ascii="游ゴシック" w:hAnsi="游ゴシック" w:eastAsia="游ゴシック"/>
          <w:b/>
          <w:i w:val="0"/>
          <w:color w:val="2E74B5"/>
          <w:sz w:val="30"/>
        </w:rPr>
        <w:t>3　介護給付適正化　―　弱点ではなく強みです</w:t>
      </w:r>
      <w:bookmarkEnd w:id="112"/>
    </w:p>
    <w:p>
      <w:pPr>
        <w:pStyle w:val="Heading2"/>
        <w:keepNext/>
        <w:spacing w:before="180" w:after="100"/>
      </w:pPr>
      <w:bookmarkStart w:id="113" w:name="_Toc_013"/>
      <w:r>
        <w:rPr>
          <w:rFonts w:ascii="游ゴシック" w:hAnsi="游ゴシック" w:eastAsia="游ゴシック"/>
          <w:b/>
          <w:i w:val="0"/>
          <w:color w:val="2E74B5"/>
          <w:sz w:val="25"/>
        </w:rPr>
        <w:t>(1)　目標Ⅱの得点</w:t>
      </w:r>
      <w:bookmarkEnd w:id="113"/>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keepNext/>
              <w:spacing w:before="20" w:after="20"/>
            </w:pPr>
            <w:r>
              <w:rPr>
                <w:rFonts w:ascii="游ゴシック" w:hAnsi="游ゴシック" w:eastAsia="游ゴシック"/>
                <w:b w:val="0"/>
                <w:i w:val="0"/>
                <w:sz w:val="17"/>
              </w:rPr>
              <w:t>×</w:t>
            </w:r>
          </w:p>
        </w:tc>
        <w:tc>
          <w:tcPr>
            <w:tcW w:type="dxa" w:w="1636"/>
            <w:vAlign w:val="center"/>
          </w:tcPr>
          <w:p>
            <w:pPr>
              <w:keepNext/>
              <w:spacing w:before="20" w:after="20"/>
            </w:pPr>
            <w:r>
              <w:rPr>
                <w:rFonts w:ascii="游ゴシック" w:hAnsi="游ゴシック" w:eastAsia="游ゴシック"/>
                <w:b w:val="0"/>
                <w:i w:val="0"/>
                <w:sz w:val="17"/>
              </w:rPr>
              <w:t>活動</w:t>
            </w:r>
          </w:p>
        </w:tc>
        <w:tc>
          <w:tcPr>
            <w:tcW w:type="dxa" w:w="2246"/>
            <w:vAlign w:val="center"/>
          </w:tcPr>
          <w:p>
            <w:pPr>
              <w:keepNext/>
              <w:spacing w:before="20" w:after="20"/>
            </w:pPr>
            <w:r>
              <w:rPr>
                <w:rFonts w:ascii="游ゴシック" w:hAnsi="游ゴシック" w:eastAsia="游ゴシック"/>
                <w:b w:val="0"/>
                <w:i w:val="0"/>
                <w:sz w:val="17"/>
              </w:rPr>
              <w:t>ケアプラン点検の実施状況</w:t>
            </w:r>
          </w:p>
        </w:tc>
        <w:tc>
          <w:tcPr>
            <w:tcW w:type="dxa" w:w="1447"/>
            <w:vAlign w:val="center"/>
          </w:tcPr>
          <w:p>
            <w:pPr>
              <w:keepNext/>
              <w:spacing w:before="20" w:after="20"/>
              <w:jc w:val="right"/>
            </w:pPr>
            <w:r>
              <w:rPr>
                <w:rFonts w:ascii="游ゴシック" w:hAnsi="游ゴシック" w:eastAsia="游ゴシック"/>
                <w:b w:val="0"/>
                <w:i w:val="0"/>
                <w:sz w:val="17"/>
              </w:rPr>
              <w:t>16点</w:t>
            </w:r>
          </w:p>
        </w:tc>
        <w:tc>
          <w:tcPr>
            <w:tcW w:type="dxa" w:w="1447"/>
            <w:vAlign w:val="center"/>
          </w:tcPr>
          <w:p>
            <w:pPr>
              <w:keepNext/>
              <w:spacing w:before="20" w:after="20"/>
              <w:jc w:val="right"/>
            </w:pPr>
            <w:r>
              <w:rPr>
                <w:rFonts w:ascii="游ゴシック" w:hAnsi="游ゴシック" w:eastAsia="游ゴシック"/>
                <w:b/>
                <w:i w:val="0"/>
                <w:sz w:val="17"/>
              </w:rPr>
              <w:t>0点</w:t>
            </w:r>
          </w:p>
        </w:tc>
        <w:tc>
          <w:tcPr>
            <w:tcW w:type="dxa" w:w="1636"/>
            <w:vAlign w:val="center"/>
          </w:tcPr>
          <w:p>
            <w:pPr>
              <w:keepNext/>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pStyle w:val="Heading2"/>
        <w:keepNext/>
        <w:spacing w:before="180" w:after="100"/>
      </w:pPr>
      <w:bookmarkStart w:id="114" w:name="_Toc_014"/>
      <w:r>
        <w:rPr>
          <w:rFonts w:ascii="游ゴシック" w:hAnsi="游ゴシック" w:eastAsia="游ゴシック"/>
          <w:b/>
          <w:i w:val="0"/>
          <w:color w:val="2E74B5"/>
          <w:sz w:val="25"/>
        </w:rPr>
        <w:t>(2)　主要3事業の状況</w:t>
      </w:r>
      <w:bookmarkEnd w:id="114"/>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keepNext/>
              <w:spacing w:before="20" w:after="20"/>
            </w:pPr>
            <w:r>
              <w:rPr>
                <w:rFonts w:ascii="游ゴシック" w:hAnsi="游ゴシック" w:eastAsia="游ゴシック"/>
                <w:b w:val="0"/>
                <w:i w:val="0"/>
                <w:sz w:val="17"/>
              </w:rPr>
              <w:t>② ケアプラン等の点検</w:t>
            </w:r>
          </w:p>
        </w:tc>
        <w:tc>
          <w:tcPr>
            <w:tcW w:type="dxa" w:w="2564"/>
            <w:vAlign w:val="center"/>
          </w:tcPr>
          <w:p>
            <w:pPr>
              <w:keepNext/>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keepNext/>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keepNext/>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pStyle w:val="Heading2"/>
        <w:keepNext/>
        <w:spacing w:before="180" w:after="100"/>
      </w:pPr>
      <w:bookmarkStart w:id="115" w:name="_Toc_015"/>
      <w:r>
        <w:rPr>
          <w:rFonts w:ascii="游ゴシック" w:hAnsi="游ゴシック" w:eastAsia="游ゴシック"/>
          <w:b/>
          <w:i w:val="0"/>
          <w:color w:val="2E74B5"/>
          <w:sz w:val="25"/>
        </w:rPr>
        <w:t>(3)　68点は計画の記載に支えられています</w:t>
      </w:r>
      <w:bookmarkEnd w:id="115"/>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keepNext/>
              <w:spacing w:before="20" w:after="20"/>
            </w:pPr>
            <w:r>
              <w:rPr>
                <w:rFonts w:ascii="游ゴシック" w:hAnsi="游ゴシック" w:eastAsia="游ゴシック"/>
                <w:b w:val="0"/>
                <w:i w:val="0"/>
                <w:sz w:val="17"/>
              </w:rPr>
              <w:t>ウ</w:t>
            </w:r>
          </w:p>
        </w:tc>
        <w:tc>
          <w:tcPr>
            <w:tcW w:type="dxa" w:w="5344"/>
            <w:vAlign w:val="center"/>
          </w:tcPr>
          <w:p>
            <w:pPr>
              <w:keepNext/>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keepNext/>
              <w:spacing w:before="20" w:after="20"/>
              <w:jc w:val="right"/>
            </w:pPr>
            <w:r>
              <w:rPr>
                <w:rFonts w:ascii="游ゴシック" w:hAnsi="游ゴシック" w:eastAsia="游ゴシック"/>
                <w:b w:val="0"/>
                <w:i w:val="0"/>
                <w:sz w:val="17"/>
              </w:rPr>
              <w:t>8点</w:t>
            </w:r>
          </w:p>
        </w:tc>
        <w:tc>
          <w:tcPr>
            <w:tcW w:type="dxa" w:w="1560"/>
            <w:vAlign w:val="center"/>
          </w:tcPr>
          <w:p>
            <w:pPr>
              <w:keepNext/>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pStyle w:val="Heading2"/>
        <w:keepNext/>
        <w:spacing w:before="180" w:after="100"/>
      </w:pPr>
      <w:bookmarkStart w:id="116" w:name="_Toc_016"/>
      <w:r>
        <w:rPr>
          <w:rFonts w:ascii="游ゴシック" w:hAnsi="游ゴシック" w:eastAsia="游ゴシック"/>
          <w:b/>
          <w:i w:val="0"/>
          <w:color w:val="2E74B5"/>
          <w:sz w:val="25"/>
        </w:rPr>
        <w:t>(4)　0点はケアプラン点検の実施割合だけ</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keepNext/>
              <w:spacing w:before="20" w:after="20"/>
            </w:pPr>
            <w:r>
              <w:rPr>
                <w:rFonts w:ascii="游ゴシック" w:hAnsi="游ゴシック" w:eastAsia="游ゴシック"/>
                <w:b w:val="0"/>
                <w:i w:val="0"/>
                <w:sz w:val="17"/>
              </w:rPr>
              <w:t>ケアプラン点検の実施割合</w:t>
            </w:r>
          </w:p>
        </w:tc>
        <w:tc>
          <w:tcPr>
            <w:tcW w:type="dxa" w:w="1644"/>
            <w:vAlign w:val="center"/>
          </w:tcPr>
          <w:p>
            <w:pPr>
              <w:keepNext/>
              <w:spacing w:before="20" w:after="20"/>
            </w:pPr>
            <w:r>
              <w:rPr>
                <w:rFonts w:ascii="游ゴシック" w:hAnsi="游ゴシック" w:eastAsia="游ゴシック"/>
                <w:b w:val="0"/>
                <w:i w:val="0"/>
                <w:sz w:val="17"/>
              </w:rPr>
              <w:t>令和6年度実績</w:t>
            </w:r>
          </w:p>
        </w:tc>
        <w:tc>
          <w:tcPr>
            <w:tcW w:type="dxa" w:w="1359"/>
            <w:vAlign w:val="center"/>
          </w:tcPr>
          <w:p>
            <w:pPr>
              <w:keepNext/>
              <w:spacing w:before="20" w:after="20"/>
              <w:jc w:val="right"/>
            </w:pPr>
            <w:r>
              <w:rPr>
                <w:rFonts w:ascii="游ゴシック" w:hAnsi="游ゴシック" w:eastAsia="游ゴシック"/>
                <w:b w:val="0"/>
                <w:i w:val="0"/>
                <w:sz w:val="17"/>
              </w:rPr>
              <w:t>16点</w:t>
            </w:r>
          </w:p>
        </w:tc>
        <w:tc>
          <w:tcPr>
            <w:tcW w:type="dxa" w:w="1359"/>
            <w:vAlign w:val="center"/>
          </w:tcPr>
          <w:p>
            <w:pPr>
              <w:keepNext/>
              <w:spacing w:before="20" w:after="20"/>
              <w:jc w:val="right"/>
            </w:pPr>
            <w:r>
              <w:rPr>
                <w:rFonts w:ascii="游ゴシック" w:hAnsi="游ゴシック" w:eastAsia="游ゴシック"/>
                <w:b/>
                <w:i w:val="0"/>
                <w:sz w:val="17"/>
              </w:rPr>
              <w:t>0点</w:t>
            </w:r>
          </w:p>
        </w:tc>
        <w:tc>
          <w:tcPr>
            <w:tcW w:type="dxa" w:w="1510"/>
            <w:vAlign w:val="center"/>
          </w:tcPr>
          <w:p>
            <w:pPr>
              <w:keepNext/>
              <w:spacing w:before="20" w:after="20"/>
              <w:jc w:val="right"/>
            </w:pPr>
            <w:r>
              <w:rPr>
                <w:rFonts w:ascii="游ゴシック" w:hAnsi="游ゴシック" w:eastAsia="游ゴシック"/>
                <w:b w:val="0"/>
                <w:i w:val="0"/>
                <w:sz w:val="17"/>
              </w:rPr>
              <w:t>6.7点</w:t>
            </w:r>
          </w:p>
        </w:tc>
        <w:tc>
          <w:tcPr>
            <w:tcW w:type="dxa" w:w="1884"/>
            <w:vAlign w:val="center"/>
          </w:tcPr>
          <w:p>
            <w:pPr>
              <w:keepNext/>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pStyle w:val="Heading1"/>
        <w:keepNext/>
        <w:spacing w:before="240" w:after="100"/>
      </w:pPr>
      <w:bookmarkStart w:id="117" w:name="_Toc_017"/>
      <w:r>
        <w:rPr>
          <w:rFonts w:ascii="游ゴシック" w:hAnsi="游ゴシック" w:eastAsia="游ゴシック"/>
          <w:b/>
          <w:i w:val="0"/>
          <w:color w:val="2E74B5"/>
          <w:sz w:val="30"/>
        </w:rPr>
        <w:t>4　財政調整交付金への影響　―　保険料に効きます</w:t>
      </w:r>
      <w:bookmarkEnd w:id="117"/>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keepNext/>
              <w:spacing w:before="20" w:after="20"/>
            </w:pPr>
            <w:r>
              <w:rPr>
                <w:rFonts w:ascii="游ゴシック" w:hAnsi="游ゴシック" w:eastAsia="游ゴシック"/>
                <w:b/>
                <w:i w:val="0"/>
                <w:sz w:val="17"/>
              </w:rPr>
              <w:t>影響の向き</w:t>
            </w:r>
          </w:p>
        </w:tc>
        <w:tc>
          <w:tcPr>
            <w:tcW w:type="dxa" w:w="7710"/>
            <w:vAlign w:val="center"/>
          </w:tcPr>
          <w:p>
            <w:pPr>
              <w:keepNext/>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pStyle w:val="Heading1"/>
        <w:keepNext/>
        <w:spacing w:before="240" w:after="100"/>
      </w:pPr>
      <w:bookmarkStart w:id="118" w:name="_Toc_018"/>
      <w:r>
        <w:rPr>
          <w:rFonts w:ascii="游ゴシック" w:hAnsi="游ゴシック" w:eastAsia="游ゴシック"/>
          <w:b/>
          <w:i w:val="0"/>
          <w:color w:val="2E74B5"/>
          <w:sz w:val="30"/>
        </w:rPr>
        <w:t>5　最大の弱点　―　在宅医療・在宅介護連携</w:t>
      </w:r>
      <w:bookmarkEnd w:id="118"/>
    </w:p>
    <w:p>
      <w:pPr>
        <w:pStyle w:val="Heading2"/>
        <w:keepNext/>
        <w:spacing w:before="180" w:after="100"/>
      </w:pPr>
      <w:bookmarkStart w:id="119" w:name="_Toc_019"/>
      <w:r>
        <w:rPr>
          <w:rFonts w:ascii="游ゴシック" w:hAnsi="游ゴシック" w:eastAsia="游ゴシック"/>
          <w:b/>
          <w:i w:val="0"/>
          <w:color w:val="2E74B5"/>
          <w:sz w:val="25"/>
        </w:rPr>
        <w:t>(1)　支援Ⅲの得点</w:t>
      </w:r>
      <w:bookmarkEnd w:id="119"/>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keepNext/>
              <w:spacing w:before="20" w:after="20"/>
            </w:pPr>
            <w:r>
              <w:rPr>
                <w:rFonts w:ascii="游ゴシック" w:hAnsi="游ゴシック" w:eastAsia="游ゴシック"/>
                <w:b w:val="0"/>
                <w:i w:val="0"/>
                <w:sz w:val="17"/>
              </w:rPr>
              <w:t>○</w:t>
            </w:r>
          </w:p>
        </w:tc>
        <w:tc>
          <w:tcPr>
            <w:tcW w:type="dxa" w:w="1553"/>
            <w:vAlign w:val="center"/>
          </w:tcPr>
          <w:p>
            <w:pPr>
              <w:keepNext/>
              <w:spacing w:before="20" w:after="20"/>
            </w:pPr>
            <w:r>
              <w:rPr>
                <w:rFonts w:ascii="游ゴシック" w:hAnsi="游ゴシック" w:eastAsia="游ゴシック"/>
                <w:b w:val="0"/>
                <w:i w:val="0"/>
                <w:sz w:val="17"/>
              </w:rPr>
              <w:t>活動</w:t>
            </w:r>
          </w:p>
        </w:tc>
        <w:tc>
          <w:tcPr>
            <w:tcW w:type="dxa" w:w="2569"/>
            <w:vAlign w:val="center"/>
          </w:tcPr>
          <w:p>
            <w:pPr>
              <w:keepNext/>
              <w:spacing w:before="20" w:after="20"/>
            </w:pPr>
            <w:r>
              <w:rPr>
                <w:rFonts w:ascii="游ゴシック" w:hAnsi="游ゴシック" w:eastAsia="游ゴシック"/>
                <w:b w:val="0"/>
                <w:i w:val="0"/>
                <w:sz w:val="17"/>
              </w:rPr>
              <w:t>入退院支援の実施状況</w:t>
            </w:r>
          </w:p>
        </w:tc>
        <w:tc>
          <w:tcPr>
            <w:tcW w:type="dxa" w:w="1389"/>
            <w:vAlign w:val="center"/>
          </w:tcPr>
          <w:p>
            <w:pPr>
              <w:keepNext/>
              <w:spacing w:before="20" w:after="20"/>
              <w:jc w:val="right"/>
            </w:pPr>
            <w:r>
              <w:rPr>
                <w:rFonts w:ascii="游ゴシック" w:hAnsi="游ゴシック" w:eastAsia="游ゴシック"/>
                <w:b w:val="0"/>
                <w:i w:val="0"/>
                <w:sz w:val="17"/>
              </w:rPr>
              <w:t>16点</w:t>
            </w:r>
          </w:p>
        </w:tc>
        <w:tc>
          <w:tcPr>
            <w:tcW w:type="dxa" w:w="1389"/>
            <w:vAlign w:val="center"/>
          </w:tcPr>
          <w:p>
            <w:pPr>
              <w:keepNext/>
              <w:spacing w:before="20" w:after="20"/>
              <w:jc w:val="right"/>
            </w:pPr>
            <w:r>
              <w:rPr>
                <w:rFonts w:ascii="游ゴシック" w:hAnsi="游ゴシック" w:eastAsia="游ゴシック"/>
                <w:b/>
                <w:i w:val="0"/>
                <w:sz w:val="17"/>
              </w:rPr>
              <w:t>8点</w:t>
            </w:r>
          </w:p>
        </w:tc>
        <w:tc>
          <w:tcPr>
            <w:tcW w:type="dxa" w:w="1553"/>
            <w:vAlign w:val="center"/>
          </w:tcPr>
          <w:p>
            <w:pPr>
              <w:keepNext/>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pStyle w:val="Heading2"/>
        <w:keepNext/>
        <w:spacing w:before="180" w:after="100"/>
      </w:pPr>
      <w:bookmarkStart w:id="120" w:name="_Toc_020"/>
      <w:r>
        <w:rPr>
          <w:rFonts w:ascii="游ゴシック" w:hAnsi="游ゴシック" w:eastAsia="游ゴシック"/>
          <w:b/>
          <w:i w:val="0"/>
          <w:color w:val="2E74B5"/>
          <w:sz w:val="25"/>
        </w:rPr>
        <w:t>(2)　0点になっている5つの枝番</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keepNext/>
              <w:spacing w:before="20" w:after="20"/>
            </w:pPr>
            <w:r>
              <w:rPr>
                <w:rFonts w:ascii="游ゴシック" w:hAnsi="游ゴシック" w:eastAsia="游ゴシック"/>
                <w:b w:val="0"/>
                <w:i w:val="0"/>
                <w:sz w:val="17"/>
              </w:rPr>
              <w:t>具体的取組状況</w:t>
            </w:r>
          </w:p>
        </w:tc>
        <w:tc>
          <w:tcPr>
            <w:tcW w:type="dxa" w:w="1247"/>
            <w:vAlign w:val="center"/>
          </w:tcPr>
          <w:p>
            <w:pPr>
              <w:keepNext/>
              <w:spacing w:before="20" w:after="20"/>
            </w:pPr>
            <w:r>
              <w:rPr>
                <w:rFonts w:ascii="游ゴシック" w:hAnsi="游ゴシック" w:eastAsia="游ゴシック"/>
                <w:b w:val="0"/>
                <w:i w:val="0"/>
                <w:sz w:val="17"/>
              </w:rPr>
              <w:t>ウ</w:t>
            </w:r>
          </w:p>
        </w:tc>
        <w:tc>
          <w:tcPr>
            <w:tcW w:type="dxa" w:w="4106"/>
            <w:vAlign w:val="center"/>
          </w:tcPr>
          <w:p>
            <w:pPr>
              <w:keepNext/>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keepNext/>
              <w:spacing w:before="20" w:after="20"/>
              <w:jc w:val="right"/>
            </w:pPr>
            <w:r>
              <w:rPr>
                <w:rFonts w:ascii="游ゴシック" w:hAnsi="游ゴシック" w:eastAsia="游ゴシック"/>
                <w:b w:val="0"/>
                <w:i w:val="0"/>
                <w:sz w:val="17"/>
              </w:rPr>
              <w:t>5点</w:t>
            </w:r>
          </w:p>
        </w:tc>
        <w:tc>
          <w:tcPr>
            <w:tcW w:type="dxa" w:w="1460"/>
            <w:vAlign w:val="center"/>
          </w:tcPr>
          <w:p>
            <w:pPr>
              <w:keepNext/>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pStyle w:val="Heading2"/>
        <w:keepNext/>
        <w:spacing w:before="180" w:after="100"/>
      </w:pPr>
      <w:bookmarkStart w:id="121" w:name="_Toc_021"/>
      <w:r>
        <w:rPr>
          <w:rFonts w:ascii="游ゴシック" w:hAnsi="游ゴシック" w:eastAsia="游ゴシック"/>
          <w:b/>
          <w:i w:val="0"/>
          <w:color w:val="2E74B5"/>
          <w:sz w:val="25"/>
        </w:rPr>
        <w:t>(3)　第10期計画で書けること</w:t>
      </w:r>
      <w:bookmarkEnd w:id="121"/>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pStyle w:val="Heading2"/>
        <w:keepNext/>
        <w:spacing w:before="180" w:after="100"/>
      </w:pPr>
      <w:bookmarkStart w:id="122" w:name="_Toc_022"/>
      <w:r>
        <w:rPr>
          <w:rFonts w:ascii="游ゴシック" w:hAnsi="游ゴシック" w:eastAsia="游ゴシック"/>
          <w:b/>
          <w:i w:val="0"/>
          <w:color w:val="2E74B5"/>
          <w:sz w:val="25"/>
        </w:rPr>
        <w:t>(4)　活動指標群　―　入院時は上位1割、退院時は上位7割にも入っていない</w:t>
      </w:r>
      <w:bookmarkEnd w:id="122"/>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keepNext/>
              <w:spacing w:before="20" w:after="20"/>
            </w:pPr>
            <w:r>
              <w:rPr>
                <w:rFonts w:ascii="游ゴシック" w:hAnsi="游ゴシック" w:eastAsia="游ゴシック"/>
                <w:b w:val="0"/>
                <w:i w:val="0"/>
                <w:sz w:val="17"/>
              </w:rPr>
              <w:t>人生の最終段階における支援</w:t>
            </w:r>
          </w:p>
        </w:tc>
        <w:tc>
          <w:tcPr>
            <w:tcW w:type="dxa" w:w="1288"/>
            <w:vAlign w:val="center"/>
          </w:tcPr>
          <w:p>
            <w:pPr>
              <w:keepNext/>
              <w:spacing w:before="20" w:after="20"/>
            </w:pPr>
            <w:r>
              <w:rPr>
                <w:rFonts w:ascii="游ゴシック" w:hAnsi="游ゴシック" w:eastAsia="游ゴシック"/>
                <w:b w:val="0"/>
                <w:i w:val="0"/>
                <w:sz w:val="17"/>
              </w:rPr>
              <w:t>ア</w:t>
            </w:r>
          </w:p>
        </w:tc>
        <w:tc>
          <w:tcPr>
            <w:tcW w:type="dxa" w:w="2904"/>
            <w:vAlign w:val="center"/>
          </w:tcPr>
          <w:p>
            <w:pPr>
              <w:keepNext/>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keepNext/>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keepNext/>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keepNext/>
        <w:spacing w:before="200" w:after="40"/>
      </w:pPr>
      <w:r>
        <w:rPr>
          <w:rFonts w:ascii="游ゴシック" w:hAnsi="游ゴシック" w:eastAsia="游ゴシック"/>
          <w:b/>
          <w:i w:val="0"/>
          <w:color w:val="1F4D78"/>
          <w:sz w:val="22"/>
        </w:rPr>
        <w:t>【図5】入退院支援と人生の最終段階における支援の位置（活動指標群）</w:t>
      </w:r>
    </w:p>
    <w:p>
      <w:pPr>
        <w:keepNext/>
        <w:spacing w:before="0" w:after="40"/>
        <w:jc w:val="center"/>
      </w:pPr>
      <w:r>
        <w:drawing>
          <wp:inline xmlns:a="http://schemas.openxmlformats.org/drawingml/2006/main" xmlns:pic="http://schemas.openxmlformats.org/drawingml/2006/picture">
            <wp:extent cx="5400000" cy="2173897"/>
            <wp:docPr id="5" name="Picture 5"/>
            <wp:cNvGraphicFramePr>
              <a:graphicFrameLocks noChangeAspect="1"/>
            </wp:cNvGraphicFramePr>
            <a:graphic>
              <a:graphicData uri="http://schemas.openxmlformats.org/drawingml/2006/picture">
                <pic:pic>
                  <pic:nvPicPr>
                    <pic:cNvPr id="0" name="f46_nyutaiin.png"/>
                    <pic:cNvPicPr/>
                  </pic:nvPicPr>
                  <pic:blipFill>
                    <a:blip r:embed="rId17"/>
                    <a:stretch>
                      <a:fillRect/>
                    </a:stretch>
                  </pic:blipFill>
                  <pic:spPr>
                    <a:xfrm>
                      <a:off x="0" y="0"/>
                      <a:ext cx="5400000" cy="2173897"/>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資料：令和8年度保険者機能強化推進交付金・介護保険保険者努力支援交付金（市町村分）該当状況調査票集計表。</w:t>
      </w:r>
      <w:r>
        <w:rPr>
          <w:rFonts w:ascii="游ゴシック" w:hAnsi="游ゴシック" w:eastAsia="游ゴシック"/>
          <w:b/>
          <w:i w:val="0"/>
          <w:sz w:val="17"/>
        </w:rPr>
        <w:t>入院時は配点満点（上位1割）である一方、退院時は上位7割にも入っていない。</w:t>
      </w:r>
      <w:r>
        <w:rPr>
          <w:rFonts w:ascii="游ゴシック" w:hAnsi="游ゴシック" w:eastAsia="游ゴシック"/>
          <w:b w:val="0"/>
          <w:i w:val="0"/>
          <w:sz w:val="17"/>
        </w:rPr>
        <w:t>灰色の帯は配点8点までの残りを表す。</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pStyle w:val="Heading1"/>
        <w:keepNext/>
        <w:spacing w:before="240" w:after="100"/>
      </w:pPr>
      <w:bookmarkStart w:id="123" w:name="_Toc_023"/>
      <w:r>
        <w:rPr>
          <w:rFonts w:ascii="游ゴシック" w:hAnsi="游ゴシック" w:eastAsia="游ゴシック"/>
          <w:b/>
          <w:i w:val="0"/>
          <w:color w:val="2E74B5"/>
          <w:sz w:val="30"/>
        </w:rPr>
        <w:t>6　介護人材の活動指標群が0点</w:t>
      </w:r>
      <w:bookmarkEnd w:id="123"/>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keepNext/>
              <w:spacing w:before="20" w:after="20"/>
            </w:pPr>
            <w:r>
              <w:rPr>
                <w:rFonts w:ascii="游ゴシック" w:hAnsi="游ゴシック" w:eastAsia="游ゴシック"/>
                <w:b w:val="0"/>
                <w:i w:val="0"/>
                <w:sz w:val="17"/>
              </w:rPr>
              <w:t>×</w:t>
            </w:r>
          </w:p>
        </w:tc>
        <w:tc>
          <w:tcPr>
            <w:tcW w:type="dxa" w:w="1546"/>
            <w:vAlign w:val="center"/>
          </w:tcPr>
          <w:p>
            <w:pPr>
              <w:keepNext/>
              <w:spacing w:before="20" w:after="20"/>
            </w:pPr>
            <w:r>
              <w:rPr>
                <w:rFonts w:ascii="游ゴシック" w:hAnsi="游ゴシック" w:eastAsia="游ゴシック"/>
                <w:b w:val="0"/>
                <w:i w:val="0"/>
                <w:sz w:val="17"/>
              </w:rPr>
              <w:t>活動</w:t>
            </w:r>
          </w:p>
        </w:tc>
        <w:tc>
          <w:tcPr>
            <w:tcW w:type="dxa" w:w="2598"/>
            <w:vAlign w:val="center"/>
          </w:tcPr>
          <w:p>
            <w:pPr>
              <w:keepNext/>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keepNext/>
              <w:spacing w:before="20" w:after="20"/>
              <w:jc w:val="right"/>
            </w:pPr>
            <w:r>
              <w:rPr>
                <w:rFonts w:ascii="游ゴシック" w:hAnsi="游ゴシック" w:eastAsia="游ゴシック"/>
                <w:b w:val="0"/>
                <w:i w:val="0"/>
                <w:sz w:val="17"/>
              </w:rPr>
              <w:t>12点</w:t>
            </w:r>
          </w:p>
        </w:tc>
        <w:tc>
          <w:tcPr>
            <w:tcW w:type="dxa" w:w="1384"/>
            <w:vAlign w:val="center"/>
          </w:tcPr>
          <w:p>
            <w:pPr>
              <w:keepNext/>
              <w:spacing w:before="20" w:after="20"/>
              <w:jc w:val="right"/>
            </w:pPr>
            <w:r>
              <w:rPr>
                <w:rFonts w:ascii="游ゴシック" w:hAnsi="游ゴシック" w:eastAsia="游ゴシック"/>
                <w:b/>
                <w:i w:val="0"/>
                <w:sz w:val="17"/>
              </w:rPr>
              <w:t>0点</w:t>
            </w:r>
          </w:p>
        </w:tc>
        <w:tc>
          <w:tcPr>
            <w:tcW w:type="dxa" w:w="1546"/>
            <w:vAlign w:val="center"/>
          </w:tcPr>
          <w:p>
            <w:pPr>
              <w:keepNext/>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pStyle w:val="Heading1"/>
        <w:keepNext/>
        <w:spacing w:before="240" w:after="100"/>
      </w:pPr>
      <w:bookmarkStart w:id="124" w:name="_Toc_024"/>
      <w:r>
        <w:rPr>
          <w:rFonts w:ascii="游ゴシック" w:hAnsi="游ゴシック" w:eastAsia="游ゴシック"/>
          <w:b/>
          <w:i w:val="0"/>
          <w:color w:val="2E74B5"/>
          <w:sz w:val="30"/>
        </w:rPr>
        <w:t>7　第10期で打つ手</w:t>
      </w:r>
      <w:bookmarkEnd w:id="124"/>
    </w:p>
    <w:p>
      <w:pPr>
        <w:pStyle w:val="Heading2"/>
        <w:keepNext/>
        <w:spacing w:before="180" w:after="100"/>
      </w:pPr>
      <w:bookmarkStart w:id="125" w:name="_Toc_025"/>
      <w:r>
        <w:rPr>
          <w:rFonts w:ascii="游ゴシック" w:hAnsi="游ゴシック" w:eastAsia="游ゴシック"/>
          <w:b/>
          <w:i w:val="0"/>
          <w:color w:val="2E74B5"/>
          <w:sz w:val="25"/>
        </w:rPr>
        <w:t>(1)　給付適正化計画の位置づけ（3案）</w:t>
      </w:r>
      <w:bookmarkEnd w:id="125"/>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keepNext/>
              <w:spacing w:before="20" w:after="20"/>
            </w:pPr>
            <w:r>
              <w:rPr>
                <w:rFonts w:ascii="游ゴシック" w:hAnsi="游ゴシック" w:eastAsia="游ゴシック"/>
                <w:b/>
                <w:i w:val="0"/>
                <w:sz w:val="17"/>
              </w:rPr>
              <w:t>案B　施策の中に置く</w:t>
            </w:r>
          </w:p>
        </w:tc>
        <w:tc>
          <w:tcPr>
            <w:tcW w:type="dxa" w:w="2870"/>
            <w:vAlign w:val="center"/>
          </w:tcPr>
          <w:p>
            <w:pPr>
              <w:keepNext/>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keepNext/>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keepNext/>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pStyle w:val="Heading2"/>
        <w:keepNext/>
        <w:spacing w:before="180" w:after="100"/>
      </w:pPr>
      <w:bookmarkStart w:id="126" w:name="_Toc_026"/>
      <w:r>
        <w:rPr>
          <w:rFonts w:ascii="游ゴシック" w:hAnsi="游ゴシック" w:eastAsia="游ゴシック"/>
          <w:b/>
          <w:i w:val="0"/>
          <w:color w:val="2E74B5"/>
          <w:sz w:val="25"/>
        </w:rPr>
        <w:t>(2)　主要3事業の毎年度の定量的な目標（案）</w:t>
      </w:r>
      <w:bookmarkEnd w:id="126"/>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keepNext/>
              <w:spacing w:before="20" w:after="20"/>
            </w:pPr>
            <w:r>
              <w:rPr>
                <w:rFonts w:ascii="游ゴシック" w:hAnsi="游ゴシック" w:eastAsia="游ゴシック"/>
                <w:b w:val="0"/>
                <w:i w:val="0"/>
                <w:sz w:val="17"/>
              </w:rPr>
              <w:t>③</w:t>
            </w:r>
          </w:p>
        </w:tc>
        <w:tc>
          <w:tcPr>
            <w:tcW w:type="dxa" w:w="1388"/>
            <w:vAlign w:val="center"/>
          </w:tcPr>
          <w:p>
            <w:pPr>
              <w:keepNext/>
              <w:spacing w:before="20" w:after="20"/>
            </w:pPr>
            <w:r>
              <w:rPr>
                <w:rFonts w:ascii="游ゴシック" w:hAnsi="游ゴシック" w:eastAsia="游ゴシック"/>
                <w:b w:val="0"/>
                <w:i w:val="0"/>
                <w:sz w:val="17"/>
              </w:rPr>
              <w:t>縦覧点検・医療情報との突合</w:t>
            </w:r>
          </w:p>
        </w:tc>
        <w:tc>
          <w:tcPr>
            <w:tcW w:type="dxa" w:w="1592"/>
            <w:vAlign w:val="center"/>
          </w:tcPr>
          <w:p>
            <w:pPr>
              <w:keepNext/>
              <w:spacing w:before="20" w:after="20"/>
            </w:pPr>
            <w:r>
              <w:rPr>
                <w:rFonts w:ascii="游ゴシック" w:hAnsi="游ゴシック" w:eastAsia="游ゴシック"/>
                <w:b w:val="0"/>
                <w:i w:val="0"/>
                <w:sz w:val="17"/>
              </w:rPr>
              <w:t>縦覧点検4帳票の全件点検</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816"/>
            <w:vAlign w:val="center"/>
          </w:tcPr>
          <w:p>
            <w:pPr>
              <w:keepNext/>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pStyle w:val="Heading2"/>
        <w:keepNext/>
        <w:spacing w:before="180" w:after="100"/>
      </w:pPr>
      <w:bookmarkStart w:id="127" w:name="_Toc_027"/>
      <w:r>
        <w:rPr>
          <w:rFonts w:ascii="游ゴシック" w:hAnsi="游ゴシック" w:eastAsia="游ゴシック"/>
          <w:b/>
          <w:i w:val="0"/>
          <w:color w:val="2E74B5"/>
          <w:sz w:val="25"/>
        </w:rPr>
        <w:t>(3)　全国平均に届いていない指標</w:t>
      </w:r>
      <w:bookmarkEnd w:id="127"/>
    </w:p>
    <w:p>
      <w:pPr>
        <w:keepNext/>
        <w:spacing w:before="200" w:after="40"/>
      </w:pPr>
      <w:r>
        <w:rPr>
          <w:rFonts w:ascii="游ゴシック" w:hAnsi="游ゴシック" w:eastAsia="游ゴシック"/>
          <w:b/>
          <w:i w:val="0"/>
          <w:color w:val="1F4D78"/>
          <w:sz w:val="22"/>
        </w:rPr>
        <w:t>【図6】全国平均に届いていない指標（上位10）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6" name="Picture 6"/>
            <wp:cNvGraphicFramePr>
              <a:graphicFrameLocks noChangeAspect="1"/>
            </wp:cNvGraphicFramePr>
            <a:graphic>
              <a:graphicData uri="http://schemas.openxmlformats.org/drawingml/2006/picture">
                <pic:pic>
                  <pic:nvPicPr>
                    <pic:cNvPr id="0" name="f43_torikaeshi.png"/>
                    <pic:cNvPicPr/>
                  </pic:nvPicPr>
                  <pic:blipFill>
                    <a:blip r:embed="rId18"/>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pStyle w:val="Heading1"/>
        <w:keepNext/>
        <w:spacing w:before="240" w:after="100"/>
      </w:pPr>
      <w:bookmarkStart w:id="128" w:name="_Toc_028"/>
      <w:r>
        <w:rPr>
          <w:rFonts w:ascii="游ゴシック" w:hAnsi="游ゴシック" w:eastAsia="游ゴシック"/>
          <w:b/>
          <w:i w:val="0"/>
          <w:color w:val="2E74B5"/>
          <w:sz w:val="30"/>
        </w:rPr>
        <w:t>8　計画素案への反映</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主要3事業の実施状況の記載の見直し</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3事業とも実施・突合は満点であることを記載します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keepNext/>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keepNext/>
              <w:spacing w:before="20" w:after="20"/>
            </w:pPr>
            <w:r>
              <w:rPr>
                <w:rFonts w:ascii="游ゴシック" w:hAnsi="游ゴシック" w:eastAsia="游ゴシック"/>
                <w:b w:val="0"/>
                <w:i w:val="0"/>
                <w:sz w:val="17"/>
              </w:rPr>
              <w:t>第5章（計画の推進）</w:t>
            </w:r>
          </w:p>
        </w:tc>
        <w:tc>
          <w:tcPr>
            <w:tcW w:type="dxa" w:w="4208"/>
            <w:vAlign w:val="center"/>
          </w:tcPr>
          <w:p>
            <w:pPr>
              <w:keepNext/>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pStyle w:val="Heading1"/>
        <w:keepNext/>
        <w:spacing w:before="240" w:after="100"/>
      </w:pPr>
      <w:bookmarkStart w:id="129" w:name="_Toc_029"/>
      <w:r>
        <w:rPr>
          <w:rFonts w:ascii="游ゴシック" w:hAnsi="游ゴシック" w:eastAsia="游ゴシック"/>
          <w:b/>
          <w:i w:val="0"/>
          <w:color w:val="2E74B5"/>
          <w:sz w:val="30"/>
        </w:rPr>
        <w:t>9　決めていただくこと・いただきたい資料</w:t>
      </w:r>
      <w:bookmarkEnd w:id="12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keepNext/>
              <w:spacing w:before="20" w:after="20"/>
            </w:pPr>
            <w:r>
              <w:rPr>
                <w:rFonts w:ascii="游ゴシック" w:hAnsi="游ゴシック" w:eastAsia="游ゴシック"/>
                <w:b/>
                <w:i w:val="0"/>
                <w:sz w:val="17"/>
              </w:rPr>
              <w:t>資料</w:t>
            </w:r>
          </w:p>
        </w:tc>
        <w:tc>
          <w:tcPr>
            <w:tcW w:type="dxa" w:w="3357"/>
            <w:vAlign w:val="center"/>
          </w:tcPr>
          <w:p>
            <w:pPr>
              <w:keepNext/>
              <w:spacing w:before="20" w:after="20"/>
            </w:pPr>
            <w:r>
              <w:rPr>
                <w:rFonts w:ascii="游ゴシック" w:hAnsi="游ゴシック" w:eastAsia="游ゴシック"/>
                <w:b/>
                <w:i w:val="0"/>
                <w:sz w:val="17"/>
              </w:rPr>
              <w:t>広域連合分の該当状況調査票集計表</w:t>
            </w:r>
          </w:p>
        </w:tc>
        <w:tc>
          <w:tcPr>
            <w:tcW w:type="dxa" w:w="4984"/>
            <w:vAlign w:val="center"/>
          </w:tcPr>
          <w:p>
            <w:pPr>
              <w:keepNext/>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介護給付適正化と交付金の取りまとめ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