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令和8年8月4日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本シートは、キックオフ会議でご確認・ご決定いただきたい事項を13項目に整理したものです。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業務範囲の確認</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20分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運用と成果品</w:t>
            </w:r>
          </w:p>
        </w:tc>
        <w:tc>
          <w:tcPr>
            <w:tcW w:type="dxa" w:w="2835"/>
          </w:tcPr>
          <w:p>
            <w:pPr>
              <w:spacing w:after="20" w:before="20"/>
            </w:pPr>
            <w:r/>
            <w:r>
              <w:rPr>
                <w:rFonts w:ascii="游ゴシック" w:hAnsi="游ゴシック" w:eastAsia="游ゴシック"/>
                <w:b w:val="0"/>
                <w:sz w:val="18"/>
              </w:rPr>
              <w:t>項目11・12</w:t>
            </w:r>
          </w:p>
        </w:tc>
        <w:tc>
          <w:tcPr>
            <w:tcW w:type="dxa" w:w="2268"/>
          </w:tcPr>
          <w:p>
            <w:pPr>
              <w:spacing w:after="20" w:before="20"/>
            </w:pPr>
            <w:r/>
            <w:r>
              <w:rPr>
                <w:rFonts w:ascii="游ゴシック" w:hAnsi="游ゴシック" w:eastAsia="游ゴシック"/>
                <w:b w:val="0"/>
                <w:sz w:val="18"/>
              </w:rPr>
              <w:t>10分</w:t>
            </w:r>
          </w:p>
        </w:tc>
      </w:tr>
    </w:tbl>
    <w:p>
      <w:pPr>
        <w:spacing w:after="80"/>
      </w:pPr>
    </w:p>
    <w:p>
      <w:pPr>
        <w:spacing w:after="0" w:before="0"/>
      </w:pPr>
      <w:r>
        <w:rPr>
          <w:rFonts w:ascii="游ゴシック" w:hAnsi="游ゴシック" w:eastAsia="游ゴシック"/>
          <w:b w:val="0"/>
          <w:sz w:val="18"/>
        </w:rPr>
        <w:t>※ 合計95分です。時間が限られる場合は、項目1・2・7・13を優先してください。この4件はいずれも他の作業の前提となります。</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事業所実態調査の実施の要否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キックオフ会議資料では、事業所実態調査を「設計案作成済・実施前」とし、調査票・対象事業所・回収方法の確定から集計までを工程に組み込んでいます。</w:t>
            </w:r>
          </w:p>
          <w:p>
            <w:pPr>
              <w:spacing w:after="20" w:before="0"/>
            </w:pPr>
            <w:r>
              <w:rPr>
                <w:rFonts w:ascii="游ゴシック" w:hAnsi="游ゴシック" w:eastAsia="游ゴシック"/>
                <w:b w:val="0"/>
                <w:sz w:val="19"/>
              </w:rPr>
              <w:t>一方、業務仕様書４（3）が定める対象は、①在宅生活改善調査、②居所変更実態調査、③介護人材実態調査、④健康とくらしの調査の4調査であり、「新たなアンケート調査の企画、設計、配布、回収、入力及び督促は行わない」と定められています。</w:t>
            </w:r>
          </w:p>
          <w:p>
            <w:pPr>
              <w:spacing w:after="20" w:before="0"/>
            </w:pPr>
            <w:r>
              <w:rPr>
                <w:rFonts w:ascii="游ゴシック" w:hAnsi="游ゴシック" w:eastAsia="游ゴシック"/>
                <w:b w:val="0"/>
                <w:sz w:val="19"/>
              </w:rPr>
              <w:t>実施の要否と、実施する場合の取扱いをご確認ください。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実施しない（既存4調査と行政データで代替する）</w:t>
            </w:r>
          </w:p>
          <w:p>
            <w:pPr>
              <w:spacing w:after="20" w:before="0"/>
            </w:pPr>
            <w:r>
              <w:rPr>
                <w:rFonts w:ascii="游ゴシック" w:hAnsi="游ゴシック" w:eastAsia="游ゴシック"/>
                <w:b w:val="0"/>
                <w:sz w:val="19"/>
              </w:rPr>
              <w:t>□　実施する（業務範囲の追加として別途協議する）</w:t>
            </w:r>
          </w:p>
          <w:p>
            <w:pPr>
              <w:spacing w:after="20" w:before="0"/>
            </w:pPr>
            <w:r>
              <w:rPr>
                <w:rFonts w:ascii="游ゴシック" w:hAnsi="游ゴシック" w:eastAsia="游ゴシック"/>
                <w:b w:val="0"/>
                <w:sz w:val="19"/>
              </w:rPr>
              <w:t>□　発注者において実施し、受託者は集計・分析のみを行う</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供給可能量、受入困難、休廃止・縮小意向、ICT、BCPの把握手段が定まりません。代表KPIのH07（介護者の負担）・H08（就労との両立）・H12（必要サービス未充足率）・H16（災害感染症時の継続率）のデータ源も決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表4段階3・表8・表10・表16・表17・表18①・青枠 表9／確認事項No.4／点検結果 修正No.1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3調査の第10期分の提供時期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在宅生活改善調査、居所変更実態調査、介護人材実態調査の第10期分について、調査票、回答データ、集計資料、分析資料、報告書をご提供ください。</w:t>
            </w:r>
          </w:p>
          <w:p>
            <w:pPr>
              <w:spacing w:after="20" w:before="0"/>
            </w:pPr>
            <w:r>
              <w:rPr>
                <w:rFonts w:ascii="游ゴシック" w:hAnsi="游ゴシック" w:eastAsia="游ゴシック"/>
                <w:b w:val="0"/>
                <w:sz w:val="19"/>
              </w:rPr>
              <w:t>現在は、第9期計画に掲載された令和5年5月25日実施分を再整理した段階です。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第10期分は実施していない（令和5年分のみ）</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仕様書４（3）が完了しません。代表KPI H06（在宅生活継続困難割合）・H11（供給不足を理由とする住替え割合）・H13・H14（人材の確保と定着）の基準値が令和5年調査のままとなります。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資料No.2／業務工程管理表 05シート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要介護度別認定者数の実績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令和元年度から令和8年度までの各年3月末について、要支援1・2、要介護1〜5の別の認定者数をご提供ください。</w:t>
            </w:r>
          </w:p>
          <w:p>
            <w:pPr>
              <w:spacing w:after="20" w:before="0"/>
            </w:pPr>
            <w:r>
              <w:rPr>
                <w:rFonts w:ascii="游ゴシック" w:hAnsi="游ゴシック" w:eastAsia="游ゴシック"/>
                <w:b w:val="0"/>
                <w:sz w:val="19"/>
              </w:rPr>
              <w:t>認定者数の合計は将来推計の第1段階で推計済みです（令和11年度2,004〜2,112人）。サービス見込量は要介護度別の利用率により算定するため、内訳がないと第2段階に進めません。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見える化システムからの出力で代替できる</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将来推計の第2段階（サービス見込量）に進めません。第6章第2節（見込量）・第3節（給付費）が算定できず、第6節（保険料）にも到達しません。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07シートNo.2</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階級別認定率のシナリオの選択</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認定者数が1本に確定しません。見込量、給付費、保険料に順に波及するため、令和8年12月の工程（計画素案の確定版）に間に合わなくなります。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方針No.2／将来推計 03・04シート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H01の測定指標を見える化W144（性・年齢調整済み要介護2以上認定率・9.25％）とすること。第9稿までのB5-a【注目する地域のみ】18.4％は他地域と比較できないため撤回しました。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計画素案は現在第10稿です。今後も複数回の改稿が見込まれるため、レビューの方法を定めさせてください。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令和8年8月4日に、在宅生活改善調査・居所変更実態調査・介護人材実態調査の第10期分（23の法人・事業者、102ファイル）を受領し、点検と集計を行いました。点検事項は31件です。</w:t>
            </w:r>
          </w:p>
          <w:p>
            <w:pPr>
              <w:spacing w:after="20" w:before="0"/>
            </w:pPr>
            <w:r>
              <w:rPr>
                <w:rFonts w:ascii="游ゴシック" w:hAnsi="游ゴシック" w:eastAsia="游ゴシック"/>
                <w:b w:val="0"/>
                <w:sz w:val="19"/>
              </w:rPr>
              <w:t>このうち次の4件は、集計の方法を決めないと計画本文に載せる数値が変わります。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①は照会のうえ実数を確定する／②は提出元を除いた集計を併記する／③は地区別分析を行わない（受託者の案）</w:t>
            </w:r>
          </w:p>
          <w:p>
            <w:pPr>
              <w:spacing w:after="20" w:before="0"/>
            </w:pPr>
            <w:r>
              <w:rPr>
                <w:rFonts w:ascii="游ゴシック" w:hAnsi="游ゴシック" w:eastAsia="游ゴシック"/>
                <w:b w:val="0"/>
                <w:sz w:val="19"/>
              </w:rPr>
              <w:t>□　3件とも事業所へ照会し、確定した数値で集計する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02シートNo.1〜No.3・No.31／09・10シート</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キックオフ会議資料の第5稿の作成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第2段階（サービス見込量）</w:t>
            </w:r>
          </w:p>
        </w:tc>
        <w:tc>
          <w:tcPr>
            <w:tcW w:type="dxa" w:w="3628"/>
          </w:tcPr>
          <w:p>
            <w:pPr>
              <w:spacing w:after="20" w:before="20"/>
            </w:pPr>
            <w:r/>
            <w:r>
              <w:rPr>
                <w:rFonts w:ascii="游ゴシック" w:hAnsi="游ゴシック" w:eastAsia="游ゴシック"/>
                <w:b w:val="0"/>
                <w:sz w:val="18"/>
              </w:rPr>
              <w:t>項目5の資料受領＋項目6の決定</w:t>
            </w:r>
          </w:p>
        </w:tc>
        <w:tc>
          <w:tcPr>
            <w:tcW w:type="dxa" w:w="2494"/>
          </w:tcPr>
          <w:p>
            <w:pPr>
              <w:spacing w:after="20" w:before="20"/>
            </w:pPr>
            <w:r/>
            <w:r>
              <w:rPr>
                <w:rFonts w:ascii="游ゴシック" w:hAnsi="游ゴシック" w:eastAsia="游ゴシック"/>
                <w:b w:val="0"/>
                <w:sz w:val="18"/>
              </w:rPr>
              <w:t>資料受領から1か月</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 第11稿</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13項目は、別冊「必要事項の一覧」に登録済みの事項から、会議でご確認いただくものを抜き出したものです。全体の必要事項（資料14件・決定17件・日程6件・成果品7件・告示待ち5件・受託者の作業7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