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第10稿から第12稿まで改稿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計画素案を第10稿から第12稿へ改稿（667段落114表34図）。概要版の構成案を作成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業務内容別の進捗（令和8年8月20日現在）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78％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＋58pt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45％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全体（単純平均）</w:t>
            </w:r>
          </w:p>
        </w:tc>
        <w:tc>
          <w:tcPr>
            <w:tcW w:type="dxa" w:w="1020"/>
            <w:vAlign w:val="center"/>
          </w:tcPr>
          <w:p>
            <w:pPr>
              <w:spacing w:after="0"/>
              <w:jc w:val="center"/>
            </w:pPr>
            <w:r>
              <w:rPr>
                <w:rFonts w:ascii="游ゴシック" w:hAnsi="游ゴシック" w:eastAsia="游ゴシック"/>
                <w:b w:val="0"/>
                <w:sz w:val="19"/>
              </w:rPr>
              <w:t>60％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・レッドチームレビュー29件の摘出と対応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中間報告（7節11表）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・第9期評価のレッドチームレビュー（9シート）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8月の工程は所定の到達点に達しています（「第9期計画の評価・検証 中間報告」として提出）。★令和6〜8年度の施策・事業実績（資料提供依頼No.13）が未受領のため、プロセス評価（施策が計画どおり実施されたか）は令和8年9月以降となります。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・3町の地域差の分析（自給率6区分平均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・計画素案の改稿（第10稿→第11稿→第12稿）</w:t>
      </w:r>
    </w:p>
    <w:p>
      <w:pPr>
        <w:ind w:left="340" w:hanging="340"/>
      </w:pPr>
      <w:r>
        <w:rPr>
          <w:rFonts w:ascii="游ゴシック" w:hAnsi="游ゴシック" w:eastAsia="游ゴシック"/>
          <w:sz w:val="20"/>
        </w:rPr>
        <w:t>・第9期19施策の評価表の差替えと施策の空白5領域の追加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・修正指示書（第11稿→第12稿）の作成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第12稿（667段落114表34図）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第11稿→第12稿（7シート）</w:t>
      </w:r>
    </w:p>
    <w:p>
      <w:pPr>
        <w:ind w:left="340" w:hanging="340"/>
      </w:pPr>
      <w:r>
        <w:rPr>
          <w:rFonts w:ascii="游ゴシック" w:hAnsi="游ゴシック" w:eastAsia="游ゴシック"/>
          <w:sz w:val="20"/>
        </w:rPr>
        <w:t>・レビュー指摘への対応と決定事項一覧（7シート）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62件・［要確認］16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・キックオフ会議資料（第6稿・更新版）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・成果品一覧の整備（53件）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・成果品一覧（4シート）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施策の空白5領域の扱い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詳細は「レビュー指摘への対応と決定事項一覧」03・04シートをご覧ください。各決定事項に選択肢・推奨案・決定しない場合の影響・決定者・期限を付しています。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