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表1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w:t>
            </w:r>
          </w:p>
        </w:tc>
        <w:tc>
          <w:tcPr>
            <w:tcW w:type="dxa" w:w="4195"/>
            <w:vAlign w:val="center"/>
          </w:tcPr>
          <w:p>
            <w:pPr>
              <w:spacing w:after="0"/>
            </w:pPr>
            <w:r>
              <w:rPr>
                <w:rFonts w:ascii="游ゴシック" w:hAnsi="游ゴシック" w:eastAsia="游ゴシック"/>
                <w:b w:val="0"/>
                <w:sz w:val="19"/>
              </w:rPr>
              <w:t>―</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評価を確定するために必要な資料18件、確認事項56件を特定している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なお、仕様書は令和8年8月を「開始」と定めており、この時点で評価を確定することは求められていません。本報告のとおり、現状の整理と不足の洗い出しをもって8月の工程は所定の到達点に達しているものと考えております。</w:t>
      </w:r>
    </w:p>
    <w:p>
      <w:pPr>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表2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keepNext/>
        <w:spacing w:before="280" w:after="120"/>
      </w:pPr>
      <w:r>
        <w:rPr>
          <w:rFonts w:ascii="游ゴシック" w:hAnsi="游ゴシック" w:eastAsia="游ゴシック"/>
          <w:b/>
          <w:color w:val="1F3864"/>
          <w:sz w:val="26"/>
        </w:rPr>
        <w:t>第3節　成果評価の結果（現時点で判定できるもの）</w:t>
      </w:r>
    </w:p>
    <w:p>
      <w:pPr>
        <w:keepNext/>
        <w:spacing w:before="180" w:after="60"/>
      </w:pPr>
      <w:r>
        <w:rPr>
          <w:rFonts w:ascii="游ゴシック" w:hAnsi="游ゴシック" w:eastAsia="游ゴシック"/>
          <w:b/>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表3　第9期 代表KPI4項目の評価</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876"/>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794"/>
            <w:vAlign w:val="center"/>
          </w:tcPr>
          <w:p>
            <w:pPr>
              <w:spacing w:after="0"/>
              <w:jc w:val="center"/>
            </w:pPr>
            <w:r>
              <w:rPr>
                <w:rFonts w:ascii="游ゴシック" w:hAnsi="游ゴシック" w:eastAsia="游ゴシック"/>
                <w:b w:val="0"/>
                <w:sz w:val="19"/>
              </w:rPr>
              <w:t>未達</w:t>
            </w:r>
          </w:p>
        </w:tc>
        <w:tc>
          <w:tcPr>
            <w:tcW w:type="dxa" w:w="4876"/>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1.0ポイントの上昇は年齢構成の変化によるもので、同一年齢層でみると75歳以上は1.8ポイント低下しています。「未達であるが実態が悪化したとは言えない」と評価し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要介護3以上認定率</w:t>
            </w:r>
          </w:p>
        </w:tc>
        <w:tc>
          <w:tcPr>
            <w:tcW w:type="dxa" w:w="1247"/>
            <w:vAlign w:val="center"/>
            <w:shd w:val="clear" w:color="auto" w:fill="F2F5FA"/>
          </w:tcPr>
          <w:p>
            <w:pPr>
              <w:spacing w:after="0"/>
              <w:jc w:val="center"/>
            </w:pPr>
            <w:r>
              <w:rPr>
                <w:rFonts w:ascii="游ゴシック" w:hAnsi="游ゴシック" w:eastAsia="游ゴシック"/>
                <w:b w:val="0"/>
                <w:sz w:val="19"/>
              </w:rPr>
              <w:t>―</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794"/>
            <w:vAlign w:val="center"/>
            <w:shd w:val="clear" w:color="auto" w:fill="F2F5FA"/>
          </w:tcPr>
          <w:p>
            <w:pPr>
              <w:spacing w:after="0"/>
              <w:jc w:val="center"/>
            </w:pPr>
            <w:r>
              <w:rPr>
                <w:rFonts w:ascii="游ゴシック" w:hAnsi="游ゴシック" w:eastAsia="游ゴシック"/>
                <w:b w:val="0"/>
                <w:sz w:val="19"/>
              </w:rPr>
              <w:t>算定可</w:t>
            </w:r>
          </w:p>
        </w:tc>
        <w:tc>
          <w:tcPr>
            <w:tcW w:type="dxa" w:w="4876"/>
            <w:vAlign w:val="center"/>
            <w:shd w:val="clear" w:color="auto" w:fill="F2F5FA"/>
          </w:tcPr>
          <w:p>
            <w:pPr>
              <w:spacing w:after="0"/>
            </w:pPr>
            <w:r>
              <w:rPr>
                <w:rFonts w:ascii="游ゴシック" w:hAnsi="游ゴシック" w:eastAsia="游ゴシック"/>
                <w:b w:val="0"/>
                <w:sz w:val="19"/>
              </w:rPr>
              <w:t>年齢調整をすると中重度は平成30年5.4％から令和7年4.7％へ低下を続けています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18.5％（R4）</w:t>
            </w:r>
          </w:p>
        </w:tc>
        <w:tc>
          <w:tcPr>
            <w:tcW w:type="dxa" w:w="1247"/>
            <w:vAlign w:val="center"/>
          </w:tcPr>
          <w:p>
            <w:pPr>
              <w:spacing w:after="0"/>
              <w:jc w:val="center"/>
            </w:pPr>
            <w:r>
              <w:rPr>
                <w:rFonts w:ascii="游ゴシック" w:hAnsi="游ゴシック" w:eastAsia="游ゴシック"/>
                <w:b w:val="0"/>
                <w:sz w:val="19"/>
              </w:rPr>
              <w:t>19.1％（R7）</w:t>
            </w:r>
          </w:p>
        </w:tc>
        <w:tc>
          <w:tcPr>
            <w:tcW w:type="dxa" w:w="794"/>
            <w:vAlign w:val="center"/>
          </w:tcPr>
          <w:p>
            <w:pPr>
              <w:spacing w:after="0"/>
              <w:jc w:val="center"/>
            </w:pPr>
            <w:r>
              <w:rPr>
                <w:rFonts w:ascii="游ゴシック" w:hAnsi="游ゴシック" w:eastAsia="游ゴシック"/>
                <w:b w:val="0"/>
                <w:sz w:val="19"/>
              </w:rPr>
              <w:t>未達</w:t>
            </w:r>
          </w:p>
        </w:tc>
        <w:tc>
          <w:tcPr>
            <w:tcW w:type="dxa" w:w="4876"/>
            <w:vAlign w:val="center"/>
          </w:tcPr>
          <w:p>
            <w:pPr>
              <w:spacing w:after="0"/>
            </w:pPr>
            <w:r>
              <w:rPr>
                <w:rFonts w:ascii="游ゴシック" w:hAnsi="游ゴシック" w:eastAsia="游ゴシック"/>
                <w:b w:val="0"/>
                <w:sz w:val="19"/>
              </w:rPr>
              <w:t>0.6ポイントの差は統計的に有意ではありません。「悪化した」と判定できません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8.0％（目標）</w:t>
            </w:r>
          </w:p>
        </w:tc>
        <w:tc>
          <w:tcPr>
            <w:tcW w:type="dxa" w:w="1247"/>
            <w:vAlign w:val="center"/>
            <w:shd w:val="clear" w:color="auto" w:fill="F2F5FA"/>
          </w:tcPr>
          <w:p>
            <w:pPr>
              <w:spacing w:after="0"/>
              <w:jc w:val="center"/>
            </w:pPr>
            <w:r>
              <w:rPr>
                <w:rFonts w:ascii="游ゴシック" w:hAnsi="游ゴシック" w:eastAsia="游ゴシック"/>
                <w:b w:val="0"/>
                <w:sz w:val="19"/>
              </w:rPr>
              <w:t>8.8％（R7）</w:t>
            </w:r>
          </w:p>
        </w:tc>
        <w:tc>
          <w:tcPr>
            <w:tcW w:type="dxa" w:w="794"/>
            <w:vAlign w:val="center"/>
            <w:shd w:val="clear" w:color="auto" w:fill="F2F5FA"/>
          </w:tcPr>
          <w:p>
            <w:pPr>
              <w:spacing w:after="0"/>
              <w:jc w:val="center"/>
            </w:pPr>
            <w:r>
              <w:rPr>
                <w:rFonts w:ascii="游ゴシック" w:hAnsi="游ゴシック" w:eastAsia="游ゴシック"/>
                <w:b w:val="0"/>
                <w:sz w:val="19"/>
              </w:rPr>
              <w:t>達成</w:t>
            </w:r>
          </w:p>
        </w:tc>
        <w:tc>
          <w:tcPr>
            <w:tcW w:type="dxa" w:w="4876"/>
            <w:vAlign w:val="center"/>
            <w:shd w:val="clear" w:color="auto" w:fill="F2F5FA"/>
          </w:tcPr>
          <w:p>
            <w:pPr>
              <w:spacing w:after="0"/>
            </w:pPr>
            <w:r>
              <w:rPr>
                <w:rFonts w:ascii="游ゴシック" w:hAnsi="游ゴシック" w:eastAsia="游ゴシック"/>
                <w:b w:val="0"/>
                <w:sz w:val="19"/>
              </w:rPr>
              <w:t>ただし目標の根拠とした国の統計と実績の統計が異なります。総合事業ベースでは全国平均の31％にとどまります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r>
        <w:rPr>
          <w:rFonts w:ascii="游ゴシック" w:hAnsi="游ゴシック" w:eastAsia="游ゴシック"/>
          <w:b w:val="0"/>
          <w:sz w:val="21"/>
        </w:rPr>
      </w:r>
    </w:p>
    <w:p>
      <w:r>
        <w:rPr>
          <w:rFonts w:ascii="游ゴシック" w:hAnsi="游ゴシック" w:eastAsia="游ゴシック"/>
          <w:b/>
          <w:sz w:val="21"/>
        </w:rPr>
        <w:t>4項目のうち達成は1項目、未達2項目、算定可1項目です。ただし未達2項目とも「実態が悪化した」とは言えません。第9期の目標設定そのものに、①目標の水準が「維持」であったこと、②目標の根拠とした統計と実績の統計が異なっていたこと、という課題があります。</w:t>
      </w:r>
    </w:p>
    <w:p>
      <w:pPr>
        <w:keepNext/>
        <w:spacing w:before="180" w:after="60"/>
      </w:pPr>
      <w:r>
        <w:rPr>
          <w:rFonts w:ascii="游ゴシック" w:hAnsi="游ゴシック" w:eastAsia="游ゴシック"/>
          <w:b/>
          <w:sz w:val="22"/>
        </w:rPr>
        <w:t>2　外部の成果指標による評価</w:t>
      </w:r>
    </w:p>
    <w:p>
      <w:pPr>
        <w:keepNext/>
        <w:spacing w:before="160" w:after="40"/>
      </w:pPr>
      <w:r>
        <w:rPr>
          <w:rFonts w:ascii="游ゴシック" w:hAnsi="游ゴシック" w:eastAsia="游ゴシック"/>
          <w:b/>
          <w:sz w:val="20"/>
        </w:rPr>
        <w:t>表4　外部の成果指標による第9期の評価</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成果（アウトカム）は全国平均の123.5％と高い一方、活動（アウトプット）は全国の23.2〜55.6％にとどまります。活動を国の様式で記録・報告する仕組みがなかったことによります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br/>
              <w:t>（6区分平均）</w:t>
            </w:r>
          </w:p>
        </w:tc>
        <w:tc>
          <w:tcPr>
            <w:tcW w:type="dxa" w:w="1361"/>
            <w:vAlign w:val="center"/>
          </w:tcPr>
          <w:p>
            <w:pPr>
              <w:spacing w:after="0"/>
              <w:jc w:val="center"/>
            </w:pPr>
            <w:r>
              <w:rPr>
                <w:rFonts w:ascii="游ゴシック" w:hAnsi="游ゴシック" w:eastAsia="游ゴシック"/>
                <w:b w:val="0"/>
                <w:sz w:val="19"/>
              </w:rPr>
              <w:t>美瑛77.5％</w:t>
              <w:br/>
              <w:t>東川67.1％</w:t>
              <w:br/>
              <w:t>東神楽63.2％</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3町で14.3ポイントの差があります。一律の整備方針を採らない根拠となります</w:t>
            </w:r>
          </w:p>
        </w:tc>
      </w:tr>
    </w:tbl>
    <w:p>
      <w:r>
        <w:rPr>
          <w:rFonts w:ascii="游ゴシック" w:hAnsi="游ゴシック" w:eastAsia="游ゴシック"/>
          <w:b w:val="0"/>
          <w:sz w:val="21"/>
        </w:rPr>
      </w:r>
    </w:p>
    <w:p>
      <w:r>
        <w:rPr>
          <w:rFonts w:ascii="游ゴシック" w:hAnsi="游ゴシック" w:eastAsia="游ゴシック"/>
          <w:b/>
          <w:sz w:val="21"/>
        </w:rPr>
        <w:t>成果は高く、活動の記録が弱いという構造が、第9期の最も大きな特徴です。第10期では、活動をロジックモデルに沿って記録・報告する仕組みを設けることが課題となります。</w:t>
      </w:r>
    </w:p>
    <w:p>
      <w:r>
        <w:br w:type="page"/>
      </w:r>
    </w:p>
    <w:p>
      <w:pPr>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表5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判定「なし」の5施策は、事業実績が届いても成果を測ることができません。第10期では、指標を新設するか、他の施策に統合するかを施策ごとに定める必要があります。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調査に所見があるのに施策がない5領域</w:t>
      </w:r>
    </w:p>
    <w:p>
      <w:r>
        <w:rPr>
          <w:rFonts w:ascii="游ゴシック" w:hAnsi="游ゴシック" w:eastAsia="游ゴシック"/>
          <w:b w:val="0"/>
          <w:sz w:val="21"/>
        </w:rPr>
        <w:t>上記とは逆に、実施済み4調査に明確な所見があるにもかかわらず、第9期の施策体系に対応する施策がない領域が5つあります。これらは第10期の施策の空白であり、第10期の施策体系の設計はここから始めることになります。</w:t>
      </w:r>
    </w:p>
    <w:p>
      <w:pPr>
        <w:keepNext/>
        <w:spacing w:before="160" w:after="40"/>
      </w:pPr>
      <w:r>
        <w:rPr>
          <w:rFonts w:ascii="游ゴシック" w:hAnsi="游ゴシック" w:eastAsia="游ゴシック"/>
          <w:b/>
          <w:sz w:val="20"/>
        </w:rPr>
        <w:t>表6　第10期の施策の空白（5領域）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第9期の施策</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なし</w:t>
            </w:r>
          </w:p>
        </w:tc>
      </w:tr>
      <w:tr>
        <w:trPr>
          <w:cantSplit/>
        </w:trPr>
        <w:tc>
          <w:tcPr>
            <w:tcW w:type="dxa" w:w="1814"/>
            <w:vAlign w:val="center"/>
            <w:shd w:val="clear" w:color="auto" w:fill="F2F5FA"/>
          </w:tcPr>
          <w:p>
            <w:pPr>
              <w:spacing w:after="0"/>
            </w:pPr>
            <w:r>
              <w:rPr>
                <w:rFonts w:ascii="游ゴシック" w:hAnsi="游ゴシック" w:eastAsia="游ゴシック"/>
                <w:b/>
                <w:sz w:val="19"/>
              </w:rPr>
              <w:t>経済的な理由による未利用</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認定を受けながら未利用の者が504人（認定者の25.7％）。要因の一つに経済的理由がある</w:t>
            </w:r>
          </w:p>
        </w:tc>
        <w:tc>
          <w:tcPr>
            <w:tcW w:type="dxa" w:w="2835"/>
            <w:vAlign w:val="center"/>
            <w:shd w:val="clear" w:color="auto" w:fill="F2F5FA"/>
          </w:tcPr>
          <w:p>
            <w:pPr>
              <w:spacing w:after="0"/>
            </w:pPr>
            <w:r>
              <w:rPr>
                <w:rFonts w:ascii="游ゴシック" w:hAnsi="游ゴシック" w:eastAsia="游ゴシック"/>
                <w:b w:val="0"/>
                <w:sz w:val="19"/>
              </w:rPr>
              <w:t>なし（低所得者支援は保険料の軽減にとどまる）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w:t>
            </w:r>
          </w:p>
        </w:tc>
        <w:tc>
          <w:tcPr>
            <w:tcW w:type="dxa" w:w="2835"/>
            <w:vAlign w:val="center"/>
          </w:tcPr>
          <w:p>
            <w:pPr>
              <w:spacing w:after="0"/>
            </w:pPr>
            <w:r>
              <w:rPr>
                <w:rFonts w:ascii="游ゴシック" w:hAnsi="游ゴシック" w:eastAsia="游ゴシック"/>
                <w:b w:val="0"/>
                <w:sz w:val="19"/>
              </w:rPr>
              <w:t>なし</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介護サービス利用率74.3％（平成28年度82.2％から7.9ポイント低下）。全国平均の39.2％にとどまる</w:t>
            </w:r>
          </w:p>
        </w:tc>
        <w:tc>
          <w:tcPr>
            <w:tcW w:type="dxa" w:w="2835"/>
            <w:vAlign w:val="center"/>
          </w:tcPr>
          <w:p>
            <w:pPr>
              <w:spacing w:after="0"/>
            </w:pPr>
            <w:r>
              <w:rPr>
                <w:rFonts w:ascii="游ゴシック" w:hAnsi="游ゴシック" w:eastAsia="游ゴシック"/>
                <w:b w:val="0"/>
                <w:sz w:val="19"/>
              </w:rPr>
              <w:t>なし</w:t>
            </w:r>
          </w:p>
        </w:tc>
      </w:tr>
    </w:tbl>
    <w:p>
      <w:r>
        <w:rPr>
          <w:rFonts w:ascii="游ゴシック" w:hAnsi="游ゴシック" w:eastAsia="游ゴシック"/>
          <w:b w:val="0"/>
          <w:sz w:val="21"/>
        </w:rPr>
      </w:r>
    </w:p>
    <w:p>
      <w:pPr>
        <w:keepNext/>
        <w:spacing w:before="180" w:after="60"/>
      </w:pPr>
      <w:r>
        <w:rPr>
          <w:rFonts w:ascii="游ゴシック" w:hAnsi="游ゴシック" w:eastAsia="游ゴシック"/>
          <w:b/>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・年次評価の不在：代表KPIの検証が計画期末の1回のみで、年度ごとの進捗確認と関係者間の共有が行われていませんでした。</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・施策の空白：調査に明確な所見があるのに施策がない領域が5つあります。</w:t>
      </w:r>
    </w:p>
    <w:p>
      <w:r>
        <w:br w:type="page"/>
      </w:r>
    </w:p>
    <w:p>
      <w:pPr>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評価を確定するために不足している資料及び確認事項を洗い出しました。本節が本報告の中心です。</w:t>
      </w:r>
    </w:p>
    <w:p>
      <w:pPr>
        <w:keepNext/>
        <w:spacing w:before="180" w:after="60"/>
      </w:pPr>
      <w:r>
        <w:rPr>
          <w:rFonts w:ascii="游ゴシック" w:hAnsi="游ゴシック" w:eastAsia="游ゴシック"/>
          <w:b/>
          <w:sz w:val="22"/>
        </w:rPr>
        <w:t>1　不足資料（優先度別）</w:t>
      </w:r>
    </w:p>
    <w:p>
      <w:pPr>
        <w:keepNext/>
        <w:spacing w:before="160" w:after="40"/>
      </w:pPr>
      <w:r>
        <w:rPr>
          <w:rFonts w:ascii="游ゴシック" w:hAnsi="游ゴシック" w:eastAsia="游ゴシック"/>
          <w:b/>
          <w:sz w:val="20"/>
        </w:rPr>
        <w:t>表7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★プロセス評価そのもの。これがないと施策が計画どおり実施されたかを判定できません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06_資料提供依頼一覧によります。本表は第9期の評価に関わるものに限っています。全体では18件の不足資料を特定しています（主張の根拠水準の棚卸しと再レビュー 06シート）。</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最高優先の資料No.13は、他の統計で代替できない唯一の資料です。8月の工程は「開始」であるため現時点で支障はありませんが、9月以降にプロセス評価へ進むために受領が必要となります。</w:t>
      </w:r>
    </w:p>
    <w:p>
      <w:pPr>
        <w:keepNext/>
        <w:spacing w:before="180" w:after="60"/>
      </w:pPr>
      <w:r>
        <w:rPr>
          <w:rFonts w:ascii="游ゴシック" w:hAnsi="游ゴシック" w:eastAsia="游ゴシック"/>
          <w:b/>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表8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施策の空白5領域の扱い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keepNext/>
        <w:spacing w:before="280" w:after="120"/>
      </w:pPr>
      <w:r>
        <w:rPr>
          <w:rFonts w:ascii="游ゴシック" w:hAnsi="游ゴシック" w:eastAsia="游ゴシック"/>
          <w:b/>
          <w:color w:val="1F3864"/>
          <w:sz w:val="26"/>
        </w:rPr>
        <w:t>第6節　評価の確からしさ（自己点検）</w:t>
      </w:r>
    </w:p>
    <w:p>
      <w:r>
        <w:rPr>
          <w:rFonts w:ascii="游ゴシック" w:hAnsi="游ゴシック" w:eastAsia="游ゴシック"/>
          <w:b w:val="0"/>
          <w:sz w:val="21"/>
        </w:rPr>
        <w:t>本報告の評価そのものについて、レッドチーム方式（自らの整理を否定する立場）で点検しました。</w:t>
      </w:r>
    </w:p>
    <w:p>
      <w:pPr>
        <w:keepNext/>
        <w:spacing w:before="160" w:after="40"/>
      </w:pPr>
      <w:r>
        <w:rPr>
          <w:rFonts w:ascii="游ゴシック" w:hAnsi="游ゴシック" w:eastAsia="游ゴシック"/>
          <w:b/>
          <w:sz w:val="20"/>
        </w:rPr>
        <w:t>表9　第9期評価への指摘と対応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680"/>
            <w:vAlign w:val="center"/>
            <w:shd w:val="clear" w:color="auto" w:fill="1F3864"/>
          </w:tcPr>
          <w:p>
            <w:pPr>
              <w:spacing w:after="0"/>
              <w:jc w:val="center"/>
            </w:pPr>
            <w:r>
              <w:rPr>
                <w:rFonts w:ascii="游ゴシック" w:hAnsi="游ゴシック" w:eastAsia="游ゴシック"/>
                <w:b/>
                <w:color w:val="FFFFFF"/>
                <w:sz w:val="19"/>
              </w:rPr>
              <w:t>件数</w:t>
            </w:r>
          </w:p>
        </w:tc>
        <w:tc>
          <w:tcPr>
            <w:tcW w:type="dxa" w:w="4535"/>
            <w:vAlign w:val="center"/>
            <w:shd w:val="clear" w:color="auto" w:fill="1F3864"/>
          </w:tcPr>
          <w:p>
            <w:pPr>
              <w:spacing w:after="0"/>
              <w:jc w:val="center"/>
            </w:pPr>
            <w:r>
              <w:rPr>
                <w:rFonts w:ascii="游ゴシック" w:hAnsi="游ゴシック" w:eastAsia="游ゴシック"/>
                <w:b/>
                <w:color w:val="FFFFFF"/>
                <w:sz w:val="19"/>
              </w:rPr>
              <w:t>主な内容</w:t>
            </w:r>
          </w:p>
        </w:tc>
        <w:tc>
          <w:tcPr>
            <w:tcW w:type="dxa" w:w="3742"/>
            <w:vAlign w:val="center"/>
            <w:shd w:val="clear" w:color="auto" w:fill="1F3864"/>
          </w:tcPr>
          <w:p>
            <w:pPr>
              <w:spacing w:after="0"/>
              <w:jc w:val="center"/>
            </w:pPr>
            <w:r>
              <w:rPr>
                <w:rFonts w:ascii="游ゴシック" w:hAnsi="游ゴシック" w:eastAsia="游ゴシック"/>
                <w:b/>
                <w:color w:val="FFFFFF"/>
                <w:sz w:val="19"/>
              </w:rPr>
              <w:t>対応の状況</w:t>
            </w:r>
          </w:p>
        </w:tc>
      </w:tr>
      <w:tr>
        <w:trPr>
          <w:cantSplit/>
        </w:trPr>
        <w:tc>
          <w:tcPr>
            <w:tcW w:type="dxa" w:w="794"/>
            <w:vAlign w:val="center"/>
          </w:tcPr>
          <w:p>
            <w:pPr>
              <w:spacing w:after="0"/>
              <w:jc w:val="center"/>
            </w:pPr>
            <w:r>
              <w:rPr>
                <w:rFonts w:ascii="游ゴシック" w:hAnsi="游ゴシック" w:eastAsia="游ゴシック"/>
                <w:b/>
                <w:sz w:val="19"/>
              </w:rPr>
              <w:t>重大</w:t>
            </w:r>
          </w:p>
        </w:tc>
        <w:tc>
          <w:tcPr>
            <w:tcW w:type="dxa" w:w="680"/>
            <w:vAlign w:val="center"/>
          </w:tcPr>
          <w:p>
            <w:pPr>
              <w:spacing w:after="0"/>
              <w:jc w:val="center"/>
            </w:pPr>
            <w:r>
              <w:rPr>
                <w:rFonts w:ascii="游ゴシック" w:hAnsi="游ゴシック" w:eastAsia="游ゴシック"/>
                <w:b w:val="0"/>
                <w:sz w:val="19"/>
              </w:rPr>
              <w:t>11</w:t>
            </w:r>
          </w:p>
        </w:tc>
        <w:tc>
          <w:tcPr>
            <w:tcW w:type="dxa" w:w="4535"/>
            <w:vAlign w:val="center"/>
          </w:tcPr>
          <w:p>
            <w:pPr>
              <w:spacing w:after="0"/>
            </w:pPr>
            <w:r>
              <w:rPr>
                <w:rFonts w:ascii="游ゴシック" w:hAnsi="游ゴシック" w:eastAsia="游ゴシック"/>
                <w:b w:val="0"/>
                <w:sz w:val="19"/>
              </w:rPr>
              <w:t>定量目標の有無、認定率の方向、地域差指数の分解、高費用の評価、高齢化要因の扱い</w:t>
            </w:r>
          </w:p>
        </w:tc>
        <w:tc>
          <w:tcPr>
            <w:tcW w:type="dxa" w:w="3742"/>
            <w:vAlign w:val="center"/>
          </w:tcPr>
          <w:p>
            <w:pPr>
              <w:spacing w:after="0"/>
            </w:pPr>
            <w:r>
              <w:rPr>
                <w:rFonts w:ascii="游ゴシック" w:hAnsi="游ゴシック" w:eastAsia="游ゴシック"/>
                <w:b w:val="0"/>
                <w:sz w:val="19"/>
              </w:rPr>
              <w:t>誤読を複数修正済み。反証条件を示したうえで資料の受領を待つものを含む</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中</w:t>
            </w:r>
          </w:p>
        </w:tc>
        <w:tc>
          <w:tcPr>
            <w:tcW w:type="dxa" w:w="680"/>
            <w:vAlign w:val="center"/>
            <w:shd w:val="clear" w:color="auto" w:fill="F2F5FA"/>
          </w:tcPr>
          <w:p>
            <w:pPr>
              <w:spacing w:after="0"/>
              <w:jc w:val="center"/>
            </w:pPr>
            <w:r>
              <w:rPr>
                <w:rFonts w:ascii="游ゴシック" w:hAnsi="游ゴシック" w:eastAsia="游ゴシック"/>
                <w:b w:val="0"/>
                <w:sz w:val="19"/>
              </w:rPr>
              <w:t>14</w:t>
            </w:r>
          </w:p>
        </w:tc>
        <w:tc>
          <w:tcPr>
            <w:tcW w:type="dxa" w:w="4535"/>
            <w:vAlign w:val="center"/>
            <w:shd w:val="clear" w:color="auto" w:fill="F2F5FA"/>
          </w:tcPr>
          <w:p>
            <w:pPr>
              <w:spacing w:after="0"/>
            </w:pPr>
            <w:r>
              <w:rPr>
                <w:rFonts w:ascii="游ゴシック" w:hAnsi="游ゴシック" w:eastAsia="游ゴシック"/>
                <w:b w:val="0"/>
                <w:sz w:val="19"/>
              </w:rPr>
              <w:t>比較の期間の選び方、統計の定義の違い、母集団の異なる数値の併記</w:t>
            </w:r>
          </w:p>
        </w:tc>
        <w:tc>
          <w:tcPr>
            <w:tcW w:type="dxa" w:w="3742"/>
            <w:vAlign w:val="center"/>
            <w:shd w:val="clear" w:color="auto" w:fill="F2F5FA"/>
          </w:tcPr>
          <w:p>
            <w:pPr>
              <w:spacing w:after="0"/>
            </w:pPr>
            <w:r>
              <w:rPr>
                <w:rFonts w:ascii="游ゴシック" w:hAnsi="游ゴシック" w:eastAsia="游ゴシック"/>
                <w:b w:val="0"/>
                <w:sz w:val="19"/>
              </w:rPr>
              <w:t>本文の記述を修正済み。一部は資料の受領後に確定</w:t>
            </w:r>
          </w:p>
        </w:tc>
      </w:tr>
      <w:tr>
        <w:trPr>
          <w:cantSplit/>
        </w:trPr>
        <w:tc>
          <w:tcPr>
            <w:tcW w:type="dxa" w:w="794"/>
            <w:vAlign w:val="center"/>
          </w:tcPr>
          <w:p>
            <w:pPr>
              <w:spacing w:after="0"/>
              <w:jc w:val="center"/>
            </w:pPr>
            <w:r>
              <w:rPr>
                <w:rFonts w:ascii="游ゴシック" w:hAnsi="游ゴシック" w:eastAsia="游ゴシック"/>
                <w:b/>
                <w:sz w:val="19"/>
              </w:rPr>
              <w:t>軽微</w:t>
            </w:r>
          </w:p>
        </w:tc>
        <w:tc>
          <w:tcPr>
            <w:tcW w:type="dxa" w:w="680"/>
            <w:vAlign w:val="center"/>
          </w:tcPr>
          <w:p>
            <w:pPr>
              <w:spacing w:after="0"/>
              <w:jc w:val="center"/>
            </w:pPr>
            <w:r>
              <w:rPr>
                <w:rFonts w:ascii="游ゴシック" w:hAnsi="游ゴシック" w:eastAsia="游ゴシック"/>
                <w:b w:val="0"/>
                <w:sz w:val="19"/>
              </w:rPr>
              <w:t>4</w:t>
            </w:r>
          </w:p>
        </w:tc>
        <w:tc>
          <w:tcPr>
            <w:tcW w:type="dxa" w:w="4535"/>
            <w:vAlign w:val="center"/>
          </w:tcPr>
          <w:p>
            <w:pPr>
              <w:spacing w:after="0"/>
            </w:pPr>
            <w:r>
              <w:rPr>
                <w:rFonts w:ascii="游ゴシック" w:hAnsi="游ゴシック" w:eastAsia="游ゴシック"/>
                <w:b w:val="0"/>
                <w:sz w:val="19"/>
              </w:rPr>
              <w:t>表記の統一、注記の位置</w:t>
            </w:r>
          </w:p>
        </w:tc>
        <w:tc>
          <w:tcPr>
            <w:tcW w:type="dxa" w:w="3742"/>
            <w:vAlign w:val="center"/>
          </w:tcPr>
          <w:p>
            <w:pPr>
              <w:spacing w:after="0"/>
            </w:pPr>
            <w:r>
              <w:rPr>
                <w:rFonts w:ascii="游ゴシック" w:hAnsi="游ゴシック" w:eastAsia="游ゴシック"/>
                <w:b w:val="0"/>
                <w:sz w:val="19"/>
              </w:rPr>
              <w:t>修正済み</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計</w:t>
            </w:r>
          </w:p>
        </w:tc>
        <w:tc>
          <w:tcPr>
            <w:tcW w:type="dxa" w:w="680"/>
            <w:vAlign w:val="center"/>
            <w:shd w:val="clear" w:color="auto" w:fill="F2F5FA"/>
          </w:tcPr>
          <w:p>
            <w:pPr>
              <w:spacing w:after="0"/>
              <w:jc w:val="center"/>
            </w:pPr>
            <w:r>
              <w:rPr>
                <w:rFonts w:ascii="游ゴシック" w:hAnsi="游ゴシック" w:eastAsia="游ゴシック"/>
                <w:b w:val="0"/>
                <w:sz w:val="19"/>
              </w:rPr>
              <w:t>29</w:t>
            </w:r>
          </w:p>
        </w:tc>
        <w:tc>
          <w:tcPr>
            <w:tcW w:type="dxa" w:w="4535"/>
            <w:vAlign w:val="center"/>
            <w:shd w:val="clear" w:color="auto" w:fill="F2F5FA"/>
          </w:tcPr>
          <w:p>
            <w:pPr>
              <w:spacing w:after="0"/>
            </w:pPr>
            <w:r>
              <w:rPr>
                <w:rFonts w:ascii="游ゴシック" w:hAnsi="游ゴシック" w:eastAsia="游ゴシック"/>
                <w:b w:val="0"/>
                <w:sz w:val="19"/>
              </w:rPr>
              <w:t>―</w:t>
            </w:r>
          </w:p>
        </w:tc>
        <w:tc>
          <w:tcPr>
            <w:tcW w:type="dxa" w:w="3742"/>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0"/>
        </w:rPr>
        <w:t>この点検により、次のような誤読を修正しています。</w:t>
      </w:r>
    </w:p>
    <w:p>
      <w:pPr>
        <w:ind w:left="340" w:hanging="340"/>
      </w:pPr>
      <w:r>
        <w:rPr>
          <w:rFonts w:ascii="游ゴシック" w:hAnsi="游ゴシック" w:eastAsia="游ゴシック"/>
          <w:sz w:val="20"/>
        </w:rPr>
        <w:t>・認定率の上昇を「実態の悪化」と解していた点。年齢構成の変化によるものであり、同一年齢層では改善していることを確認しました。</w:t>
      </w:r>
    </w:p>
    <w:p>
      <w:pPr>
        <w:ind w:left="340" w:hanging="340"/>
      </w:pPr>
      <w:r>
        <w:rPr>
          <w:rFonts w:ascii="游ゴシック" w:hAnsi="游ゴシック" w:eastAsia="游ゴシック"/>
          <w:sz w:val="20"/>
        </w:rPr>
        <w:t>・給付水準の高さを認定率によるものと解していた点。受給率と受給者単価がともに高いことによるものであり、各要素の寄与を分けることはできないことを確認しました。</w:t>
      </w:r>
    </w:p>
    <w:p>
      <w:pPr>
        <w:ind w:left="340" w:hanging="340"/>
      </w:pPr>
      <w:r>
        <w:rPr>
          <w:rFonts w:ascii="游ゴシック" w:hAnsi="游ゴシック" w:eastAsia="游ゴシック"/>
          <w:sz w:val="20"/>
        </w:rPr>
        <w:t>・地域差指数の分解により要因を按分していた点。受給率×受給者単価は給付月額指数に一致しないため、按分による要因の特定を撤回しました。</w:t>
      </w:r>
    </w:p>
    <w:p>
      <w:pPr>
        <w:ind w:left="227"/>
      </w:pPr>
      <w:r>
        <w:rPr>
          <w:rFonts w:ascii="游ゴシック" w:hAnsi="游ゴシック" w:eastAsia="游ゴシック"/>
          <w:sz w:val="18"/>
        </w:rPr>
        <w:t>※ あわせて、主張の根拠水準を棚卸しし、断定している仮説を特定して記述を改めています（主張の根拠水準の棚卸しと再レビュー 8シート）。根拠が弱い主張には、本文で断定を避ける表現を用いています。</w:t>
      </w:r>
    </w:p>
    <w:p>
      <w:pPr>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表10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決定6（施策の空白5領域の扱い）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keepNext/>
        <w:spacing w:before="180" w:after="60"/>
      </w:pPr>
      <w:r>
        <w:rPr>
          <w:rFonts w:ascii="游ゴシック" w:hAnsi="游ゴシック" w:eastAsia="游ゴシック"/>
          <w:b/>
          <w:sz w:val="22"/>
        </w:rPr>
        <w:t>本報告に関連する成果品</w:t>
      </w:r>
    </w:p>
    <w:p>
      <w:pPr>
        <w:keepNext/>
        <w:spacing w:before="160" w:after="40"/>
      </w:pPr>
      <w:r>
        <w:rPr>
          <w:rFonts w:ascii="游ゴシック" w:hAnsi="游ゴシック" w:eastAsia="游ゴシック"/>
          <w:b/>
          <w:sz w:val="20"/>
        </w:rPr>
        <w:t>表11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第9期評価のレッドチームレビュー（9シート）</w:t>
            </w:r>
          </w:p>
        </w:tc>
        <w:tc>
          <w:tcPr>
            <w:tcW w:type="dxa" w:w="4082"/>
            <w:vAlign w:val="center"/>
            <w:shd w:val="clear" w:color="auto" w:fill="F2F5FA"/>
          </w:tcPr>
          <w:p>
            <w:pPr>
              <w:spacing w:after="0"/>
            </w:pPr>
            <w:r>
              <w:rPr>
                <w:rFonts w:ascii="游ゴシック" w:hAnsi="游ゴシック" w:eastAsia="游ゴシック"/>
                <w:b w:val="0"/>
                <w:sz w:val="19"/>
              </w:rPr>
              <w:t>評価そのものへの指摘29件と対応</w:t>
            </w:r>
          </w:p>
        </w:tc>
        <w:tc>
          <w:tcPr>
            <w:tcW w:type="dxa" w:w="2835"/>
            <w:vAlign w:val="center"/>
            <w:shd w:val="clear" w:color="auto" w:fill="F2F5FA"/>
          </w:tcPr>
          <w:p>
            <w:pPr>
              <w:spacing w:after="0"/>
            </w:pPr>
            <w:r>
              <w:rPr>
                <w:rFonts w:ascii="游ゴシック" w:hAnsi="游ゴシック" w:eastAsia="游ゴシック"/>
                <w:b w:val="0"/>
                <w:sz w:val="19"/>
              </w:rPr>
              <w:t>第6節（自己点検）の根拠</w:t>
            </w:r>
          </w:p>
        </w:tc>
      </w:tr>
      <w:tr>
        <w:trPr>
          <w:cantSplit/>
        </w:trPr>
        <w:tc>
          <w:tcPr>
            <w:tcW w:type="dxa" w:w="2835"/>
            <w:vAlign w:val="center"/>
          </w:tcPr>
          <w:p>
            <w:pPr>
              <w:spacing w:after="0"/>
            </w:pPr>
            <w:r>
              <w:rPr>
                <w:rFonts w:ascii="游ゴシック" w:hAnsi="游ゴシック" w:eastAsia="游ゴシック"/>
                <w:b/>
                <w:sz w:val="19"/>
              </w:rPr>
              <w:t>第9期施策と調査・KPIの紐付けレビュー（7シート）</w:t>
            </w:r>
          </w:p>
        </w:tc>
        <w:tc>
          <w:tcPr>
            <w:tcW w:type="dxa" w:w="4082"/>
            <w:vAlign w:val="center"/>
          </w:tcPr>
          <w:p>
            <w:pPr>
              <w:spacing w:after="0"/>
            </w:pPr>
            <w:r>
              <w:rPr>
                <w:rFonts w:ascii="游ゴシック" w:hAnsi="游ゴシック" w:eastAsia="游ゴシック"/>
                <w:b w:val="0"/>
                <w:sz w:val="19"/>
              </w:rPr>
              <w:t>19施策と4調査・代表KPIの対応と判定</w:t>
            </w:r>
          </w:p>
        </w:tc>
        <w:tc>
          <w:tcPr>
            <w:tcW w:type="dxa" w:w="2835"/>
            <w:vAlign w:val="center"/>
          </w:tcPr>
          <w:p>
            <w:pPr>
              <w:spacing w:after="0"/>
            </w:pPr>
            <w:r>
              <w:rPr>
                <w:rFonts w:ascii="游ゴシック" w:hAnsi="游ゴシック" w:eastAsia="游ゴシック"/>
                <w:b w:val="0"/>
                <w:sz w:val="19"/>
              </w:rPr>
              <w:t>第4節（構造評価）の根拠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第9期施策別評価表と暫定評価ルール（6シート）</w:t>
            </w:r>
          </w:p>
        </w:tc>
        <w:tc>
          <w:tcPr>
            <w:tcW w:type="dxa" w:w="4082"/>
            <w:vAlign w:val="center"/>
            <w:shd w:val="clear" w:color="auto" w:fill="F2F5FA"/>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shd w:val="clear" w:color="auto" w:fill="F2F5FA"/>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tcPr>
          <w:p>
            <w:pPr>
              <w:spacing w:after="0"/>
            </w:pPr>
            <w:r>
              <w:rPr>
                <w:rFonts w:ascii="游ゴシック" w:hAnsi="游ゴシック" w:eastAsia="游ゴシック"/>
                <w:b/>
                <w:sz w:val="19"/>
              </w:rPr>
              <w:t>主張の根拠水準の棚卸しと再レビュー（8シート）</w:t>
            </w:r>
          </w:p>
        </w:tc>
        <w:tc>
          <w:tcPr>
            <w:tcW w:type="dxa" w:w="4082"/>
            <w:vAlign w:val="center"/>
          </w:tcPr>
          <w:p>
            <w:pPr>
              <w:spacing w:after="0"/>
            </w:pPr>
            <w:r>
              <w:rPr>
                <w:rFonts w:ascii="游ゴシック" w:hAnsi="游ゴシック" w:eastAsia="游ゴシック"/>
                <w:b w:val="0"/>
                <w:sz w:val="19"/>
              </w:rPr>
              <w:t>主張ごとの根拠水準の棚卸し、不足資料18件</w:t>
            </w:r>
          </w:p>
        </w:tc>
        <w:tc>
          <w:tcPr>
            <w:tcW w:type="dxa" w:w="2835"/>
            <w:vAlign w:val="center"/>
          </w:tcPr>
          <w:p>
            <w:pPr>
              <w:spacing w:after="0"/>
            </w:pPr>
            <w:r>
              <w:rPr>
                <w:rFonts w:ascii="游ゴシック" w:hAnsi="游ゴシック" w:eastAsia="游ゴシック"/>
                <w:b w:val="0"/>
                <w:sz w:val="19"/>
              </w:rPr>
              <w:t>第5節（不足資料）の根拠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計画素案 第12稿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