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確認事項70件を、ご回答をお願いする先により4つに区分したものです。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「ご判断をいただきたい事項」13件は別の番号であり、本書の対象に含めていません。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3件</w:t>
            </w:r>
          </w:p>
        </w:tc>
        <w:tc>
          <w:tcPr>
            <w:tcW w:type="dxa" w:w="5386"/>
            <w:vAlign w:val="center"/>
          </w:tcPr>
          <w:p>
            <w:pPr>
              <w:spacing w:before="20" w:after="20"/>
            </w:pPr>
            <w:r>
              <w:rPr>
                <w:rFonts w:ascii="游ゴシック" w:hAnsi="游ゴシック" w:eastAsia="游ゴシック"/>
                <w:b w:val="0"/>
                <w:sz w:val="17"/>
              </w:rPr>
              <w:t>№52・53（ご回答をいただいたもの）／№65（国の公表資料で当方が確認したもの）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22件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15件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30件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70件</w:t>
            </w:r>
          </w:p>
        </w:tc>
        <w:tc>
          <w:tcPr>
            <w:tcW w:type="dxa" w:w="5386"/>
            <w:vAlign w:val="center"/>
          </w:tcPr>
          <w:p>
            <w:pPr>
              <w:spacing w:before="20" w:after="20"/>
            </w:pPr>
            <w:r>
              <w:rPr>
                <w:rFonts w:ascii="游ゴシック" w:hAnsi="游ゴシック" w:eastAsia="游ゴシック"/>
                <w:b/>
                <w:sz w:val="17"/>
              </w:rPr>
              <w:t>1から70まで欠番・重複なく区分しました</w:t>
            </w:r>
          </w:p>
        </w:tc>
      </w:tr>
    </w:tbl>
    <w:p>
      <w:pPr>
        <w:spacing w:after="40"/>
      </w:pPr>
    </w:p>
    <w:p>
      <w:pPr>
        <w:spacing w:before="120" w:after="80" w:line="269" w:lineRule="auto"/>
      </w:pPr>
      <w:r>
        <w:rPr>
          <w:rFonts w:ascii="游ゴシック" w:hAnsi="游ゴシック" w:eastAsia="游ゴシック"/>
          <w:b/>
          <w:sz w:val="21"/>
        </w:rPr>
        <w:t>したがって、25件（Ａ・Ｂ）を当面の照会から外し、15件（Ｃ）は照会の内容を縮減し、30件（Ｄ）を回答のご依頼の対象といたします。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19件</w:t>
            </w:r>
          </w:p>
        </w:tc>
        <w:tc>
          <w:tcPr>
            <w:tcW w:type="dxa" w:w="4706"/>
            <w:vAlign w:val="center"/>
          </w:tcPr>
          <w:p>
            <w:pPr>
              <w:spacing w:before="20" w:after="20"/>
            </w:pPr>
            <w:r>
              <w:rPr>
                <w:rFonts w:ascii="游ゴシック" w:hAnsi="游ゴシック" w:eastAsia="游ゴシック"/>
                <w:b w:val="0"/>
                <w:sz w:val="17"/>
              </w:rPr>
              <w:t>№1・5・6・10・13・23・25・43・44・45・47・48・51・52・53・54・60・65・66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5件</w:t>
            </w:r>
          </w:p>
        </w:tc>
        <w:tc>
          <w:tcPr>
            <w:tcW w:type="dxa" w:w="4706"/>
            <w:vAlign w:val="center"/>
          </w:tcPr>
          <w:p>
            <w:pPr>
              <w:spacing w:before="20" w:after="20"/>
            </w:pPr>
            <w:r>
              <w:rPr>
                <w:rFonts w:ascii="游ゴシック" w:hAnsi="游ゴシック" w:eastAsia="游ゴシック"/>
                <w:b/>
                <w:sz w:val="17"/>
              </w:rPr>
              <w:t>№55・57・58・63・64。</w:t>
            </w:r>
            <w:r>
              <w:rPr>
                <w:rFonts w:ascii="游ゴシック" w:hAnsi="游ゴシック" w:eastAsia="游ゴシック"/>
                <w:b w:val="0"/>
                <w:sz w:val="17"/>
              </w:rPr>
              <w:t>公表資料では町固有の事実を置き換えられないことが分かったためです</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町にご回答をお願いする件数は、前回の46件（新たに加えた2件を含めて48件相当）から、Ｄの30件になります。</w:t>
      </w:r>
      <w:r>
        <w:rPr>
          <w:rFonts w:ascii="游ゴシック" w:hAnsi="游ゴシック" w:eastAsia="游ゴシック"/>
          <w:b/>
          <w:sz w:val="21"/>
        </w:rPr>
        <w:t>Ｃの15件は、公表部分を当方が書いたうえで、残る町固有の部分だけをお尋ねします。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解決済み（3件）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№60をＡからＢへ移しました。</w:t>
      </w:r>
      <w:r>
        <w:rPr>
          <w:rFonts w:ascii="游ゴシック" w:hAnsi="游ゴシック" w:eastAsia="游ゴシック"/>
          <w:b w:val="0"/>
          <w:sz w:val="21"/>
        </w:rPr>
        <w:t>岩手県の介護職員必要数（令和22年度の必要数26,477人・現状推移を見込んだ職員数20,490人）は厚生労働省「第9期介護保険事業計画に基づく介護職員の必要数」別紙5により確認できましたが、</w:t>
      </w:r>
      <w:r>
        <w:rPr>
          <w:rFonts w:ascii="游ゴシック" w:hAnsi="游ゴシック" w:eastAsia="游ゴシック"/>
          <w:b/>
          <w:sz w:val="21"/>
        </w:rPr>
        <w:t>割り戻しに用いるもう一方の値（岩手県の要介護認定者数）が未確認であり、本町の必要数を算出できていません。</w:t>
      </w:r>
      <w:r>
        <w:rPr>
          <w:rFonts w:ascii="游ゴシック" w:hAnsi="游ゴシック" w:eastAsia="游ゴシック"/>
          <w:b w:val="0"/>
          <w:sz w:val="21"/>
        </w:rPr>
        <w:t>同値は介護保険事業状況報告（公表資料）によるものであるため、当方で確認いたします（第3のＢ）。</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当方で一次資料を確認する（22件）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数値の定義・母数（7件）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1・6</w:t>
            </w:r>
            <w:r>
              <w:rPr>
                <w:rFonts w:ascii="游ゴシック" w:hAnsi="游ゴシック" w:eastAsia="游ゴシック"/>
                <w:b w:val="0"/>
                <w:sz w:val="17"/>
              </w:rPr>
              <w:br/>
            </w:r>
            <w:r>
              <w:rPr>
                <w:rFonts w:ascii="游ゴシック" w:hAnsi="游ゴシック" w:eastAsia="游ゴシック"/>
                <w:b/>
                <w:sz w:val="17"/>
              </w:rPr>
              <w:t>48・51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数値の不一致は未解消です。認知症高齢者数の件数の確定は保留します。</w:t>
            </w:r>
            <w:r>
              <w:rPr>
                <w:rFonts w:ascii="游ゴシック" w:hAnsi="游ゴシック" w:eastAsia="游ゴシック"/>
                <w:b w:val="0"/>
                <w:sz w:val="17"/>
              </w:rPr>
              <w:t>自立度別の内訳はＢ7にしかないため、内訳の分析はＢ7によらざるを得ません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資料・出典の確認（6件）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12</w:t>
            </w:r>
          </w:p>
        </w:tc>
        <w:tc>
          <w:tcPr>
            <w:tcW w:type="dxa" w:w="3969"/>
            <w:vAlign w:val="center"/>
          </w:tcPr>
          <w:p>
            <w:pPr>
              <w:spacing w:before="20" w:after="20"/>
            </w:pPr>
            <w:r>
              <w:rPr>
                <w:rFonts w:ascii="游ゴシック" w:hAnsi="游ゴシック" w:eastAsia="游ゴシック"/>
                <w:b w:val="0"/>
                <w:sz w:val="17"/>
              </w:rPr>
              <w:t>通いの場とオレンジカフェの定義を整理する</w:t>
            </w:r>
          </w:p>
        </w:tc>
        <w:tc>
          <w:tcPr>
            <w:tcW w:type="dxa" w:w="4932"/>
            <w:vAlign w:val="center"/>
          </w:tcPr>
          <w:p>
            <w:pPr>
              <w:spacing w:before="20" w:after="20"/>
            </w:pPr>
            <w:r>
              <w:rPr>
                <w:rFonts w:ascii="游ゴシック" w:hAnsi="游ゴシック" w:eastAsia="游ゴシック"/>
                <w:b/>
                <w:sz w:val="17"/>
              </w:rPr>
              <w:t>計画素案では既に、国の調査でいう通いの場（令和6年度13か所）とオレンジカフェ（41か所）を別のものとして扱っています。41か所を通いの場の実績として用いません</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60</w:t>
            </w:r>
          </w:p>
        </w:tc>
        <w:tc>
          <w:tcPr>
            <w:tcW w:type="dxa" w:w="3969"/>
            <w:vAlign w:val="center"/>
          </w:tcPr>
          <w:p>
            <w:pPr>
              <w:spacing w:before="20" w:after="20"/>
            </w:pPr>
            <w:r>
              <w:rPr>
                <w:rFonts w:ascii="游ゴシック" w:hAnsi="游ゴシック" w:eastAsia="游ゴシック"/>
                <w:b/>
                <w:sz w:val="17"/>
              </w:rPr>
              <w:t>岩手県の要介護認定者数を介護保険事業状況報告（公表資料）で確認する</w:t>
            </w:r>
          </w:p>
        </w:tc>
        <w:tc>
          <w:tcPr>
            <w:tcW w:type="dxa" w:w="4932"/>
            <w:vAlign w:val="center"/>
          </w:tcPr>
          <w:p>
            <w:pPr>
              <w:spacing w:before="20" w:after="20"/>
            </w:pPr>
            <w:r>
              <w:rPr>
                <w:rFonts w:ascii="游ゴシック" w:hAnsi="游ゴシック" w:eastAsia="游ゴシック"/>
                <w:b/>
                <w:sz w:val="17"/>
              </w:rPr>
              <w:t>岩手県の介護職員必要数は別紙5で確認済みです。認定者数が得られ次第、本町の必要数を算出します（第7章5）</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公表資料で先行し、不足分のみ照会（15件）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町のご回答・内部データが必要（30件）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11・14・18</w:t>
            </w:r>
          </w:p>
        </w:tc>
        <w:tc>
          <w:tcPr>
            <w:tcW w:type="dxa" w:w="5272"/>
            <w:vAlign w:val="center"/>
          </w:tcPr>
          <w:p>
            <w:pPr>
              <w:spacing w:before="20" w:after="20"/>
            </w:pPr>
            <w:r>
              <w:rPr>
                <w:rFonts w:ascii="游ゴシック" w:hAnsi="游ゴシック" w:eastAsia="游ゴシック"/>
                <w:b w:val="0"/>
                <w:sz w:val="17"/>
              </w:rPr>
              <w:t>未実施の理由、サービスの利用の経過、予防給付と総合事業の実態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資料をご提供いただければ、Ｃの15件はさらに縮みます。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本町が胆江圏域に属することは当方の記録と整合します。</w:t>
            </w:r>
            <w:r>
              <w:rPr>
                <w:rFonts w:ascii="游ゴシック" w:hAnsi="游ゴシック" w:eastAsia="游ゴシック"/>
                <w:b w:val="0"/>
                <w:sz w:val="17"/>
              </w:rPr>
              <w:t>同センターの指定状況は確認できていません。</w:t>
            </w:r>
            <w:r>
              <w:rPr>
                <w:rFonts w:ascii="游ゴシック" w:hAnsi="游ゴシック" w:eastAsia="游ゴシック"/>
                <w:b/>
                <w:sz w:val="17"/>
              </w:rPr>
              <w:t>《要確定12》（リハビリテーション専門職等の関与の仕組み）および№58に直結する事項です</w:t>
            </w:r>
          </w:p>
        </w:tc>
        <w:tc>
          <w:tcPr>
            <w:tcW w:type="dxa" w:w="2268"/>
            <w:vAlign w:val="center"/>
          </w:tcPr>
          <w:p>
            <w:pPr>
              <w:spacing w:before="20" w:after="20"/>
            </w:pPr>
            <w:r>
              <w:rPr>
                <w:rFonts w:ascii="游ゴシック" w:hAnsi="游ゴシック" w:eastAsia="游ゴシック"/>
                <w:b/>
                <w:sz w:val="17"/>
              </w:rPr>
              <w:t>上記の県計画により確認いたします。</w:t>
            </w:r>
            <w:r>
              <w:rPr>
                <w:rFonts w:ascii="游ゴシック" w:hAnsi="游ゴシック" w:eastAsia="游ゴシック"/>
                <w:b/>
                <w:sz w:val="17"/>
              </w:rPr>
              <w:t>指定が現に続いているか、協力可能な範囲はどこまでかは、別途の確認を要します</w:t>
            </w:r>
          </w:p>
        </w:tc>
      </w:tr>
      <w:tr>
        <w:tc>
          <w:tcPr>
            <w:tcW w:type="dxa" w:w="2494"/>
            <w:vAlign w:val="center"/>
          </w:tcPr>
          <w:p>
            <w:pPr>
              <w:spacing w:before="20" w:after="20"/>
            </w:pPr>
            <w:r>
              <w:rPr>
                <w:rFonts w:ascii="游ゴシック" w:hAnsi="游ゴシック" w:eastAsia="游ゴシック"/>
                <w:b/>
                <w:sz w:val="17"/>
              </w:rPr>
              <w:t>金ケ崎町第4期地域福祉計画（令和8〜12年度）</w:t>
            </w:r>
          </w:p>
        </w:tc>
        <w:tc>
          <w:tcPr>
            <w:tcW w:type="dxa" w:w="4819"/>
            <w:vAlign w:val="center"/>
          </w:tcPr>
          <w:p>
            <w:pPr>
              <w:spacing w:before="20" w:after="20"/>
            </w:pPr>
            <w:r>
              <w:rPr>
                <w:rFonts w:ascii="游ゴシック" w:hAnsi="游ゴシック" w:eastAsia="游ゴシック"/>
                <w:b/>
                <w:sz w:val="17"/>
              </w:rPr>
              <w:t>公表されているとのご指摘をいただいていますが、当方は受領しておりません。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同じく公表されているとのご指摘をいただいていますが、当方は受領しておりません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Ｂの22件とＣの先行整理を進めるには、環境のネットワークの設定でこれらを許可していただくか、該当する資料をファイルでお送りいただく必要があります。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