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cs="Noto Sans CJK JP"/>
          <w:b/>
          <w:color w:val="17365D"/>
          <w:sz w:val="44"/>
        </w:rPr>
        <w:t>中山間地域における</w:t>
        <w:br/>
        <w:t>高齢者介護・障がい計画で活用可能な</w:t>
        <w:br/>
        <w:t>国支援制度と運用上の留意点</w:t>
      </w:r>
    </w:p>
    <w:p>
      <w:pPr>
        <w:spacing w:before="280"/>
        <w:jc w:val="center"/>
      </w:pPr>
      <w:r>
        <w:rPr>
          <w:rFonts w:ascii="Noto Sans CJK JP" w:hAnsi="Noto Sans CJK JP" w:eastAsia="Noto Sans CJK JP" w:cs="Noto Sans CJK JP"/>
          <w:color w:val="1F4E79"/>
          <w:sz w:val="26"/>
        </w:rPr>
        <w:t>計画策定・施策検討用整理メモ</w:t>
      </w:r>
    </w:p>
    <w:p>
      <w:pPr>
        <w:spacing w:before="480"/>
        <w:jc w:val="center"/>
      </w:pPr>
      <w:r>
        <w:rPr>
          <w:rFonts w:ascii="Noto Sans CJK JP" w:hAnsi="Noto Sans CJK JP" w:eastAsia="Noto Sans CJK JP" w:cs="Noto Sans CJK JP"/>
          <w:sz w:val="21"/>
        </w:rPr>
        <w:t>作成日：2026年6月23日</w:t>
      </w:r>
    </w:p>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200"/>
      </w:tblGrid>
      <w:tr>
        <w:tc>
          <w:tcPr>
            <w:tcW w:type="dxa" w:w="10200"/>
            <w:shd w:fill="EAF2F8"/>
            <w:tcMar>
              <w:top w:w="120" w:type="dxa"/>
              <w:start w:w="140" w:type="dxa"/>
              <w:bottom w:w="120" w:type="dxa"/>
              <w:end w:w="140" w:type="dxa"/>
            </w:tcMar>
          </w:tcPr>
          <w:p>
            <w:pPr>
              <w:spacing w:after="80"/>
            </w:pPr>
            <w:r>
              <w:rPr>
                <w:rFonts w:ascii="Noto Sans CJK JP" w:hAnsi="Noto Sans CJK JP" w:eastAsia="Noto Sans CJK JP" w:cs="Noto Sans CJK JP"/>
                <w:b/>
                <w:color w:val="17365D"/>
                <w:sz w:val="21"/>
              </w:rPr>
              <w:t>本資料の位置付け</w:t>
            </w:r>
          </w:p>
          <w:p>
            <w:pPr>
              <w:spacing w:after="0" w:line="264" w:lineRule="auto"/>
            </w:pPr>
            <w:r>
              <w:rPr>
                <w:rFonts w:ascii="Noto Sans CJK JP" w:hAnsi="Noto Sans CJK JP" w:eastAsia="Noto Sans CJK JP" w:cs="Noto Sans CJK JP"/>
                <w:sz w:val="19"/>
              </w:rPr>
              <w:t>中山間地域における高齢者介護計画、障がい者計画、障害福祉計画、障害児福祉計画において活用可能な国支援制度を、計画実装時の運用課題に接続して整理したものです。補助金・交付金は年度により要綱、対象経費、補助率、募集時期が変わるため、予算化・申請時には必ず最新の公募要領、交付要綱、都道府県通知を確認してください。</w:t>
            </w:r>
          </w:p>
        </w:tc>
      </w:tr>
    </w:tbl>
    <w:p>
      <w:r>
        <w:rPr>
          <w:rFonts w:ascii="Noto Sans CJK JP" w:hAnsi="Noto Sans CJK JP" w:eastAsia="Noto Sans CJK JP" w:cs="Noto Sans CJK JP"/>
        </w:rPr>
        <w:br w:type="page"/>
      </w:r>
    </w:p>
    <w:p>
      <w:pPr>
        <w:pStyle w:val="Heading1"/>
      </w:pPr>
      <w:r>
        <w:rPr>
          <w:rFonts w:ascii="Noto Sans CJK JP" w:hAnsi="Noto Sans CJK JP" w:eastAsia="Noto Sans CJK JP" w:cs="Noto Sans CJK JP"/>
          <w:color w:val="17365D"/>
          <w:sz w:val="32"/>
        </w:rPr>
        <w:t>1. 結論・整理の考え方</w:t>
      </w:r>
    </w:p>
    <w:p>
      <w:pPr>
        <w:spacing w:after="120" w:line="276" w:lineRule="auto"/>
      </w:pPr>
      <w:r>
        <w:rPr>
          <w:rFonts w:ascii="Noto Sans CJK JP" w:hAnsi="Noto Sans CJK JP" w:eastAsia="Noto Sans CJK JP" w:cs="Noto Sans CJK JP"/>
          <w:b/>
        </w:rPr>
        <w:t>結論：</w:t>
      </w:r>
      <w:r>
        <w:rPr>
          <w:rFonts w:ascii="Noto Sans CJK JP" w:hAnsi="Noto Sans CJK JP" w:eastAsia="Noto Sans CJK JP" w:cs="Noto Sans CJK JP"/>
        </w:rPr>
        <w:t>中山間地域の高齢者介護・障がい計画では、国支援を制度名の一覧ではなく、実際の運用課題別に「6分類」で整理するのが適切です。</w:t>
      </w:r>
    </w:p>
    <w:p>
      <w:pPr>
        <w:spacing w:after="120" w:line="276" w:lineRule="auto"/>
      </w:pPr>
      <w:r>
        <w:rPr>
          <w:rFonts w:ascii="Noto Sans CJK JP" w:hAnsi="Noto Sans CJK JP" w:eastAsia="Noto Sans CJK JP" w:cs="Noto Sans CJK JP"/>
        </w:rPr>
        <w:t>理由：課題の本質は人口規模の小ささだけではなく、移動距離、人材不足、小規模事業所の採算、相談支援の薄さ、通いの場・日中活動の不足、災害時孤立にあります。</w:t>
      </w:r>
    </w:p>
    <w:p>
      <w:pPr>
        <w:spacing w:after="120" w:line="276" w:lineRule="auto"/>
      </w:pPr>
      <w:r>
        <w:rPr>
          <w:rFonts w:ascii="Noto Sans CJK JP" w:hAnsi="Noto Sans CJK JP" w:eastAsia="Noto Sans CJK JP" w:cs="Noto Sans CJK JP"/>
        </w:rPr>
        <w:t>数字：実務上押さえる支援制度は12本、運用課題は6分類、留意点は10項目、確認サイトは10系統で整理できます。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区分</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整理単位</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主な内容</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実務上の意味</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制度整理</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12本</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介護、障がい、交通、農福、防災、ICT等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計画本文・予算要求・庁内調整の根拠にする</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運用課題</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6分類</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訪問、移動、相談、日中活動、緊急時、人材ICT</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施策体系に直接接続できる</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留意点</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10項目</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補助対象、継続費、所管、成果指標等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実施段階の失敗を事前に避ける</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確認先</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10系統</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採択結果、交付決定、実施状況、予算資料等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申請中ではなく採択・交付・実施状況から逆引きする</w:t>
            </w:r>
          </w:p>
        </w:tc>
      </w:tr>
    </w:tbl>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200"/>
      </w:tblGrid>
      <w:tr>
        <w:tc>
          <w:tcPr>
            <w:tcW w:type="dxa" w:w="10200"/>
            <w:shd w:fill="FDEBD0"/>
            <w:tcMar>
              <w:top w:w="120" w:type="dxa"/>
              <w:start w:w="140" w:type="dxa"/>
              <w:bottom w:w="120" w:type="dxa"/>
              <w:end w:w="140" w:type="dxa"/>
            </w:tcMar>
          </w:tcPr>
          <w:p>
            <w:pPr>
              <w:spacing w:after="80"/>
            </w:pPr>
            <w:r>
              <w:rPr>
                <w:rFonts w:ascii="Noto Sans CJK JP" w:hAnsi="Noto Sans CJK JP" w:eastAsia="Noto Sans CJK JP" w:cs="Noto Sans CJK JP"/>
                <w:b/>
                <w:color w:val="17365D"/>
                <w:sz w:val="21"/>
              </w:rPr>
              <w:t>重要な前提</w:t>
            </w:r>
          </w:p>
          <w:p>
            <w:pPr>
              <w:spacing w:after="0" w:line="264" w:lineRule="auto"/>
            </w:pPr>
            <w:r>
              <w:rPr>
                <w:rFonts w:ascii="Noto Sans CJK JP" w:hAnsi="Noto Sans CJK JP" w:eastAsia="Noto Sans CJK JP" w:cs="Noto Sans CJK JP"/>
                <w:sz w:val="19"/>
              </w:rPr>
              <w:t>市町村が「申請中」の事業を外部から一元的に確認できる公開サイトは原則ありません。確認できるのは、多くの場合、採択結果、交付決定情報、実施状況調査、自治体予算書・補正予算説明資料です。</w:t>
            </w:r>
          </w:p>
        </w:tc>
      </w:tr>
    </w:tbl>
    <w:p>
      <w:pPr>
        <w:pStyle w:val="Heading1"/>
      </w:pPr>
      <w:r>
        <w:rPr>
          <w:rFonts w:ascii="Noto Sans CJK JP" w:hAnsi="Noto Sans CJK JP" w:eastAsia="Noto Sans CJK JP" w:cs="Noto Sans CJK JP"/>
          <w:color w:val="17365D"/>
          <w:sz w:val="32"/>
        </w:rPr>
        <w:t>2. 活用可能な国支援制度の全体像</w:t>
      </w:r>
    </w:p>
    <w:p>
      <w:pPr>
        <w:spacing w:after="120" w:line="276" w:lineRule="auto"/>
      </w:pPr>
      <w:r>
        <w:rPr>
          <w:rFonts w:ascii="Noto Sans CJK JP" w:hAnsi="Noto Sans CJK JP" w:eastAsia="Noto Sans CJK JP" w:cs="Noto Sans CJK JP"/>
        </w:rPr>
        <w:t>中山間地域の計画では、下表の制度を「地域課題への対応手段」として整理します。制度名だけを並べるのではなく、対象者、実施主体、財源負担、実施後の継続費を併せて確認する必要があります。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No.</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制度・支援</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分野</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計画での接続先</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1</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地域支援事業交付金</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高齢者介護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介護予防、生活支援、地域包括支援センター、認知症施策等</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2</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介護予防・日常生活支援総合事業</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高齢者介護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訪問型・通所型サービス、住民主体の支援、移動支援</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3</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訪問介護等サービス提供体制確保支援事業</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高齢者介護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訪問介護等の人材確保、経営改善、提供体制維持</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4</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介護報酬上の中山間地域等加算</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高齢者介護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遠距離・小規模・特別地域でのサービス継続支援</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5</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地域医療介護総合確保基金</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高齢者介護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介護施設整備、介護人材確保、ICT・テクノロジー導入等</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6</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介護テクノロジー導入支援</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高齢者介護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見守り、記録ICT、介護ロボット等による業務効率化</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7</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地域生活支援事業</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障がい福祉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移動支援、日中一時、相談、地域活動支援センター等</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8</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地域生活支援促進事業</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障がい福祉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発達障害、虐待防止、就労支援、芸術文化等</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9</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地域生活支援拠点等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障がい福祉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緊急受入、相談、体験利用、地域移行、親亡き後</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10</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障害福祉分野の介護テクノロジー導入支援</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障がい福祉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ICT、ロボット、業務負担軽減、労働環境改善</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11</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重層的支援体制整備事業交付金</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横断</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複合課題、アウトリーチ、多機関協働、参加支援</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12</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地域公共交通・農福連携・医療的ケア児等支援</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横断</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移動、就労・農業、医療的ケア児、災害・孤立対策</w:t>
            </w:r>
          </w:p>
        </w:tc>
      </w:tr>
    </w:tbl>
    <w:p>
      <w:pPr>
        <w:pStyle w:val="Heading1"/>
      </w:pPr>
      <w:r>
        <w:rPr>
          <w:rFonts w:ascii="Noto Sans CJK JP" w:hAnsi="Noto Sans CJK JP" w:eastAsia="Noto Sans CJK JP" w:cs="Noto Sans CJK JP"/>
          <w:color w:val="17365D"/>
          <w:sz w:val="32"/>
        </w:rPr>
        <w:t>3. 運用課題別の整理</w:t>
      </w:r>
    </w:p>
    <w:p>
      <w:pPr>
        <w:spacing w:after="120" w:line="276" w:lineRule="auto"/>
      </w:pPr>
      <w:r>
        <w:rPr>
          <w:rFonts w:ascii="Noto Sans CJK JP" w:hAnsi="Noto Sans CJK JP" w:eastAsia="Noto Sans CJK JP" w:cs="Noto Sans CJK JP"/>
        </w:rPr>
        <w:t>計画本文では、制度別ではなく、以下の6つの運用課題に再編して記載すると、委員会説明、庁内調整、予算要求に接続しやすくなります。</w:t>
      </w:r>
    </w:p>
    <w:p>
      <w:pPr>
        <w:pStyle w:val="Heading2"/>
      </w:pPr>
      <w:r>
        <w:rPr>
          <w:rFonts w:ascii="Noto Sans CJK JP" w:hAnsi="Noto Sans CJK JP" w:eastAsia="Noto Sans CJK JP" w:cs="Noto Sans CJK JP"/>
          <w:color w:val="1F4E79"/>
          <w:sz w:val="26"/>
        </w:rPr>
        <w:t>3-1. 訪問・在宅支援の確保</w:t>
      </w:r>
    </w:p>
    <w:p>
      <w:pPr>
        <w:spacing w:after="120" w:line="276" w:lineRule="auto"/>
      </w:pPr>
      <w:r>
        <w:rPr>
          <w:rFonts w:ascii="Noto Sans CJK JP" w:hAnsi="Noto Sans CJK JP" w:eastAsia="Noto Sans CJK JP" w:cs="Noto Sans CJK JP"/>
        </w:rPr>
        <w:t>訪問介護、居宅介護、重度訪問介護、居宅介護支援、計画相談などは、中山間地域で最も崩れやすい基盤です。事業所が存在していても、山間部、冬期間、早朝夜間、重度者対応ができない場合があります。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項目</w:t>
            </w:r>
          </w:p>
        </w:tc>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整理内容</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主な支援</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訪問介護等サービス提供体制確保支援事業／中山間地域等加算／地域生活支援事業／地域医療介護総合確保基金</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運用の要点</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対象地域、加算算定可否、移動時間、人員体制、事業所意向を確認する。</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計画記載の方向</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「サービスを充実」ではなく、提供可能地区、提供時間、事業所の維持可能性まで確認する旨を記載する。</w:t>
            </w:r>
          </w:p>
        </w:tc>
      </w:tr>
    </w:tbl>
    <w:p>
      <w:pPr>
        <w:pStyle w:val="Heading2"/>
      </w:pPr>
      <w:r>
        <w:rPr>
          <w:rFonts w:ascii="Noto Sans CJK JP" w:hAnsi="Noto Sans CJK JP" w:eastAsia="Noto Sans CJK JP" w:cs="Noto Sans CJK JP"/>
          <w:color w:val="1F4E79"/>
          <w:sz w:val="26"/>
        </w:rPr>
        <w:t>3-2. 移動・送迎・外出支援</w:t>
      </w:r>
    </w:p>
    <w:p>
      <w:pPr>
        <w:spacing w:after="120" w:line="276" w:lineRule="auto"/>
      </w:pPr>
      <w:r>
        <w:rPr>
          <w:rFonts w:ascii="Noto Sans CJK JP" w:hAnsi="Noto Sans CJK JP" w:eastAsia="Noto Sans CJK JP" w:cs="Noto Sans CJK JP"/>
        </w:rPr>
        <w:t>通院、買物、通所、就労、放課後等デイサービス、余暇活動は、すべて移動手段に依存します。ただし、福祉移動支援と公共交通は目的・財源・対象者が異なるため、混同しない整理が必要です。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項目</w:t>
            </w:r>
          </w:p>
        </w:tc>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整理内容</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主な支援</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総合事業の訪問型サービスD／地域生活支援事業の移動支援／地域公共交通確保維持改善事業</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運用の要点</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対象者、目的、費用負担、運行主体、安全管理、保険、運転者確保を整理する。</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計画記載の方向</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福祉部門と交通部門を分けて整理し、庁内横断で公共交通計画と接続する。</w:t>
            </w:r>
          </w:p>
        </w:tc>
      </w:tr>
    </w:tbl>
    <w:p>
      <w:pPr>
        <w:pStyle w:val="Heading2"/>
      </w:pPr>
      <w:r>
        <w:rPr>
          <w:rFonts w:ascii="Noto Sans CJK JP" w:hAnsi="Noto Sans CJK JP" w:eastAsia="Noto Sans CJK JP" w:cs="Noto Sans CJK JP"/>
          <w:color w:val="1F4E79"/>
          <w:sz w:val="26"/>
        </w:rPr>
        <w:t>3-3. 相談支援・包括的支援体制</w:t>
      </w:r>
    </w:p>
    <w:p>
      <w:pPr>
        <w:spacing w:after="120" w:line="276" w:lineRule="auto"/>
      </w:pPr>
      <w:r>
        <w:rPr>
          <w:rFonts w:ascii="Noto Sans CJK JP" w:hAnsi="Noto Sans CJK JP" w:eastAsia="Noto Sans CJK JP" w:cs="Noto Sans CJK JP"/>
        </w:rPr>
        <w:t>相談支援では窓口の数より、ケースを実際に動かす仕組みが重要です。地域包括支援センター、基幹相談支援センター、社協、保健師、生活困窮窓口、民生委員等の役割分担が必要です。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項目</w:t>
            </w:r>
          </w:p>
        </w:tc>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整理内容</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主な支援</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地域支援事業／地域生活支援事業／重層的支援体制整備事業交付金</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運用の要点</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アウトリーチ、多機関連携、個人情報共有、会議体の重複整理、進捗管理を確認する。</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計画記載の方向</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8050、障がいのある高齢者、生活困窮、ひきこもり等の複合課題に対応する体制として位置付ける。</w:t>
            </w:r>
          </w:p>
        </w:tc>
      </w:tr>
    </w:tbl>
    <w:p>
      <w:pPr>
        <w:pStyle w:val="Heading2"/>
      </w:pPr>
      <w:r>
        <w:rPr>
          <w:rFonts w:ascii="Noto Sans CJK JP" w:hAnsi="Noto Sans CJK JP" w:eastAsia="Noto Sans CJK JP" w:cs="Noto Sans CJK JP"/>
          <w:color w:val="1F4E79"/>
          <w:sz w:val="26"/>
        </w:rPr>
        <w:t>3-4. 日中活動・通いの場・就労機会</w:t>
      </w:r>
    </w:p>
    <w:p>
      <w:pPr>
        <w:spacing w:after="120" w:line="276" w:lineRule="auto"/>
      </w:pPr>
      <w:r>
        <w:rPr>
          <w:rFonts w:ascii="Noto Sans CJK JP" w:hAnsi="Noto Sans CJK JP" w:eastAsia="Noto Sans CJK JP" w:cs="Noto Sans CJK JP"/>
        </w:rPr>
        <w:t>日中活動は、利用者数だけではなく「行ける場所」「行ける手段」「続けられる担い手」で評価する必要があります。中山間地域では、既存施設の多目的利用や農福連携が現実的です。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項目</w:t>
            </w:r>
          </w:p>
        </w:tc>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整理内容</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主な支援</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地域支援事業／地域生活支援事業／障害者就業・生活支援センター／農山漁村振興交付金</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運用の要点</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送迎、担い手、作業確保、工賃、介護保険移行、共生型サービス、地域活動支援の役割を整理する。</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計画記載の方向</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農政、商工、観光、社福法人、B型事業所、JA等との連携を明記する。</w:t>
            </w:r>
          </w:p>
        </w:tc>
      </w:tr>
    </w:tbl>
    <w:p>
      <w:pPr>
        <w:pStyle w:val="Heading2"/>
      </w:pPr>
      <w:r>
        <w:rPr>
          <w:rFonts w:ascii="Noto Sans CJK JP" w:hAnsi="Noto Sans CJK JP" w:eastAsia="Noto Sans CJK JP" w:cs="Noto Sans CJK JP"/>
          <w:color w:val="1F4E79"/>
          <w:sz w:val="26"/>
        </w:rPr>
        <w:t>3-5. 緊急時対応・災害・親亡き後</w:t>
      </w:r>
    </w:p>
    <w:p>
      <w:pPr>
        <w:spacing w:after="120" w:line="276" w:lineRule="auto"/>
      </w:pPr>
      <w:r>
        <w:rPr>
          <w:rFonts w:ascii="Noto Sans CJK JP" w:hAnsi="Noto Sans CJK JP" w:eastAsia="Noto Sans CJK JP" w:cs="Noto Sans CJK JP"/>
        </w:rPr>
        <w:t>地域生活支援拠点等は施設を作ることではなく、緊急時に実際に動く体制を作ることが重要です。短期入所、夜間受入、医療的ケア対応が町内にない場合は圏域型・面的整備を前提にします。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項目</w:t>
            </w:r>
          </w:p>
        </w:tc>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整理内容</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主な支援</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地域生活支援拠点等／医療的ケア児等総合支援事業／地域支援事業／個別避難計画</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運用の要点</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相談、緊急受入、体験利用、専門的人材、地域体制づくりの5機能を点検する。</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計画記載の方向</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親亡き後、重度化・高齢化、災害時孤立、医療的ケア児の支援を一体で整理する。</w:t>
            </w:r>
          </w:p>
        </w:tc>
      </w:tr>
    </w:tbl>
    <w:p>
      <w:pPr>
        <w:pStyle w:val="Heading2"/>
      </w:pPr>
      <w:r>
        <w:rPr>
          <w:rFonts w:ascii="Noto Sans CJK JP" w:hAnsi="Noto Sans CJK JP" w:eastAsia="Noto Sans CJK JP" w:cs="Noto Sans CJK JP"/>
          <w:color w:val="1F4E79"/>
          <w:sz w:val="26"/>
        </w:rPr>
        <w:t>3-6. 人材確保・ICT・小規模事業所支援</w:t>
      </w:r>
    </w:p>
    <w:p>
      <w:pPr>
        <w:spacing w:after="120" w:line="276" w:lineRule="auto"/>
      </w:pPr>
      <w:r>
        <w:rPr>
          <w:rFonts w:ascii="Noto Sans CJK JP" w:hAnsi="Noto Sans CJK JP" w:eastAsia="Noto Sans CJK JP" w:cs="Noto Sans CJK JP"/>
        </w:rPr>
        <w:t>ICTは導入費補助よりも、運用定着が難しい施策です。導入目的、継続費用、職員研修、個人情報、共同導入、効果測定をセットで整理する必要があります。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項目</w:t>
            </w:r>
          </w:p>
        </w:tc>
        <w:tc>
          <w:tcPr>
            <w:tcW w:type="dxa" w:w="51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7"/>
              </w:rPr>
              <w:t>整理内容</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主な支援</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地域医療介護総合確保基金／介護テクノロジー導入支援／障害福祉分野のICT・介護テクノロジー導入支援</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運用の要点</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保守料、通信費、ライセンス費、クラウド利用、研修、業務フロー見直しを確認する。</w:t>
            </w:r>
          </w:p>
        </w:tc>
      </w:tr>
      <w:tr>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計画記載の方向</w:t>
            </w:r>
          </w:p>
        </w:tc>
        <w:tc>
          <w:tcPr>
            <w:tcW w:type="dxa" w:w="51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7"/>
              </w:rPr>
              <w:t>機器購入で終わらせず、記録時間削減、残業時間、訪問件数、離職率等で効果を測る。</w:t>
            </w:r>
          </w:p>
        </w:tc>
      </w:tr>
    </w:tbl>
    <w:p>
      <w:pPr>
        <w:pStyle w:val="Heading1"/>
      </w:pPr>
      <w:r>
        <w:rPr>
          <w:rFonts w:ascii="Noto Sans CJK JP" w:hAnsi="Noto Sans CJK JP" w:eastAsia="Noto Sans CJK JP" w:cs="Noto Sans CJK JP"/>
          <w:color w:val="17365D"/>
          <w:sz w:val="32"/>
        </w:rPr>
        <w:t>4. 実際の運用上の留意点</w:t>
      </w:r>
    </w:p>
    <w:p>
      <w:pPr>
        <w:spacing w:after="120" w:line="276" w:lineRule="auto"/>
      </w:pPr>
      <w:r>
        <w:rPr>
          <w:rFonts w:ascii="Noto Sans CJK JP" w:hAnsi="Noto Sans CJK JP" w:eastAsia="Noto Sans CJK JP" w:cs="Noto Sans CJK JP"/>
        </w:rPr>
        <w:t>制度活用時は、以下の10項目を事前に確認します。特に、補助金の単年度性、継続費、実施主体、対象経費、成果指標は、計画本文では見落とされやすい論点です。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c>
          <w:tcPr>
            <w:tcW w:type="dxa" w:w="34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No.</w:t>
            </w:r>
          </w:p>
        </w:tc>
        <w:tc>
          <w:tcPr>
            <w:tcW w:type="dxa" w:w="34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留意点</w:t>
            </w:r>
          </w:p>
        </w:tc>
        <w:tc>
          <w:tcPr>
            <w:tcW w:type="dxa" w:w="34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確認内容</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1</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「計画に書く」ことと「補助対象になる」ことは別</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対象経費、実施主体、補助率、事業期間、採択要件を個別に確認する。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2</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単年度補助と継続運営費を分ける</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ICT、車両、拠点、人件費、保守料、通信費等の翌年度以降負担を整理する。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3</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既存事業の財源振替に見えないようにする</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既存継続、拡充、新規、広域連携、効率化を区別して説明する。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4</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地域支援事業と地域生活支援事業を混同しない</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介護保険分野と障がい福祉分野で制度が異なるため、計画本文・予算科目を確認する。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5</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中山間地域等加算は対象地域確認が必須</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事業所所在地、利用者居住地、町村全域又は一部地区の該当可否を確認する。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6</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移動支援は公平性の説明が必要</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対象者、目的、負担額、利用上限、事業形態、安全管理、保険を整理する。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7</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障がい福祉は見込量と供給制約を分ける</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過去実績が少ない理由が需要不足か、供給不足かを区別する。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8</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圏域連携を最初から前提にする</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短期入所、医療的ケア児、強度行動障害、就労移行、夜間相談等は単独整備に限界がある。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9</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成果指標を「実施したか」だけにしない</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訪問可能地区、相談終結件数、移動支援利用目的、記録時間削減等を設定する。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10</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庁内所管を明確にする</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福祉、介護、障がい、交通、農政、防災、教育、保健、情報政策の役割を明確化する。</w:t>
            </w:r>
          </w:p>
        </w:tc>
      </w:tr>
    </w:tbl>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200"/>
      </w:tblGrid>
      <w:tr>
        <w:tc>
          <w:tcPr>
            <w:tcW w:type="dxa" w:w="10200"/>
            <w:shd w:fill="FDEBD0"/>
            <w:tcMar>
              <w:top w:w="120" w:type="dxa"/>
              <w:start w:w="140" w:type="dxa"/>
              <w:bottom w:w="120" w:type="dxa"/>
              <w:end w:w="140" w:type="dxa"/>
            </w:tcMar>
          </w:tcPr>
          <w:p>
            <w:pPr>
              <w:spacing w:after="80"/>
            </w:pPr>
            <w:r>
              <w:rPr>
                <w:rFonts w:ascii="Noto Sans CJK JP" w:hAnsi="Noto Sans CJK JP" w:eastAsia="Noto Sans CJK JP" w:cs="Noto Sans CJK JP"/>
                <w:b/>
                <w:color w:val="17365D"/>
                <w:sz w:val="21"/>
              </w:rPr>
              <w:t>Red Team視点</w:t>
            </w:r>
          </w:p>
          <w:p>
            <w:pPr>
              <w:spacing w:after="0" w:line="264" w:lineRule="auto"/>
            </w:pPr>
            <w:r>
              <w:rPr>
                <w:rFonts w:ascii="Noto Sans CJK JP" w:hAnsi="Noto Sans CJK JP" w:eastAsia="Noto Sans CJK JP" w:cs="Noto Sans CJK JP"/>
                <w:sz w:val="19"/>
              </w:rPr>
              <w:t>推測ですが、小規模町村の障がい計画で最も危険なのは、過去実績だけで見込量を置くことです。実績が少ない理由が「需要がない」のか「サービスがなく利用できなかった」のかを分けないと、必要量を過小評価します。</w:t>
            </w:r>
          </w:p>
        </w:tc>
      </w:tr>
    </w:tbl>
    <w:p>
      <w:pPr>
        <w:pStyle w:val="Heading1"/>
      </w:pPr>
      <w:r>
        <w:rPr>
          <w:rFonts w:ascii="Noto Sans CJK JP" w:hAnsi="Noto Sans CJK JP" w:eastAsia="Noto Sans CJK JP" w:cs="Noto Sans CJK JP"/>
          <w:color w:val="17365D"/>
          <w:sz w:val="32"/>
        </w:rPr>
        <w:t>5. 市町村事業の申請・採択・実施状況の確認方法</w:t>
      </w:r>
    </w:p>
    <w:p>
      <w:pPr>
        <w:spacing w:after="120" w:line="276" w:lineRule="auto"/>
      </w:pPr>
      <w:r>
        <w:rPr>
          <w:rFonts w:ascii="Noto Sans CJK JP" w:hAnsi="Noto Sans CJK JP" w:eastAsia="Noto Sans CJK JP" w:cs="Noto Sans CJK JP"/>
          <w:b/>
        </w:rPr>
        <w:t>結論：</w:t>
      </w:r>
      <w:r>
        <w:rPr>
          <w:rFonts w:ascii="Noto Sans CJK JP" w:hAnsi="Noto Sans CJK JP" w:eastAsia="Noto Sans CJK JP" w:cs="Noto Sans CJK JP"/>
        </w:rPr>
        <w:t>市町村が申請中の事業を外部から一元的に確認できる公開サイトは原則ありません。実務では、採択結果、交付決定情報、実施状況調査、自治体の予算書・補正予算説明資料から逆引きします。</w:t>
      </w:r>
    </w:p>
    <w:p>
      <w:pPr>
        <w:spacing w:after="120" w:line="276" w:lineRule="auto"/>
      </w:pPr>
      <w:r>
        <w:rPr>
          <w:rFonts w:ascii="Noto Sans CJK JP" w:hAnsi="Noto Sans CJK JP" w:eastAsia="Noto Sans CJK JP" w:cs="Noto Sans CJK JP"/>
        </w:rPr>
        <w:t>Jグランツ等の電子申請システムでは、申請者本人がマイページで申請状況を確認できますが、他自治体の申請中案件を外部から一覧確認する用途には向きません。</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5"/>
              </w:rPr>
              <w:t>分野</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5"/>
              </w:rPr>
              <w:t>確認先</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5"/>
              </w:rPr>
              <w:t>確認できる内容</w:t>
            </w:r>
          </w:p>
        </w:tc>
        <w:tc>
          <w:tcPr>
            <w:tcW w:type="dxa" w:w="255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5"/>
              </w:rPr>
              <w:t>実務上の使い方</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地方創生系</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新しい地方経済・生活環境創生交付金</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採択結果、交付対象事業、事業概要</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福祉、交通、デジタル、地域づくりを横断確認</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地方創生系</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デジタル田園都市国家構想交付金</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過年度の採択事例、都道府県別資料</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見守り、予約型交通、オンライン相談等を確認</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地方創生系</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物価高騰対応重点支援地方創生臨時交付金</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地方公共団体別実施計画</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福祉施設支援、生活支援、燃料費支援等を確認</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地域医療介護総合確保基金</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都道府県計画、内示、介護施設整備・人材確保</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県計画・県募集ページまで確認</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介護</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総合事業・地域支援事業の実施状況調査</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市町村の実施状況、通いの場、総合事業類型</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補助金申請ではなく実施実態確認に使用</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障がい</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地域生活支援事業ページ</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地域生活支援事業・促進事業の制度内容、実施状況</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移動支援、日中一時、地域活動支援センター等を確認</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障がい</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地域生活支援拠点等の整備状況</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市町村別・圏域別の整備状況</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圏域型・面的整備の確認に有効</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障がい</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障害者相談支援事業の実施状況</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セルフプラン率、モニタリング期間、市町村別データ</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相談支援専門員不足の把握に有効</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交通</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地域公共交通確保維持改善事業</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生活交通、フィーダー交通、バリアフリー等</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福祉移動と公共交通の接続確認</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農福</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農山漁村振興交付金・農福連携型</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公募結果、交付候補者、事業概要</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B型工賃、農業・地場産業との連携確認</w:t>
            </w:r>
          </w:p>
        </w:tc>
      </w:tr>
      <w:tr>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電子申請</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Jグランツ</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申請者本人の申請・通知・申請状況</w:t>
            </w:r>
          </w:p>
        </w:tc>
        <w:tc>
          <w:tcPr>
            <w:tcW w:type="dxa" w:w="255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5"/>
              </w:rPr>
              <w:t>外部から他自治体の申請中案件は原則確認不可</w:t>
            </w:r>
          </w:p>
        </w:tc>
      </w:tr>
    </w:tbl>
    <w:p>
      <w:pPr>
        <w:pStyle w:val="Heading1"/>
      </w:pPr>
      <w:r>
        <w:rPr>
          <w:rFonts w:ascii="Noto Sans CJK JP" w:hAnsi="Noto Sans CJK JP" w:eastAsia="Noto Sans CJK JP" w:cs="Noto Sans CJK JP"/>
          <w:color w:val="17365D"/>
          <w:sz w:val="32"/>
        </w:rPr>
        <w:t>6. 計画本文への反映例</w:t>
      </w:r>
    </w:p>
    <w:p>
      <w:pPr>
        <w:spacing w:after="120" w:line="276" w:lineRule="auto"/>
      </w:pPr>
      <w:r>
        <w:rPr>
          <w:rFonts w:ascii="Noto Sans CJK JP" w:hAnsi="Noto Sans CJK JP" w:eastAsia="Noto Sans CJK JP" w:cs="Noto Sans CJK JP"/>
        </w:rPr>
        <w:t>以下は、高齢者介護計画、障がい者計画、障害福祉計画、障害児福祉計画のいずれにも応用しやすい本文例です。自治体固有の地名、圏域、既存事業名、事業所名に置き換えて使用します。</w:t>
      </w:r>
    </w:p>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200"/>
      </w:tblGrid>
      <w:tr>
        <w:tc>
          <w:tcPr>
            <w:tcW w:type="dxa" w:w="10200"/>
            <w:shd w:fill="F4F6F7"/>
            <w:tcMar>
              <w:top w:w="120" w:type="dxa"/>
              <w:start w:w="140" w:type="dxa"/>
              <w:bottom w:w="120" w:type="dxa"/>
              <w:end w:w="140" w:type="dxa"/>
            </w:tcMar>
          </w:tcPr>
          <w:p>
            <w:pPr>
              <w:spacing w:after="80"/>
            </w:pPr>
            <w:r>
              <w:rPr>
                <w:rFonts w:ascii="Noto Sans CJK JP" w:hAnsi="Noto Sans CJK JP" w:eastAsia="Noto Sans CJK JP" w:cs="Noto Sans CJK JP"/>
                <w:b/>
                <w:color w:val="17365D"/>
                <w:sz w:val="21"/>
              </w:rPr>
              <w:t>中山間地域におけるサービス提供体制の確保</w:t>
            </w:r>
          </w:p>
          <w:p>
            <w:pPr>
              <w:spacing w:after="0" w:line="264" w:lineRule="auto"/>
            </w:pPr>
            <w:r>
              <w:rPr>
                <w:rFonts w:ascii="Noto Sans CJK JP" w:hAnsi="Noto Sans CJK JP" w:eastAsia="Noto Sans CJK JP" w:cs="Noto Sans CJK JP"/>
                <w:sz w:val="19"/>
              </w:rPr>
              <w:t>本町では、集落が分散し、移動距離や冬期間の移動負担が大きいことから、訪問系サービス、相談支援、移動支援、日中活動、緊急時対応等の提供体制確保が重要な課題となっている。高齢者介護分野では、地域支援事業、介護予防・日常生活支援総合事業、訪問介護等サービス提供体制確保支援事業、介護報酬上の中山間地域等加算等の活用を検討し、訪問・生活支援・介護予防の基盤維持を図る。</w:t>
            </w:r>
          </w:p>
        </w:tc>
      </w:tr>
    </w:tbl>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200"/>
      </w:tblGrid>
      <w:tr>
        <w:tc>
          <w:tcPr>
            <w:tcW w:type="dxa" w:w="10200"/>
            <w:shd w:fill="F4F6F7"/>
            <w:tcMar>
              <w:top w:w="120" w:type="dxa"/>
              <w:start w:w="140" w:type="dxa"/>
              <w:bottom w:w="120" w:type="dxa"/>
              <w:end w:w="140" w:type="dxa"/>
            </w:tcMar>
          </w:tcPr>
          <w:p>
            <w:pPr>
              <w:spacing w:after="80"/>
            </w:pPr>
            <w:r>
              <w:rPr>
                <w:rFonts w:ascii="Noto Sans CJK JP" w:hAnsi="Noto Sans CJK JP" w:eastAsia="Noto Sans CJK JP" w:cs="Noto Sans CJK JP"/>
                <w:b/>
                <w:color w:val="17365D"/>
                <w:sz w:val="21"/>
              </w:rPr>
              <w:t>障がい福祉における地域生活支援</w:t>
            </w:r>
          </w:p>
          <w:p>
            <w:pPr>
              <w:spacing w:after="0" w:line="264" w:lineRule="auto"/>
            </w:pPr>
            <w:r>
              <w:rPr>
                <w:rFonts w:ascii="Noto Sans CJK JP" w:hAnsi="Noto Sans CJK JP" w:eastAsia="Noto Sans CJK JP" w:cs="Noto Sans CJK JP"/>
                <w:sz w:val="19"/>
              </w:rPr>
              <w:t>障がいのある人が住み慣れた地域で生活を継続できるよう、地域生活支援事業、地域生活支援拠点等、医療的ケア児等総合支援事業、障害福祉分野のICT・介護テクノロジー導入支援等を活用し、相談支援、移動支援、日中活動、緊急時対応、地域移行・地域定着の体制整備を進める。</w:t>
            </w:r>
          </w:p>
        </w:tc>
      </w:tr>
    </w:tbl>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200"/>
      </w:tblGrid>
      <w:tr>
        <w:tc>
          <w:tcPr>
            <w:tcW w:type="dxa" w:w="10200"/>
            <w:shd w:fill="F4F6F7"/>
            <w:tcMar>
              <w:top w:w="120" w:type="dxa"/>
              <w:start w:w="140" w:type="dxa"/>
              <w:bottom w:w="120" w:type="dxa"/>
              <w:end w:w="140" w:type="dxa"/>
            </w:tcMar>
          </w:tcPr>
          <w:p>
            <w:pPr>
              <w:spacing w:after="80"/>
            </w:pPr>
            <w:r>
              <w:rPr>
                <w:rFonts w:ascii="Noto Sans CJK JP" w:hAnsi="Noto Sans CJK JP" w:eastAsia="Noto Sans CJK JP" w:cs="Noto Sans CJK JP"/>
                <w:b/>
                <w:color w:val="17365D"/>
                <w:sz w:val="21"/>
              </w:rPr>
              <w:t>移動・外出支援の横断的検討</w:t>
            </w:r>
          </w:p>
          <w:p>
            <w:pPr>
              <w:spacing w:after="0" w:line="264" w:lineRule="auto"/>
            </w:pPr>
            <w:r>
              <w:rPr>
                <w:rFonts w:ascii="Noto Sans CJK JP" w:hAnsi="Noto Sans CJK JP" w:eastAsia="Noto Sans CJK JP" w:cs="Noto Sans CJK JP"/>
                <w:sz w:val="19"/>
              </w:rPr>
              <w:t>移動手段の確保は、高齢者の介護予防・通院・買物、障がいのある人の社会参加・日中活動・通所、児童の通所支援等に共通する課題であるため、福祉施策と地域公共交通施策を分けて整理した上で、庁内横断的に連携する。</w:t>
            </w:r>
          </w:p>
        </w:tc>
      </w:tr>
    </w:tbl>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10200"/>
      </w:tblGrid>
      <w:tr>
        <w:tc>
          <w:tcPr>
            <w:tcW w:type="dxa" w:w="10200"/>
            <w:shd w:fill="F4F6F7"/>
            <w:tcMar>
              <w:top w:w="120" w:type="dxa"/>
              <w:start w:w="140" w:type="dxa"/>
              <w:bottom w:w="120" w:type="dxa"/>
              <w:end w:w="140" w:type="dxa"/>
            </w:tcMar>
          </w:tcPr>
          <w:p>
            <w:pPr>
              <w:spacing w:after="80"/>
            </w:pPr>
            <w:r>
              <w:rPr>
                <w:rFonts w:ascii="Noto Sans CJK JP" w:hAnsi="Noto Sans CJK JP" w:eastAsia="Noto Sans CJK JP" w:cs="Noto Sans CJK JP"/>
                <w:b/>
                <w:color w:val="17365D"/>
                <w:sz w:val="21"/>
              </w:rPr>
              <w:t>圏域連携の明確化</w:t>
            </w:r>
          </w:p>
          <w:p>
            <w:pPr>
              <w:spacing w:after="0" w:line="264" w:lineRule="auto"/>
            </w:pPr>
            <w:r>
              <w:rPr>
                <w:rFonts w:ascii="Noto Sans CJK JP" w:hAnsi="Noto Sans CJK JP" w:eastAsia="Noto Sans CJK JP" w:cs="Noto Sans CJK JP"/>
                <w:sz w:val="19"/>
              </w:rPr>
              <w:t>短期入所、医療的ケア児支援、強度行動障害支援、就労移行支援、休日・夜間相談、緊急受入等については、町単独での整備に限界があるため、圏域における既存資源の活用、関係自治体・事業所・医療機関との連携により、必要な支援体制の確保を図る。</w:t>
            </w:r>
          </w:p>
        </w:tc>
      </w:tr>
    </w:tbl>
    <w:p>
      <w:pPr>
        <w:pStyle w:val="Heading1"/>
      </w:pPr>
      <w:r>
        <w:rPr>
          <w:rFonts w:ascii="Noto Sans CJK JP" w:hAnsi="Noto Sans CJK JP" w:eastAsia="Noto Sans CJK JP" w:cs="Noto Sans CJK JP"/>
          <w:color w:val="17365D"/>
          <w:sz w:val="32"/>
        </w:rPr>
        <w:t>7. 実施前チェックリスト</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c>
          <w:tcPr>
            <w:tcW w:type="dxa" w:w="34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段階</w:t>
            </w:r>
          </w:p>
        </w:tc>
        <w:tc>
          <w:tcPr>
            <w:tcW w:type="dxa" w:w="34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確認項目</w:t>
            </w:r>
          </w:p>
        </w:tc>
        <w:tc>
          <w:tcPr>
            <w:tcW w:type="dxa" w:w="3400"/>
            <w:vAlign w:val="top"/>
            <w:tcMar>
              <w:top w:w="80" w:type="dxa"/>
              <w:start w:w="80" w:type="dxa"/>
              <w:bottom w:w="80" w:type="dxa"/>
              <w:end w:w="80" w:type="dxa"/>
            </w:tcMar>
            <w:shd w:fill="1F4E79"/>
          </w:tcPr>
          <w:p>
            <w:pPr>
              <w:spacing w:after="0" w:line="252" w:lineRule="auto"/>
            </w:pPr>
            <w:r>
              <w:rPr>
                <w:rFonts w:ascii="Noto Sans CJK JP" w:hAnsi="Noto Sans CJK JP" w:eastAsia="Noto Sans CJK JP" w:cs="Noto Sans CJK JP"/>
                <w:b/>
                <w:color w:val="FFFFFF"/>
                <w:sz w:val="16"/>
              </w:rPr>
              <w:t>確認内容</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計画策定時</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地域課題</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訪問困難地区、交通空白、相談支援不足、日中活動不足、緊急受入不足を把握したか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計画策定時</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供給制約</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事業所の提供可能地域、職員数、送迎範囲、撤退リスクを確認したか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予算化前</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補助対象</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対象経費、補助率、実施主体、県負担、一般財源負担を確認したか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予算化前</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継続費</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人件費、保守料、通信費、車両維持費、委託料を見込んだか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実施前</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庁内体制</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福祉、介護、障がい、交通、農政、防災、教育、保健の役割を整理したか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実施前</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関係者調整</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事業所、社協、NPO、医療機関、農業法人、交通事業者と調整したか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実施後</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成果指標</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利用者数だけでなく、到達地区、移動時間、相談終結、緊急受入、職員負担軽減を測定したか</w:t>
            </w:r>
          </w:p>
        </w:tc>
      </w:tr>
      <w:tr>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実施後</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次期計画接続</w:t>
            </w:r>
          </w:p>
        </w:tc>
        <w:tc>
          <w:tcPr>
            <w:tcW w:type="dxa" w:w="3400"/>
            <w:vAlign w:val="top"/>
            <w:tcMar>
              <w:top w:w="80" w:type="dxa"/>
              <w:start w:w="80" w:type="dxa"/>
              <w:bottom w:w="80" w:type="dxa"/>
              <w:end w:w="80" w:type="dxa"/>
            </w:tcMar>
          </w:tcPr>
          <w:p>
            <w:pPr>
              <w:spacing w:after="0" w:line="252" w:lineRule="auto"/>
            </w:pPr>
            <w:r>
              <w:rPr>
                <w:rFonts w:ascii="Noto Sans CJK JP" w:hAnsi="Noto Sans CJK JP" w:eastAsia="Noto Sans CJK JP" w:cs="Noto Sans CJK JP"/>
                <w:sz w:val="16"/>
              </w:rPr>
              <w:t>実績値、未充足ニーズ、供給制約を次期見込量に反映したか</w:t>
            </w:r>
          </w:p>
        </w:tc>
      </w:tr>
    </w:tbl>
    <w:p>
      <w:pPr>
        <w:pStyle w:val="Heading1"/>
      </w:pPr>
      <w:r>
        <w:rPr>
          <w:rFonts w:ascii="Noto Sans CJK JP" w:hAnsi="Noto Sans CJK JP" w:eastAsia="Noto Sans CJK JP" w:cs="Noto Sans CJK JP"/>
          <w:color w:val="17365D"/>
          <w:sz w:val="32"/>
        </w:rPr>
        <w:t>8. 参照先・確認サイト一覧</w:t>
      </w:r>
    </w:p>
    <w:p>
      <w:pPr>
        <w:spacing w:after="120" w:line="276" w:lineRule="auto"/>
      </w:pPr>
      <w:r>
        <w:rPr>
          <w:rFonts w:ascii="Noto Sans CJK JP" w:hAnsi="Noto Sans CJK JP" w:eastAsia="Noto Sans CJK JP" w:cs="Noto Sans CJK JP"/>
        </w:rPr>
        <w:t>以下は、今後の詳細調査・予算化・申請時に確認すべき主な公式サイトです。制度・公募情報は年度更新されるため、最新資料を確認してください。</w:t>
      </w:r>
    </w:p>
    <w:p>
      <w:pPr>
        <w:spacing w:after="20"/>
      </w:pPr>
      <w:r>
        <w:rPr>
          <w:rFonts w:ascii="Noto Sans CJK JP" w:hAnsi="Noto Sans CJK JP" w:eastAsia="Noto Sans CJK JP" w:cs="Noto Sans CJK JP"/>
          <w:b/>
          <w:sz w:val="17"/>
        </w:rPr>
        <w:t>内閣官房・内閣府地方創生：新しい地方経済・生活環境創生交付金：</w:t>
      </w:r>
      <w:r>
        <w:rPr>
          <w:rFonts w:ascii="Noto Sans CJK JP" w:hAnsi="Noto Sans CJK JP" w:eastAsia="Noto Sans CJK JP" w:cs="Noto Sans CJK JP"/>
          <w:color w:val="0563C1"/>
          <w:sz w:val="16"/>
        </w:rPr>
        <w:t>https://www.chisou.go.jp/sousei/about/shinchihoukouhukin/index.html</w:t>
      </w:r>
    </w:p>
    <w:p>
      <w:pPr>
        <w:spacing w:after="20"/>
      </w:pPr>
      <w:r>
        <w:rPr>
          <w:rFonts w:ascii="Noto Sans CJK JP" w:hAnsi="Noto Sans CJK JP" w:eastAsia="Noto Sans CJK JP" w:cs="Noto Sans CJK JP"/>
          <w:b/>
          <w:sz w:val="17"/>
        </w:rPr>
        <w:t>内閣官房・内閣府地方創生：デジタル田園都市国家構想交付金 事例・概要：</w:t>
      </w:r>
      <w:r>
        <w:rPr>
          <w:rFonts w:ascii="Noto Sans CJK JP" w:hAnsi="Noto Sans CJK JP" w:eastAsia="Noto Sans CJK JP" w:cs="Noto Sans CJK JP"/>
          <w:color w:val="0563C1"/>
          <w:sz w:val="16"/>
        </w:rPr>
        <w:t>https://www.chisou.go.jp/sousei/about/kouhukin/zirei_gaiyo/index.html</w:t>
      </w:r>
    </w:p>
    <w:p>
      <w:pPr>
        <w:spacing w:after="20"/>
      </w:pPr>
      <w:r>
        <w:rPr>
          <w:rFonts w:ascii="Noto Sans CJK JP" w:hAnsi="Noto Sans CJK JP" w:eastAsia="Noto Sans CJK JP" w:cs="Noto Sans CJK JP"/>
          <w:b/>
          <w:sz w:val="17"/>
        </w:rPr>
        <w:t>内閣官房・内閣府地方創生：物価高騰対応重点支援地方創生臨時交付金：</w:t>
      </w:r>
      <w:r>
        <w:rPr>
          <w:rFonts w:ascii="Noto Sans CJK JP" w:hAnsi="Noto Sans CJK JP" w:eastAsia="Noto Sans CJK JP" w:cs="Noto Sans CJK JP"/>
          <w:color w:val="0563C1"/>
          <w:sz w:val="16"/>
        </w:rPr>
        <w:t>https://www.chisou.go.jp/tiiki/rinjikoufukin/juutenshien.html</w:t>
      </w:r>
    </w:p>
    <w:p>
      <w:pPr>
        <w:spacing w:after="20"/>
      </w:pPr>
      <w:r>
        <w:rPr>
          <w:rFonts w:ascii="Noto Sans CJK JP" w:hAnsi="Noto Sans CJK JP" w:eastAsia="Noto Sans CJK JP" w:cs="Noto Sans CJK JP"/>
          <w:b/>
          <w:sz w:val="17"/>
        </w:rPr>
        <w:t>厚生労働省：地域医療介護総合確保基金（令和6年度）：</w:t>
      </w:r>
      <w:r>
        <w:rPr>
          <w:rFonts w:ascii="Noto Sans CJK JP" w:hAnsi="Noto Sans CJK JP" w:eastAsia="Noto Sans CJK JP" w:cs="Noto Sans CJK JP"/>
          <w:color w:val="0563C1"/>
          <w:sz w:val="16"/>
        </w:rPr>
        <w:t>https://www.mhlw.go.jp/stf/seisakunitsuite/bunya/0000199985_00009.html</w:t>
      </w:r>
    </w:p>
    <w:p>
      <w:pPr>
        <w:spacing w:after="20"/>
      </w:pPr>
      <w:r>
        <w:rPr>
          <w:rFonts w:ascii="Noto Sans CJK JP" w:hAnsi="Noto Sans CJK JP" w:eastAsia="Noto Sans CJK JP" w:cs="Noto Sans CJK JP"/>
          <w:b/>
          <w:sz w:val="17"/>
        </w:rPr>
        <w:t>厚生労働省：令和6年度地域医療介護総合確保基金（介護分）の内示：</w:t>
      </w:r>
      <w:r>
        <w:rPr>
          <w:rFonts w:ascii="Noto Sans CJK JP" w:hAnsi="Noto Sans CJK JP" w:eastAsia="Noto Sans CJK JP" w:cs="Noto Sans CJK JP"/>
          <w:color w:val="0563C1"/>
          <w:sz w:val="16"/>
        </w:rPr>
        <w:t>https://www.mhlw.go.jp/stf/kikin_R6_1_00002.html</w:t>
      </w:r>
    </w:p>
    <w:p>
      <w:pPr>
        <w:spacing w:after="20"/>
      </w:pPr>
      <w:r>
        <w:rPr>
          <w:rFonts w:ascii="Noto Sans CJK JP" w:hAnsi="Noto Sans CJK JP" w:eastAsia="Noto Sans CJK JP" w:cs="Noto Sans CJK JP"/>
          <w:b/>
          <w:sz w:val="17"/>
        </w:rPr>
        <w:t>厚生労働省：介護予防・日常生活支援総合事業の実施状況調査：</w:t>
      </w:r>
      <w:r>
        <w:rPr>
          <w:rFonts w:ascii="Noto Sans CJK JP" w:hAnsi="Noto Sans CJK JP" w:eastAsia="Noto Sans CJK JP" w:cs="Noto Sans CJK JP"/>
          <w:color w:val="0563C1"/>
          <w:sz w:val="16"/>
        </w:rPr>
        <w:t>https://www.mhlw.go.jp/stf/seisakunitsuite/bunya/r5sogojigyo_surveyresults.html</w:t>
      </w:r>
    </w:p>
    <w:p>
      <w:pPr>
        <w:spacing w:after="20"/>
      </w:pPr>
      <w:r>
        <w:rPr>
          <w:rFonts w:ascii="Noto Sans CJK JP" w:hAnsi="Noto Sans CJK JP" w:eastAsia="Noto Sans CJK JP" w:cs="Noto Sans CJK JP"/>
          <w:b/>
          <w:sz w:val="17"/>
        </w:rPr>
        <w:t>厚生労働省：地域生活支援事業：</w:t>
      </w:r>
      <w:r>
        <w:rPr>
          <w:rFonts w:ascii="Noto Sans CJK JP" w:hAnsi="Noto Sans CJK JP" w:eastAsia="Noto Sans CJK JP" w:cs="Noto Sans CJK JP"/>
          <w:color w:val="0563C1"/>
          <w:sz w:val="16"/>
        </w:rPr>
        <w:t>https://www.mhlw.go.jp/stf/seisakunitsuite/bunya/hukushi_kaigo/shougaishahukushi/chiiki/index.html</w:t>
      </w:r>
    </w:p>
    <w:p>
      <w:pPr>
        <w:spacing w:after="20"/>
      </w:pPr>
      <w:r>
        <w:rPr>
          <w:rFonts w:ascii="Noto Sans CJK JP" w:hAnsi="Noto Sans CJK JP" w:eastAsia="Noto Sans CJK JP" w:cs="Noto Sans CJK JP"/>
          <w:b/>
          <w:sz w:val="17"/>
        </w:rPr>
        <w:t>厚生労働省：地域生活支援拠点等：</w:t>
      </w:r>
      <w:r>
        <w:rPr>
          <w:rFonts w:ascii="Noto Sans CJK JP" w:hAnsi="Noto Sans CJK JP" w:eastAsia="Noto Sans CJK JP" w:cs="Noto Sans CJK JP"/>
          <w:color w:val="0563C1"/>
          <w:sz w:val="16"/>
        </w:rPr>
        <w:t>https://www.mhlw.go.jp/stf/seisakunitsuite/bunya/0000128378.html</w:t>
      </w:r>
    </w:p>
    <w:p>
      <w:pPr>
        <w:spacing w:after="20"/>
      </w:pPr>
      <w:r>
        <w:rPr>
          <w:rFonts w:ascii="Noto Sans CJK JP" w:hAnsi="Noto Sans CJK JP" w:eastAsia="Noto Sans CJK JP" w:cs="Noto Sans CJK JP"/>
          <w:b/>
          <w:sz w:val="17"/>
        </w:rPr>
        <w:t>厚生労働省：障害者相談支援事業の実施状況等：</w:t>
      </w:r>
      <w:r>
        <w:rPr>
          <w:rFonts w:ascii="Noto Sans CJK JP" w:hAnsi="Noto Sans CJK JP" w:eastAsia="Noto Sans CJK JP" w:cs="Noto Sans CJK JP"/>
          <w:color w:val="0563C1"/>
          <w:sz w:val="16"/>
        </w:rPr>
        <w:t>https://www.mhlw.go.jp/stf/newpage_51943.html</w:t>
      </w:r>
    </w:p>
    <w:p>
      <w:pPr>
        <w:spacing w:after="20"/>
      </w:pPr>
      <w:r>
        <w:rPr>
          <w:rFonts w:ascii="Noto Sans CJK JP" w:hAnsi="Noto Sans CJK JP" w:eastAsia="Noto Sans CJK JP" w:cs="Noto Sans CJK JP"/>
          <w:b/>
          <w:sz w:val="17"/>
        </w:rPr>
        <w:t>国土交通省：地域公共交通確保維持改善事業：</w:t>
      </w:r>
      <w:r>
        <w:rPr>
          <w:rFonts w:ascii="Noto Sans CJK JP" w:hAnsi="Noto Sans CJK JP" w:eastAsia="Noto Sans CJK JP" w:cs="Noto Sans CJK JP"/>
          <w:color w:val="0563C1"/>
          <w:sz w:val="16"/>
        </w:rPr>
        <w:t>https://www.mlit.go.jp/sogoseisaku/transport/sosei_transport_tk_000041.html</w:t>
      </w:r>
    </w:p>
    <w:p>
      <w:pPr>
        <w:spacing w:after="20"/>
      </w:pPr>
      <w:r>
        <w:rPr>
          <w:rFonts w:ascii="Noto Sans CJK JP" w:hAnsi="Noto Sans CJK JP" w:eastAsia="Noto Sans CJK JP" w:cs="Noto Sans CJK JP"/>
          <w:b/>
          <w:sz w:val="17"/>
        </w:rPr>
        <w:t>農林水産省：農山漁村振興交付金：</w:t>
      </w:r>
      <w:r>
        <w:rPr>
          <w:rFonts w:ascii="Noto Sans CJK JP" w:hAnsi="Noto Sans CJK JP" w:eastAsia="Noto Sans CJK JP" w:cs="Noto Sans CJK JP"/>
          <w:color w:val="0563C1"/>
          <w:sz w:val="16"/>
        </w:rPr>
        <w:t>https://www.maff.go.jp/j/nousin/kouryu/shinko_kouhukin.html</w:t>
      </w:r>
    </w:p>
    <w:p>
      <w:pPr>
        <w:spacing w:after="20"/>
      </w:pPr>
      <w:r>
        <w:rPr>
          <w:rFonts w:ascii="Noto Sans CJK JP" w:hAnsi="Noto Sans CJK JP" w:eastAsia="Noto Sans CJK JP" w:cs="Noto Sans CJK JP"/>
          <w:b/>
          <w:sz w:val="17"/>
        </w:rPr>
        <w:t>Jグランツ：補助金電子申請システム：</w:t>
      </w:r>
      <w:r>
        <w:rPr>
          <w:rFonts w:ascii="Noto Sans CJK JP" w:hAnsi="Noto Sans CJK JP" w:eastAsia="Noto Sans CJK JP" w:cs="Noto Sans CJK JP"/>
          <w:color w:val="0563C1"/>
          <w:sz w:val="16"/>
        </w:rPr>
        <w:t>https://www.jgrants-portal.go.jp/</w:t>
      </w:r>
    </w:p>
    <w:p>
      <w:pPr>
        <w:spacing w:after="20"/>
      </w:pPr>
      <w:r>
        <w:rPr>
          <w:rFonts w:ascii="Noto Sans CJK JP" w:hAnsi="Noto Sans CJK JP" w:eastAsia="Noto Sans CJK JP" w:cs="Noto Sans CJK JP"/>
          <w:b/>
          <w:sz w:val="17"/>
        </w:rPr>
        <w:t>デジタル庁：Jグランツ：</w:t>
      </w:r>
      <w:r>
        <w:rPr>
          <w:rFonts w:ascii="Noto Sans CJK JP" w:hAnsi="Noto Sans CJK JP" w:eastAsia="Noto Sans CJK JP" w:cs="Noto Sans CJK JP"/>
          <w:color w:val="0563C1"/>
          <w:sz w:val="16"/>
        </w:rPr>
        <w:t>https://services.digital.go.jp/jgrants/</w:t>
      </w:r>
    </w:p>
    <w:p>
      <w:pPr>
        <w:pStyle w:val="Heading1"/>
      </w:pPr>
      <w:r>
        <w:rPr>
          <w:rFonts w:ascii="Noto Sans CJK JP" w:hAnsi="Noto Sans CJK JP" w:eastAsia="Noto Sans CJK JP" w:cs="Noto Sans CJK JP"/>
          <w:color w:val="17365D"/>
          <w:sz w:val="32"/>
        </w:rPr>
        <w:t>9. 最終整理</w:t>
      </w:r>
    </w:p>
    <w:p>
      <w:pPr>
        <w:spacing w:after="120" w:line="276" w:lineRule="auto"/>
      </w:pPr>
      <w:r>
        <w:rPr>
          <w:rFonts w:ascii="Noto Sans CJK JP" w:hAnsi="Noto Sans CJK JP" w:eastAsia="Noto Sans CJK JP" w:cs="Noto Sans CJK JP"/>
        </w:rPr>
        <w:t>最終的には、制度名を列挙するのではなく、「地域課題 → 対応策 → 実施主体 → 財源候補 → 成果指標 → 次期見込量への反映」の順で整理することが重要です。</w:t>
      </w:r>
    </w:p>
    <w:p>
      <w:pPr>
        <w:pStyle w:val="ListBullet"/>
        <w:spacing w:after="40"/>
      </w:pPr>
      <w:r>
        <w:rPr>
          <w:rFonts w:ascii="Noto Sans CJK JP" w:hAnsi="Noto Sans CJK JP" w:eastAsia="Noto Sans CJK JP" w:cs="Noto Sans CJK JP"/>
          <w:sz w:val="20"/>
        </w:rPr>
        <w:t>高齢者介護計画では、訪問介護、総合事業、地域支援事業、地域包括支援センター、移動・通いの場に接続する。</w:t>
      </w:r>
    </w:p>
    <w:p>
      <w:pPr>
        <w:pStyle w:val="ListBullet"/>
        <w:spacing w:after="40"/>
      </w:pPr>
      <w:r>
        <w:rPr>
          <w:rFonts w:ascii="Noto Sans CJK JP" w:hAnsi="Noto Sans CJK JP" w:eastAsia="Noto Sans CJK JP" w:cs="Noto Sans CJK JP"/>
          <w:sz w:val="20"/>
        </w:rPr>
        <w:t>障がい計画では、地域生活支援事業、相談支援、地域生活支援拠点等、移動支援、日中活動、就労、医療的ケア児支援に接続する。</w:t>
      </w:r>
    </w:p>
    <w:p>
      <w:pPr>
        <w:pStyle w:val="ListBullet"/>
        <w:spacing w:after="40"/>
      </w:pPr>
      <w:r>
        <w:rPr>
          <w:rFonts w:ascii="Noto Sans CJK JP" w:hAnsi="Noto Sans CJK JP" w:eastAsia="Noto Sans CJK JP" w:cs="Noto Sans CJK JP"/>
          <w:sz w:val="20"/>
        </w:rPr>
        <w:t>中山間地域では、単独整備よりも圏域連携、既存資源の多目的利用、ICT活用、移動支援との一体設計が現実的である。</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s="Noto Sans CJK JP"/>
        <w:color w:val="666666"/>
        <w:sz w:val="16"/>
      </w:rPr>
      <w:t>中山間地域における高齢者介護・障がい計画支援制度整理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3" ma:contentTypeDescription="新しいドキュメントを作成します。" ma:contentTypeScope="" ma:versionID="8ccb5bcf90c5f0008f3d31778e135dfe">
  <xsd:schema xmlns:xsd="http://www.w3.org/2001/XMLSchema" xmlns:xs="http://www.w3.org/2001/XMLSchema" xmlns:p="http://schemas.microsoft.com/office/2006/metadata/properties" xmlns:ns2="b5562210-ba99-4384-9cbe-4d710e47e222" targetNamespace="http://schemas.microsoft.com/office/2006/metadata/properties" ma:root="true" ma:fieldsID="f228a1758e85a31ec842917818e7c066"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EE4C04-0A34-42C5-9D41-FE768D2221BB}"/>
</file>

<file path=customXml/itemProps3.xml><?xml version="1.0" encoding="utf-8"?>
<ds:datastoreItem xmlns:ds="http://schemas.openxmlformats.org/officeDocument/2006/customXml" ds:itemID="{8AD17499-82F6-4851-9F35-02089B5651BD}"/>
</file>

<file path=customXml/itemProps4.xml><?xml version="1.0" encoding="utf-8"?>
<ds:datastoreItem xmlns:ds="http://schemas.openxmlformats.org/officeDocument/2006/customXml" ds:itemID="{57A3CA47-1DC9-420F-88CB-6DB23851EC8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