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認知症施策推進計画と成年後見制度利用促進基本計画は努力義務ですが、本村は第9期において高齢者福祉計画・介護保険事業計画と一体で策定しており、第10期もこれを踏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残された課題は2点です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1123"/>
        <w:gridCol w:w="4399"/>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9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 目標Ⅱ（認知症総合支援）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全国平均を下回る唯一の目標。3か年で唯一、得点が低下した局面がある</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令和6年度65点、令和7年度70点から令和8年度は45点へ25点低下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(9)）。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(9)）。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目標Ⅱ）は、本村が全国平均を下回る唯一の目標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難聴が認知症の危険因子とされたことを踏まえ、健診等の機会を通じた難聴の早期発見と、補聴器等による早期介入の仕組みを検討します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理由を整理したうえで委員会にお示しします。全国の四分位の値はツールの出力に併載されるため、受領前に本村の値を判定することはできません。</w:t>
      </w:r>
    </w:p>
    <w:p>
      <w:pPr>
        <w:spacing w:after="100" w:line="300"/>
      </w:pPr>
      <w:r>
        <w:rPr>
          <w:rFonts w:ascii="游ゴシック" w:cs="游ゴシック" w:eastAsia="游ゴシック" w:hAnsi="游ゴシック"/>
          <w:b/>
          <w:bCs/>
          <w:color w:val="2E75B6"/>
          <w:sz w:val="21"/>
          <w:szCs w:val="21"/>
        </w:rPr>
        <w:t xml:space="preserve">(6)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るため、村の給付実績の提供を受けて分離します。要支援1・2の在宅サービス受給者は令和7年度で48.3人／月であり、在宅サービス受給者全体の43%を占めます。本村は要支援1の認定者が6年間で3倍に増えているため、予防給付の見込量の設定がとくに重要になります。</w:t>
      </w:r>
    </w:p>
    <w:p>
      <w:pPr>
        <w:spacing w:after="100" w:line="300"/>
      </w:pPr>
      <w:r>
        <w:rPr>
          <w:rFonts w:ascii="游ゴシック" w:cs="游ゴシック" w:eastAsia="游ゴシック" w:hAnsi="游ゴシック"/>
          <w:b/>
          <w:bCs/>
          <w:color w:val="2E75B6"/>
          <w:sz w:val="21"/>
          <w:szCs w:val="21"/>
        </w:rPr>
        <w:t xml:space="preserve">(7)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第2回策定委員会にお諮りします（施策3-2）。</w:t>
      </w:r>
    </w:p>
    <w:p>
      <w:pPr>
        <w:spacing w:after="100" w:line="300"/>
      </w:pPr>
      <w:r>
        <w:rPr>
          <w:rFonts w:ascii="游ゴシック" w:cs="游ゴシック" w:eastAsia="游ゴシック" w:hAnsi="游ゴシック"/>
          <w:b/>
          <w:bCs/>
          <w:color w:val="2E75B6"/>
          <w:sz w:val="21"/>
          <w:szCs w:val="21"/>
        </w:rPr>
        <w:t xml:space="preserve">(8)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(9)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令和7年度末を100としたときの増減率です。認定者数は5-3の参考試算（214人→222人→226人→230人）、第1号被保険者数は5-2の見込み（1,015人→1,002人→997人→990人）によります。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276人へ5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18,353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16,247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16,833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23,377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23,260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23,097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41,446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41,730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度末230人・＋15.0%）を、一般介護予防事業と包括的支援事業・任意事業は対象が第1号被保険者全体であるため第1号被保険者数の伸び（同1,004人→990人・▲1.4%）を用いました。</w:t>
      </w:r>
    </w:p>
    <w:p>
      <w:pPr>
        <w:spacing w:after="120" w:line="300"/>
      </w:pPr>
      <w:r>
        <w:rPr>
          <w:rFonts w:ascii="游明朝" w:cs="游明朝" w:eastAsia="游明朝" w:hAnsi="游明朝"/>
          <w:sz w:val="21"/>
          <w:szCs w:val="21"/>
        </w:rPr>
        <w:t xml:space="preserve">3か年の合計は124,788千円で、令和5年度決算を3か年据え置いた場合の119,658千円を5,130千円上回ります。地域支援事業費は第1号被保険者負担分相当額の算定基礎に含まれ、総合事業費は調整交付金相当額の算定基礎にも含まれるため、保険料基準額に換算すると月額約36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あり、介護給付費と予防給付費への分離は村の給付実績の提供後に行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124,788千円）を用いる場合は、保険料基準額が月額約36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＋5,130千円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単価が趨勢どおり年1.30%上がる場合（5-4(9)①）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推計の誤差（絶対値の平均11.9%。5-4(9)③）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(9)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8,387円はこれに近い水準です。第9期は第1号被保険者数を過少に推計していたため（5-1）、本計画では補正後の被保険者数により算定し直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(9)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合算のまま（分離していない）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給付費のみ記載、人数は空欄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令和5年度決算39,886千円×3年で算定（5-5(2)の積み上げ124,788千円との差は月額36円）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2026-09-15T12:11:15.977Z</dcterms:created>
  <dcterms:modified xsi:type="dcterms:W3CDTF">2026-09-15T12:11:15.996Z</dcterms:modified>
</cp:coreProperties>
</file>

<file path=docProps/custom.xml><?xml version="1.0" encoding="utf-8"?>
<Properties xmlns="http://schemas.openxmlformats.org/officeDocument/2006/custom-properties" xmlns:vt="http://schemas.openxmlformats.org/officeDocument/2006/docPropsVTypes"/>
</file>