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pPr>
      <w:r>
        <w:rPr>
          <w:rFonts w:ascii="游明朝" w:cs="游明朝" w:eastAsia="游明朝" w:hAnsi="游明朝"/>
          <w:sz w:val="21"/>
          <w:szCs w:val="21"/>
        </w:rPr>
        <w:t xml:space="preserve"/>
      </w:r>
    </w:p>
    <w:p>
      <w:pPr>
        <w:spacing w:after="160" w:line="300"/>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jc w:val="center"/>
      </w:pPr>
      <w:r>
        <w:rPr>
          <w:rFonts w:ascii="游ゴシック" w:cs="游ゴシック" w:eastAsia="游ゴシック" w:hAnsi="游ゴシック"/>
          <w:b/>
          <w:bCs/>
          <w:color w:val="1F3864"/>
          <w:sz w:val="32"/>
          <w:szCs w:val="32"/>
        </w:rPr>
        <w:t xml:space="preserve">策定委員会　資料</w:t>
      </w:r>
    </w:p>
    <w:p>
      <w:pPr>
        <w:spacing w:after="1600" w:line="300"/>
        <w:jc w:val="center"/>
      </w:pPr>
      <w:r>
        <w:rPr>
          <w:rFonts w:ascii="游ゴシック" w:cs="游ゴシック" w:eastAsia="游ゴシック" w:hAnsi="游ゴシック"/>
          <w:sz w:val="24"/>
          <w:szCs w:val="24"/>
        </w:rPr>
        <w:t xml:space="preserve">令和8年11月　開催</w:t>
      </w:r>
    </w:p>
    <w:p>
      <w:pPr>
        <w:spacing w:after="100" w:line="300"/>
        <w:jc w:val="center"/>
      </w:pPr>
      <w:r>
        <w:rPr>
          <w:rFonts w:ascii="游ゴシック" w:cs="游ゴシック" w:eastAsia="游ゴシック" w:hAnsi="游ゴシック"/>
          <w:sz w:val="24"/>
          <w:szCs w:val="24"/>
        </w:rPr>
        <w:t xml:space="preserve">資料2　第9期計画の進捗と評価</w:t>
      </w:r>
    </w:p>
    <w:p>
      <w:pPr>
        <w:spacing w:after="100" w:line="300"/>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jc w:val="center"/>
      </w:pPr>
      <w:r>
        <w:rPr>
          <w:rFonts w:ascii="游ゴシック" w:cs="游ゴシック" w:eastAsia="游ゴシック" w:hAnsi="游ゴシック"/>
          <w:sz w:val="24"/>
          <w:szCs w:val="24"/>
        </w:rPr>
        <w:t xml:space="preserve">資料5　サービス見込み量の考え方（案）</w:t>
      </w:r>
    </w:p>
    <w:p>
      <w:pPr>
        <w:spacing w:after="100" w:line="300"/>
        <w:jc w:val="center"/>
      </w:pPr>
      <w:r>
        <w:rPr>
          <w:rFonts w:ascii="游ゴシック" w:cs="游ゴシック" w:eastAsia="游ゴシック" w:hAnsi="游ゴシック"/>
          <w:sz w:val="24"/>
          <w:szCs w:val="24"/>
        </w:rPr>
        <w:t xml:space="preserve">資料6　介護保険料の概算シミュレーション</w:t>
      </w:r>
    </w:p>
    <w:p>
      <w:pPr>
        <w:spacing w:after="1600" w:line="300"/>
        <w:jc w:val="center"/>
      </w:pPr>
      <w:r>
        <w:rPr>
          <w:rFonts w:ascii="游ゴシック" w:cs="游ゴシック" w:eastAsia="游ゴシック" w:hAnsi="游ゴシック"/>
          <w:sz w:val="24"/>
          <w:szCs w:val="24"/>
        </w:rPr>
        <w:t xml:space="preserve">資料7　成果目標・活動指標（案）</w:t>
      </w:r>
    </w:p>
    <w:p>
      <w:pPr>
        <w:spacing w:after="120" w:line="300"/>
        <w:jc w:val="center"/>
      </w:pPr>
      <w:r>
        <w:rPr>
          <w:rFonts w:ascii="游ゴシック" w:cs="游ゴシック" w:eastAsia="游ゴシック" w:hAnsi="游ゴシック"/>
          <w:sz w:val="24"/>
          <w:szCs w:val="24"/>
        </w:rPr>
        <w:t xml:space="preserve">令和8年　月　日</w:t>
      </w:r>
    </w:p>
    <w:p>
      <w:pPr>
        <w:spacing w:after="0" w:line="300"/>
        <w:jc w:val="center"/>
      </w:pPr>
      <w:r>
        <w:rPr>
          <w:rFonts w:ascii="游ゴシック" w:cs="游ゴシック" w:eastAsia="游ゴシック" w:hAnsi="游ゴシック"/>
          <w:b/>
          <w:bCs/>
          <w:sz w:val="28"/>
          <w:szCs w:val="28"/>
        </w:rPr>
        <w:t xml:space="preserve">北塩原村</w:t>
      </w:r>
    </w:p>
    <w:p>
      <w:r>
        <w:br w:type="page"/>
      </w:r>
    </w:p>
    <w:p>
      <w:pPr>
        <w:spacing w:after="240" w:line="300"/>
      </w:pPr>
      <w:r>
        <w:rPr>
          <w:rFonts w:ascii="游ゴシック" w:cs="游ゴシック" w:eastAsia="游ゴシック" w:hAnsi="游ゴシック"/>
          <w:b/>
          <w:bCs/>
          <w:color w:val="1F3864"/>
          <w:sz w:val="28"/>
          <w:szCs w:val="28"/>
        </w:rPr>
        <w:t xml:space="preserve">本資料の見方</w:t>
      </w:r>
    </w:p>
    <w:p>
      <w:pPr>
        <w:spacing w:after="180" w:line="300"/>
      </w:pPr>
      <w:r>
        <w:rPr>
          <w:rFonts w:ascii="游明朝" w:cs="游明朝" w:eastAsia="游明朝" w:hAnsi="游明朝"/>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【試算中】／【推計中】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国の推計ワークシートの提供後に算出する数値です。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pPr>
      <w:r>
        <w:rPr>
          <w:rFonts w:ascii="游明朝" w:cs="游明朝" w:eastAsia="游明朝" w:hAnsi="游明朝"/>
          <w:sz w:val="21"/>
          <w:szCs w:val="21"/>
        </w:rPr>
        <w:t xml:space="preserve"/>
      </w:r>
    </w:p>
    <w:p>
      <w:pPr>
        <w:spacing w:after="180" w:line="300"/>
      </w:pPr>
      <w:r>
        <w:rPr>
          <w:rFonts w:ascii="游明朝" w:cs="游明朝" w:eastAsia="游明朝" w:hAnsi="游明朝"/>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pPr>
      <w:r>
        <w:rPr>
          <w:rFonts w:ascii="游明朝" w:cs="游明朝" w:eastAsia="游明朝" w:hAnsi="游明朝"/>
          <w:sz w:val="21"/>
          <w:szCs w:val="21"/>
        </w:rPr>
        <w:t xml:space="preserve">資料4は、本委員会でご議論いただきたい事項の中心です。各施策の根拠となる住民ニーズの数値は、資料3で補足します。</w:t>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第9期計画の概要</w:t>
      </w:r>
    </w:p>
    <w:p>
      <w:pPr>
        <w:spacing w:after="120" w:line="300"/>
      </w:pPr>
      <w:r>
        <w:rPr>
          <w:rFonts w:ascii="游明朝" w:cs="游明朝" w:eastAsia="游明朝" w:hAnsi="游明朝"/>
          <w:sz w:val="21"/>
          <w:szCs w:val="21"/>
        </w:rPr>
        <w:t xml:space="preserve">第9期北塩原村高齢者福祉計画・第9期北塩原村介護保険事業計画は、令和6年度から令和8年度までの3年間を計画期間とし、4つの基本目標のもとに19の施策を掲げています。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936"/>
        <w:gridCol w:w="468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主な内容</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生きがい／住まい／安全確保／住民参加活動</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居宅／地域密着型／施設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地域包括ケア／認知症／任意事業／成年後見</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施策の達成状況</w:t>
      </w:r>
    </w:p>
    <w:p>
      <w:pPr>
        <w:spacing w:after="120" w:line="300"/>
      </w:pPr>
      <w:r>
        <w:rPr>
          <w:rFonts w:ascii="游明朝" w:cs="游明朝" w:eastAsia="游明朝" w:hAnsi="游明朝"/>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6365"/>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一般介護予防事業費が10年近く180万円前後で据置。通いの場は令和6年度で23か所281人、うち週1回以上は8か所123人（参加率12.2%）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spacing w:after="100" w:line="300"/>
      </w:pPr>
      <w:r>
        <w:rPr>
          <w:rFonts w:ascii="游ゴシック" w:cs="游ゴシック" w:eastAsia="游ゴシック" w:hAnsi="游ゴシック"/>
          <w:b/>
          <w:bCs/>
          <w:color w:val="2E75B6"/>
          <w:sz w:val="21"/>
          <w:szCs w:val="21"/>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生活困難者の住まい確保・生活支援は0点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高齢者の移動に関する支援は令和3年度5点から令和4年度15点へ伸びており、第10期で継続・拡充の対象になります。</w:t>
      </w:r>
    </w:p>
    <w:p>
      <w:pPr>
        <w:spacing w:after="100" w:line="300"/>
      </w:pPr>
      <w:r>
        <w:rPr>
          <w:rFonts w:ascii="游ゴシック" w:cs="游ゴシック" w:eastAsia="游ゴシック" w:hAnsi="游ゴシック"/>
          <w:b/>
          <w:bCs/>
          <w:color w:val="2E75B6"/>
          <w:sz w:val="21"/>
          <w:szCs w:val="21"/>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計画値と実績の乖離</w:t>
      </w:r>
    </w:p>
    <w:p>
      <w:pPr>
        <w:spacing w:after="120" w:line="300"/>
      </w:pPr>
      <w:r>
        <w:rPr>
          <w:rFonts w:ascii="游明朝" w:cs="游明朝" w:eastAsia="游明朝" w:hAnsi="游明朝"/>
          <w:sz w:val="21"/>
          <w:szCs w:val="21"/>
        </w:rPr>
        <w:t xml:space="preserve">第9期の計画値と実績を突き合わせたところ、次の乖離が確認されました。</w:t>
      </w:r>
    </w:p>
    <w:p>
      <w:pPr>
        <w:spacing w:after="100" w:line="300"/>
      </w:pPr>
      <w:r>
        <w:rPr>
          <w:rFonts w:ascii="游ゴシック" w:cs="游ゴシック" w:eastAsia="游ゴシック" w:hAnsi="游ゴシック"/>
          <w:b/>
          <w:bCs/>
          <w:color w:val="2E75B6"/>
          <w:sz w:val="21"/>
          <w:szCs w:val="21"/>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685"/>
        <w:gridCol w:w="1871"/>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乖離率</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059"/>
        <w:gridCol w:w="2246"/>
        <w:gridCol w:w="243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+63人（6.6%）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+76人（8.1%）</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spacing w:after="100" w:line="300"/>
      </w:pPr>
      <w:r>
        <w:rPr>
          <w:rFonts w:ascii="游ゴシック" w:cs="游ゴシック" w:eastAsia="游ゴシック" w:hAnsi="游ゴシック"/>
          <w:b/>
          <w:bCs/>
          <w:color w:val="2E75B6"/>
          <w:sz w:val="21"/>
          <w:szCs w:val="21"/>
        </w:rPr>
        <w:t xml:space="preserve">(2) 要介護度別では大きくずれています</w:t>
      </w:r>
    </w:p>
    <w:p>
      <w:pPr>
        <w:spacing w:after="120" w:line="300"/>
      </w:pPr>
      <w:r>
        <w:rPr>
          <w:rFonts w:ascii="游明朝" w:cs="游明朝" w:eastAsia="游明朝" w:hAnsi="游明朝"/>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498"/>
        <w:gridCol w:w="1872"/>
        <w:gridCol w:w="2246"/>
        <w:gridCol w:w="243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要支援1の急増を捉えられていません。要支援1の認定者数は令和2年3月末の17人から令和8年3月末の51人へ、6年で3倍になっています（認定率1.7%→5.0%）。</w:t>
      </w:r>
    </w:p>
    <w:p>
      <w:pPr>
        <w:spacing w:after="100" w:line="300"/>
      </w:pPr>
      <w:r>
        <w:rPr>
          <w:rFonts w:ascii="游ゴシック" w:cs="游ゴシック" w:eastAsia="游ゴシック" w:hAnsi="游ゴシック"/>
          <w:b/>
          <w:bCs/>
          <w:color w:val="2E75B6"/>
          <w:sz w:val="21"/>
          <w:szCs w:val="21"/>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744"/>
        <w:gridCol w:w="2808"/>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ほぼ均衡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余剰に転化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余剰が継続</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pPr>
      <w:r>
        <w:rPr>
          <w:rFonts w:ascii="游明朝" w:cs="游明朝" w:eastAsia="游明朝" w:hAnsi="游明朝"/>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介護給付費の計画値と実績（令和6年度・令和7年度）、および介護給付費準備基金の残高は未受領です。受領後に本節を確定します。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保険者機能の評価</w:t>
      </w:r>
    </w:p>
    <w:p>
      <w:pPr>
        <w:spacing w:after="120" w:line="300"/>
      </w:pPr>
      <w:r>
        <w:rPr>
          <w:rFonts w:ascii="游明朝" w:cs="游明朝" w:eastAsia="游明朝" w:hAnsi="游明朝"/>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年間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spacing w:after="100" w:line="300"/>
      </w:pPr>
      <w:r>
        <w:rPr>
          <w:rFonts w:ascii="游ゴシック" w:cs="游ゴシック" w:eastAsia="游ゴシック" w:hAnsi="游ゴシック"/>
          <w:b/>
          <w:bCs/>
          <w:color w:val="2E75B6"/>
          <w:sz w:val="21"/>
          <w:szCs w:val="21"/>
        </w:rPr>
        <w:t xml:space="preserve">残された弱点は2つです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1123"/>
        <w:gridCol w:w="430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支援交付金 目標Ⅱ（認知症総合支援）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32／100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全国平均を下回る唯一の目標。3か年で唯一、低下局面があった</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45／100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令和6年度65点→令和7年度70点→令和8年度45点と25点低下</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目標Ⅳは村の申告ではなく、KDB等の統計から自動的に算定される領域です。得点の低下は、要介護度の維持・改善の実績そのものが悪化したことを意味します。両交付金の合計で50点の減となっており、令和8年度の伸びを打ち消しています。</w:t>
      </w:r>
    </w:p>
    <w:p>
      <w:pPr>
        <w:spacing w:after="100" w:line="300"/>
      </w:pPr>
      <w:r>
        <w:rPr>
          <w:rFonts w:ascii="游ゴシック" w:cs="游ゴシック" w:eastAsia="游ゴシック" w:hAnsi="游ゴシック"/>
          <w:b/>
          <w:bCs/>
          <w:color w:val="2E75B6"/>
          <w:sz w:val="21"/>
          <w:szCs w:val="21"/>
        </w:rPr>
        <w:t xml:space="preserve">全国の多くの市町村が取得している項目のうち、未取得のもの</w:t>
      </w:r>
    </w:p>
    <w:p>
      <w:pPr>
        <w:spacing w:after="120" w:line="300"/>
      </w:pPr>
      <w:r>
        <w:rPr>
          <w:rFonts w:ascii="游明朝" w:cs="游明朝" w:eastAsia="游明朝" w:hAnsi="游明朝"/>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4680"/>
        <w:gridCol w:w="936"/>
        <w:gridCol w:w="2059"/>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第9期の課題（要約）</w:t>
      </w:r>
    </w:p>
    <w:p>
      <w:pPr>
        <w:spacing w:after="120" w:line="300"/>
      </w:pPr>
      <w:r>
        <w:rPr>
          <w:rFonts w:ascii="游明朝" w:cs="游明朝" w:eastAsia="游明朝" w:hAnsi="游明朝"/>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054"/>
        <w:gridCol w:w="374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第10期での対応の方向</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多様なサービス（サービスB・C）の検討</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在宅介護実態調査で要因を確認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施策として新設</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重点分野として強化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ACPの普及啓発を含めて施策化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実績との乖離率による補正</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本資料は、本日ご議論いただき、合意を得たい事項の中心です。各施策の根拠となる住民ニーズの数値は、資料3（アンケート調査結果）で補足します。</w:t>
      </w:r>
    </w:p>
    <w:p>
      <w:pPr>
        <w:spacing w:after="120" w:line="300"/>
      </w:pPr>
      <w:r>
        <w:rPr>
          <w:rFonts w:ascii="游明朝" w:cs="游明朝" w:eastAsia="游明朝" w:hAnsi="游明朝"/>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803"/>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本資料の該当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4-4・4-5</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第9期の基本理念と基本目標（振り返り）</w:t>
      </w:r>
    </w:p>
    <w:p>
      <w:pPr>
        <w:spacing w:after="120" w:line="300"/>
      </w:pPr>
      <w:r>
        <w:rPr>
          <w:rFonts w:ascii="游明朝" w:cs="游明朝" w:eastAsia="游明朝" w:hAnsi="游明朝"/>
          <w:sz w:val="21"/>
          <w:szCs w:val="21"/>
        </w:rPr>
        <w:t xml:space="preserve">第9期計画は、次の基本理念のもとに4つの基本目標を掲げていました。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936"/>
        <w:gridCol w:w="4118"/>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第9期の評価（資料2）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総合事業の多様なサービスが未着手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移動支援は改善。社会参加は未着手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施設は村内ゼロ。訪問系が半減</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在宅医療・介護連携と認知症は成果あり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第10期の基本理念（案）</w:t>
      </w:r>
    </w:p>
    <w:p>
      <w:pPr>
        <w:spacing w:after="100" w:line="300"/>
      </w:pPr>
      <w:r>
        <w:rPr>
          <w:rFonts w:ascii="游ゴシック" w:cs="游ゴシック" w:eastAsia="游ゴシック" w:hAnsi="游ゴシック"/>
          <w:b/>
          <w:bCs/>
          <w:color w:val="2E75B6"/>
          <w:sz w:val="21"/>
          <w:szCs w:val="21"/>
        </w:rPr>
        <w:t xml:space="preserve">案A　第9期の基本理念を継承する（推奨）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pPr>
      <w:r>
        <w:rPr>
          <w:rFonts w:ascii="游明朝" w:cs="游明朝" w:eastAsia="游明朝" w:hAnsi="游明朝"/>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pPr>
      <w:r>
        <w:rPr>
          <w:rFonts w:ascii="游明朝" w:cs="游明朝" w:eastAsia="游明朝" w:hAnsi="游明朝"/>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spacing w:after="100" w:line="300"/>
      </w:pPr>
      <w:r>
        <w:rPr>
          <w:rFonts w:ascii="游ゴシック" w:cs="游ゴシック" w:eastAsia="游ゴシック" w:hAnsi="游ゴシック"/>
          <w:b/>
          <w:bCs/>
          <w:color w:val="2E75B6"/>
          <w:sz w:val="21"/>
          <w:szCs w:val="21"/>
        </w:rPr>
        <w:t xml:space="preserve">案B　基本理念を継承したうえで、副題を加える</w:t>
      </w:r>
    </w:p>
    <w:p>
      <w:pPr>
        <w:spacing w:after="120" w:line="300"/>
      </w:pPr>
      <w:r>
        <w:rPr>
          <w:rFonts w:ascii="游明朝" w:cs="游明朝" w:eastAsia="游明朝" w:hAnsi="游明朝"/>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互助の再構築を前面に出す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副題を加えると方向性は明確になりますが、第9期からの連続性が見えにくくなります。また、計画書・概要版・関連計画の表記をすべて揃える必要があります。</w:t>
      </w:r>
    </w:p>
    <w:p>
      <w:pPr>
        <w:spacing w:after="100" w:line="300"/>
      </w:pPr>
      <w:r>
        <w:rPr>
          <w:rFonts w:ascii="游ゴシック" w:cs="游ゴシック" w:eastAsia="游ゴシック" w:hAnsi="游ゴシック"/>
          <w:b/>
          <w:bCs/>
          <w:color w:val="2E75B6"/>
          <w:sz w:val="21"/>
          <w:szCs w:val="21"/>
        </w:rPr>
        <w:t xml:space="preserve">いずれの案でも留意すべきこと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基本目標（案）</w:t>
      </w:r>
    </w:p>
    <w:p>
      <w:pPr>
        <w:spacing w:after="120" w:line="300"/>
      </w:pPr>
      <w:r>
        <w:rPr>
          <w:rFonts w:ascii="游明朝" w:cs="游明朝" w:eastAsia="游明朝" w:hAnsi="游明朝"/>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808"/>
        <w:gridCol w:w="4306"/>
        <w:gridCol w:w="168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継承【最重点】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基本目標5を新設する理由</w:t>
      </w:r>
    </w:p>
    <w:p>
      <w:pPr>
        <w:spacing w:after="120" w:line="300"/>
      </w:pPr>
      <w:r>
        <w:rPr>
          <w:rFonts w:ascii="游明朝" w:cs="游明朝" w:eastAsia="游明朝" w:hAnsi="游明朝"/>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pPr>
      <w:r>
        <w:rPr>
          <w:rFonts w:ascii="游明朝" w:cs="游明朝" w:eastAsia="游明朝" w:hAnsi="游明朝"/>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基本目標として独立させるか、各基本目標に横断的に組み込むかは構成上の選択です。独立させることを提案しますが、ご議論をお願いします（論点2）。</w:t>
      </w:r>
    </w:p>
    <w:p>
      <w:pPr>
        <w:spacing w:after="100" w:line="300"/>
      </w:pPr>
      <w:r>
        <w:rPr>
          <w:rFonts w:ascii="游ゴシック" w:cs="游ゴシック" w:eastAsia="游ゴシック" w:hAnsi="游ゴシック"/>
          <w:b/>
          <w:bCs/>
          <w:color w:val="2E75B6"/>
          <w:sz w:val="21"/>
          <w:szCs w:val="21"/>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5429"/>
        <w:gridCol w:w="1497"/>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対応する課題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要支援1の認定者が6年間で3倍。総合事業の多様なサービスの創設、通いの場の再構築、一般介護予防事業の拡充</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課題3・4</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施策の体系（案）</w:t>
      </w:r>
    </w:p>
    <w:p>
      <w:pPr>
        <w:spacing w:after="120" w:line="300"/>
      </w:pPr>
      <w:r>
        <w:rPr>
          <w:rFonts w:ascii="游明朝" w:cs="游明朝" w:eastAsia="游明朝" w:hAnsi="游明朝"/>
          <w:sz w:val="21"/>
          <w:szCs w:val="21"/>
        </w:rPr>
        <w:t xml:space="preserve">5つの基本目標のもとに、28の施策を配置します。第9期は19施策でした。</w:t>
      </w:r>
    </w:p>
    <w:p>
      <w:pPr>
        <w:spacing w:after="100" w:line="300"/>
      </w:pPr>
      <w:r>
        <w:rPr>
          <w:rFonts w:ascii="游ゴシック" w:cs="游ゴシック" w:eastAsia="游ゴシック" w:hAnsi="游ゴシック"/>
          <w:b/>
          <w:bCs/>
          <w:color w:val="2E75B6"/>
          <w:sz w:val="21"/>
          <w:szCs w:val="21"/>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通いの場の再構築と参加率の向上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令和6年度は23か所281人・参加率12.2%。週1回以上の開催は8か所123人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事業費が10年近く180万円前後で据置</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見える化システム・KDBによる課題把握</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spacing w:after="100" w:line="300"/>
      </w:pPr>
      <w:r>
        <w:rPr>
          <w:rFonts w:ascii="游ゴシック" w:cs="游ゴシック" w:eastAsia="游ゴシック" w:hAnsi="游ゴシック"/>
          <w:b/>
          <w:bCs/>
          <w:color w:val="2E75B6"/>
          <w:sz w:val="21"/>
          <w:szCs w:val="21"/>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令和4年度に評価が改善。生活支援サービス事業による移動支援の創設を検討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防災・防犯・交通・感染症・消費生活</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生活支援コーディネーターの活動強化</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spacing w:after="100" w:line="300"/>
      </w:pPr>
      <w:r>
        <w:rPr>
          <w:rFonts w:ascii="游ゴシック" w:cs="游ゴシック" w:eastAsia="游ゴシック" w:hAnsi="游ゴシック"/>
          <w:b/>
          <w:bCs/>
          <w:color w:val="2E75B6"/>
          <w:sz w:val="21"/>
          <w:szCs w:val="21"/>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3職種3名を維持</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個別事例の検討割合を高める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第9期の成果。ACPの普及啓発を加える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資料7の指標を毎年度確認する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策定委員会での年次報告を制度化する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第9期からの変更点</w:t>
      </w:r>
    </w:p>
    <w:p>
      <w:pPr>
        <w:spacing w:after="120" w:line="300"/>
      </w:pPr>
      <w:r>
        <w:rPr>
          <w:rFonts w:ascii="游明朝" w:cs="游明朝" w:eastAsia="游明朝" w:hAnsi="游明朝"/>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936"/>
        <w:gridCol w:w="692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1-6／2-1／2-4／2-5／3-1／3-5／4-1／4-3／4-5／4-7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1-1／1-3／2-3／3-2／4-2／4-6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1-2／1-4／1-5／2-2／2-6／3-4／5-1／5-2／5-3／5-4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5803"/>
      </w:tblGrid>
      <w:tr>
        <w:trPr>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国の評価で0点。ポイント事業は未実施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関連計画との整合</w:t>
      </w:r>
    </w:p>
    <w:p>
      <w:pPr>
        <w:spacing w:after="120" w:line="300"/>
      </w:pPr>
      <w:r>
        <w:rPr>
          <w:rFonts w:ascii="游明朝" w:cs="游明朝" w:eastAsia="游明朝" w:hAnsi="游明朝"/>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5990"/>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整合を図る内容</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村の最上位計画</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地域の支え合い、生活支援体制整備</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健康づくり、保健事業との一体的実施</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次期の総合振興計画・生涯学習推進計画の策定状況を確認のうえ、記述を確定します。</w:t>
      </w:r>
    </w:p>
    <w:p>
      <w:pPr>
        <w:spacing w:after="100" w:line="300"/>
      </w:pPr>
      <w:r>
        <w:rPr>
          <w:rFonts w:ascii="游ゴシック" w:cs="游ゴシック" w:eastAsia="游ゴシック" w:hAnsi="游ゴシック"/>
          <w:b/>
          <w:bCs/>
          <w:color w:val="2E75B6"/>
          <w:sz w:val="21"/>
          <w:szCs w:val="21"/>
        </w:rPr>
        <w:t xml:space="preserve">生涯学習推進計画との施策の重複について</w:t>
      </w:r>
    </w:p>
    <w:p>
      <w:pPr>
        <w:spacing w:after="120" w:line="300"/>
      </w:pPr>
      <w:r>
        <w:rPr>
          <w:rFonts w:ascii="游明朝" w:cs="游明朝" w:eastAsia="游明朝" w:hAnsi="游明朝"/>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pPr>
      <w:r>
        <w:rPr>
          <w:rFonts w:ascii="游明朝" w:cs="游明朝" w:eastAsia="游明朝" w:hAnsi="游明朝"/>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本資料は骨格です。数値は、国の推計ワークシートの提供（第10期基本指針の告示後）と、村の令和6・7年度実績の受領をもって確定します。本日は「考え方」についてご意見をいただきたく存じます。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　推計の手順と前提</w:t>
      </w:r>
    </w:p>
    <w:p>
      <w:pPr>
        <w:spacing w:after="120" w:line="300"/>
      </w:pPr>
      <w:r>
        <w:rPr>
          <w:rFonts w:ascii="游明朝" w:cs="游明朝" w:eastAsia="游明朝" w:hAnsi="游明朝"/>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374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第9期からの変更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★要介護度別の検証を追加</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段階2の変更について</w:t>
      </w:r>
    </w:p>
    <w:p>
      <w:pPr>
        <w:spacing w:after="120" w:line="300"/>
      </w:pPr>
      <w:r>
        <w:rPr>
          <w:rFonts w:ascii="游明朝" w:cs="游明朝" w:eastAsia="游明朝" w:hAnsi="游明朝"/>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pPr>
      <w:r>
        <w:rPr>
          <w:rFonts w:ascii="游明朝" w:cs="游明朝" w:eastAsia="游明朝" w:hAnsi="游明朝"/>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685"/>
        <w:gridCol w:w="1310"/>
        <w:gridCol w:w="243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補正係数</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0.01227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0.03000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0.01901</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5-2　将来人口と認定者数の見通し</w:t>
      </w:r>
    </w:p>
    <w:p>
      <w:pPr>
        <w:spacing w:after="120" w:line="300"/>
      </w:pPr>
      <w:r>
        <w:rPr>
          <w:rFonts w:ascii="游明朝" w:cs="游明朝" w:eastAsia="游明朝" w:hAnsi="游明朝"/>
          <w:sz w:val="21"/>
          <w:szCs w:val="21"/>
        </w:rPr>
        <w:t xml:space="preserve">本村の第1号被保険者数は減少局面に入っています。ただし後期高齢者（75歳以上）は令和12年（2030年）の547人がピークで、第10期（令和9〜11年度）はその増加のまっただ中にあたります。</w:t>
      </w:r>
    </w:p>
    <w:p>
      <w:pPr>
        <w:spacing w:after="100" w:line="300"/>
      </w:pPr>
      <w:r>
        <w:rPr>
          <w:rFonts w:ascii="游ゴシック" w:cs="游ゴシック" w:eastAsia="游ゴシック" w:hAnsi="游ゴシック"/>
          <w:b/>
          <w:bCs/>
          <w:color w:val="2E75B6"/>
          <w:sz w:val="21"/>
          <w:szCs w:val="21"/>
        </w:rPr>
        <w:t xml:space="preserve">配布データによる推計（補正後・各年1月1日時点）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030"/>
        <w:gridCol w:w="1030"/>
        <w:gridCol w:w="1030"/>
        <w:gridCol w:w="1030"/>
        <w:gridCol w:w="1030"/>
        <w:gridCol w:w="1030"/>
        <w:gridCol w:w="112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1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918</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ご議論いただきたい論点：配布データをそのまま用いるかどうか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配布データの令和8年の推計値954人に対し、実績（令和7年12月末の第1号被保険者数）は1,012人で、推計が実績を58人（5.7%）下回っています。これは第9期の乖離6.6%とほぼ同じ規模です。配布データをそのまま用いると、第9期と同じ過少推計を繰り返す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118"/>
        <w:gridCol w:w="1498"/>
        <w:gridCol w:w="1498"/>
        <w:gridCol w:w="1497"/>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配布データをそのまま用いる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931人</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配布データの伸び率を用い、水準を令和8年の実績に合わせる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1号被保険者数は保険料算定の分母です。分母を小さく見積もれば、1人あたりの必要保険料は同じ割合だけ高く算出されます。A案とB案では第10期を通じて約57人（6%）の差が生じ、保険料の基準額に直接影響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県の通知は「配布データを参考として適切に設定願います」としており、配布データの使用を義務づけてはいません。当方はB案を提案しますが、ご判断をお願いします。</w:t>
      </w:r>
    </w:p>
    <w:p>
      <w:pPr>
        <w:spacing w:after="100" w:line="300"/>
      </w:pPr>
      <w:r>
        <w:rPr>
          <w:rFonts w:ascii="游ゴシック" w:cs="游ゴシック" w:eastAsia="游ゴシック" w:hAnsi="游ゴシック"/>
          <w:b/>
          <w:bCs/>
          <w:color w:val="2E75B6"/>
          <w:sz w:val="21"/>
          <w:szCs w:val="21"/>
        </w:rPr>
        <w:t xml:space="preserve">要支援・要介護認定者数の見通し</w:t>
      </w:r>
    </w:p>
    <w:p>
      <w:pPr>
        <w:spacing w:after="120" w:line="300"/>
      </w:pPr>
      <w:r>
        <w:rPr>
          <w:rFonts w:ascii="游明朝" w:cs="游明朝" w:eastAsia="游明朝" w:hAnsi="游明朝"/>
          <w:sz w:val="21"/>
          <w:szCs w:val="21"/>
        </w:rPr>
        <w:t xml:space="preserve">第1号被保険者数に要介護度別の認定率を乗じて推計します。認定率は前期高齢者（65〜74歳）と後期高齢者（75歳以上）に分けて算出しました。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後期高齢者の認定率は前期高齢者の約6倍です。本村で今後認定者が増えるのは、高齢者が増えるからではなく、高齢者の中で後期高齢者の比率が上がるためです。</w:t>
      </w:r>
    </w:p>
    <w:p>
      <w:pPr>
        <w:spacing w:after="120" w:line="300"/>
      </w:pPr>
      <w:r>
        <w:rPr>
          <w:rFonts w:ascii="游明朝" w:cs="游明朝" w:eastAsia="游明朝" w:hAnsi="游明朝"/>
          <w:sz w:val="21"/>
          <w:szCs w:val="21"/>
        </w:rPr>
        <w:t xml:space="preserve">B案（実績にリベース）と令和8年の認定率を用いた場合の推計は次のとおりです。基準年である令和8年は実績と一致します。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第1号被保険者数が令和8年から令和11年にかけて25人（2.5%）減るなかで、認定者数は9人（4.3%）増えます。後期高齢者の比率が52.0%から57.0%に上がるためです。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認定率の基準（令和8年の認定率か3か年平均か）と、第1号被保険者数のA案・B案の組み合わせにより、令和11年度の認定者数は208人から220人まで最大12人（5.8%）の幅があります。給付費に直結しますので、方針の確定をお願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5-3　サービス種類別の見込み量</w:t>
      </w:r>
    </w:p>
    <w:p>
      <w:pPr>
        <w:spacing w:after="120" w:line="300"/>
      </w:pPr>
      <w:r>
        <w:rPr>
          <w:rFonts w:ascii="游明朝" w:cs="游明朝" w:eastAsia="游明朝" w:hAnsi="游明朝"/>
          <w:sz w:val="21"/>
          <w:szCs w:val="21"/>
        </w:rPr>
        <w:t xml:space="preserve">27のサービスについて、直近の実績をもとに見込み量を推計します。実績の状況は次のとおりです。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98"/>
        <w:gridCol w:w="561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サービス数</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実績あり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継続して利用実績があるもの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過去のみ</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過去に実績があるが直近はないもの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計画期間を通じて実績がないもの</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実績なし」の4サービスを第10期計画に掲げるかどうかは、村のご判断が必要です。第9期は実績のないサービスも計画に掲げていましたが、「やること」と「やらないこと」を書き分けることを提案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5-4　施設整備の論点</w:t>
      </w:r>
    </w:p>
    <w:p>
      <w:pPr>
        <w:spacing w:after="120" w:line="300"/>
      </w:pPr>
      <w:r>
        <w:rPr>
          <w:rFonts w:ascii="游明朝" w:cs="游明朝" w:eastAsia="游明朝" w:hAnsi="游明朝"/>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spacing w:after="100" w:line="300"/>
      </w:pPr>
      <w:r>
        <w:rPr>
          <w:rFonts w:ascii="游ゴシック" w:cs="游ゴシック" w:eastAsia="游ゴシック" w:hAnsi="游ゴシック"/>
          <w:b/>
          <w:bCs/>
          <w:color w:val="2E75B6"/>
          <w:sz w:val="21"/>
          <w:szCs w:val="21"/>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spacing w:after="100" w:line="300"/>
      </w:pPr>
      <w:r>
        <w:rPr>
          <w:rFonts w:ascii="游ゴシック" w:cs="游ゴシック" w:eastAsia="游ゴシック" w:hAnsi="游ゴシック"/>
          <w:b/>
          <w:bCs/>
          <w:color w:val="2E75B6"/>
          <w:sz w:val="21"/>
          <w:szCs w:val="21"/>
        </w:rPr>
        <w:t xml:space="preserve">ご議論いただきたい論点</w:t>
      </w:r>
    </w:p>
    <w:p>
      <w:pPr>
        <w:pStyle w:val="ListParagraph"/>
        <w:numPr>
          <w:ilvl w:val="0"/>
          <w:numId w:val="2"/>
        </w:numPr>
        <w:spacing w:after="60" w:line="300"/>
      </w:pPr>
      <w:r>
        <w:rPr>
          <w:rFonts w:ascii="游明朝" w:cs="游明朝" w:eastAsia="游明朝" w:hAnsi="游明朝"/>
          <w:sz w:val="21"/>
          <w:szCs w:val="21"/>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pPr>
      <w:r>
        <w:rPr>
          <w:rFonts w:ascii="游明朝" w:cs="游明朝" w:eastAsia="游明朝" w:hAnsi="游明朝"/>
          <w:sz w:val="21"/>
          <w:szCs w:val="21"/>
        </w:rPr>
        <w:t xml:space="preserve">第10期で施設整備を議論の対象とするかどうか</w:t>
      </w:r>
    </w:p>
    <w:p>
      <w:pPr>
        <w:pStyle w:val="ListParagraph"/>
        <w:numPr>
          <w:ilvl w:val="0"/>
          <w:numId w:val="2"/>
        </w:numPr>
        <w:spacing w:after="60" w:line="300"/>
      </w:pPr>
      <w:r>
        <w:rPr>
          <w:rFonts w:ascii="游明朝" w:cs="游明朝" w:eastAsia="游明朝" w:hAnsi="游明朝"/>
          <w:sz w:val="21"/>
          <w:szCs w:val="21"/>
        </w:rPr>
        <w:t xml:space="preserve">訪問系サービスの縮小に対して、どのような手立てを講じるか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5-5　介護人材の確保</w:t>
      </w:r>
    </w:p>
    <w:p>
      <w:pPr>
        <w:spacing w:after="120" w:line="300"/>
      </w:pPr>
      <w:r>
        <w:rPr>
          <w:rFonts w:ascii="游明朝" w:cs="游明朝" w:eastAsia="游明朝" w:hAnsi="游明朝"/>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研修の実施実績等のデータが未受領のため、本節は受領後に確定します。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は骨格です。保険料の試算には国の推計ワークシートと介護給付費準備基金の残高が必要であり、いずれも未確定です。本日は「保険料をどう考えるか」の方向についてご意見をいただきたく存じ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6-2　第10期の保険料を考える前提</w:t>
      </w:r>
    </w:p>
    <w:p>
      <w:pPr>
        <w:spacing w:after="100" w:line="300"/>
      </w:pPr>
      <w:r>
        <w:rPr>
          <w:rFonts w:ascii="游ゴシック" w:cs="游ゴシック" w:eastAsia="游ゴシック" w:hAnsi="游ゴシック"/>
          <w:b/>
          <w:bCs/>
          <w:color w:val="2E75B6"/>
          <w:sz w:val="21"/>
          <w:szCs w:val="21"/>
        </w:rPr>
        <w:t xml:space="preserve">(1) 給付費は10年間ほぼ横ばいです</w:t>
      </w:r>
    </w:p>
    <w:p>
      <w:pPr>
        <w:spacing w:after="120" w:line="300"/>
      </w:pPr>
      <w:r>
        <w:rPr>
          <w:rFonts w:ascii="游明朝" w:cs="游明朝" w:eastAsia="游明朝" w:hAnsi="游明朝"/>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spacing w:after="100" w:line="300"/>
      </w:pPr>
      <w:r>
        <w:rPr>
          <w:rFonts w:ascii="游ゴシック" w:cs="游ゴシック" w:eastAsia="游ゴシック" w:hAnsi="游ゴシック"/>
          <w:b/>
          <w:bCs/>
          <w:color w:val="2E75B6"/>
          <w:sz w:val="21"/>
          <w:szCs w:val="21"/>
        </w:rPr>
        <w:t xml:space="preserve">(2) 調整交付金が10年で3分の2に減っています</w:t>
      </w:r>
    </w:p>
    <w:p>
      <w:pPr>
        <w:spacing w:after="120" w:line="300"/>
      </w:pPr>
      <w:r>
        <w:rPr>
          <w:rFonts w:ascii="游明朝" w:cs="游明朝" w:eastAsia="游明朝" w:hAnsi="游明朝"/>
          <w:sz w:val="21"/>
          <w:szCs w:val="21"/>
        </w:rPr>
        <w:t xml:space="preserve">後期高齢者の割合と所得段階の分布による相対評価によるもので、村の努力では動かしにくい部分です。財政の見通しでは減少が続くことを前提に置きます。</w:t>
      </w:r>
    </w:p>
    <w:p>
      <w:pPr>
        <w:spacing w:after="100" w:line="300"/>
      </w:pPr>
      <w:r>
        <w:rPr>
          <w:rFonts w:ascii="游ゴシック" w:cs="游ゴシック" w:eastAsia="游ゴシック" w:hAnsi="游ゴシック"/>
          <w:b/>
          <w:bCs/>
          <w:color w:val="2E75B6"/>
          <w:sz w:val="21"/>
          <w:szCs w:val="21"/>
        </w:rPr>
        <w:t xml:space="preserve">(3) 令和9年度は介護報酬の改定年です</w:t>
      </w:r>
    </w:p>
    <w:p>
      <w:pPr>
        <w:spacing w:after="120" w:line="300"/>
      </w:pPr>
      <w:r>
        <w:rPr>
          <w:rFonts w:ascii="游明朝" w:cs="游明朝" w:eastAsia="游明朝" w:hAnsi="游明朝"/>
          <w:sz w:val="21"/>
          <w:szCs w:val="21"/>
        </w:rPr>
        <w:t xml:space="preserve">第10期の初年度は介護報酬の改定にあたります。議事録の方針に従い、現行単価で一旦試算し、単価の確定後に補正します。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　保険料の複数案（案）</w:t>
      </w:r>
    </w:p>
    <w:p>
      <w:pPr>
        <w:spacing w:after="120" w:line="300"/>
      </w:pPr>
      <w:r>
        <w:rPr>
          <w:rFonts w:ascii="游明朝" w:cs="游明朝" w:eastAsia="游明朝" w:hAnsi="游明朝"/>
          <w:sz w:val="21"/>
          <w:szCs w:val="21"/>
        </w:rPr>
        <w:t xml:space="preserve">介護給付費準備基金の取崩しについて、3つの案をお示しします。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931"/>
        <w:gridCol w:w="2059"/>
        <w:gridCol w:w="2621"/>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第10期末の基金残高</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基金を取り崩さない（給付費に応じた保険料）</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第9期と同程度の基金取崩</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保険料の据置きを優先し、基金を最大限取り崩す</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基金の取崩しは次期への先送りです。取り崩した分は第11期の保険料に跳ね返ります。各案について第10期末の基金残高を必ず併記し、次期への影響が見える形でご判断いただきます。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費準備基金の残高が未受領です。また、第9期の取崩額について、第9期計画の記載（24,000,000円）と村からのご説明（800万円程度）に差があり、年額か期間合計かの確認をお願いしています。試算の前提が変わるため、資料の作成前に確定させる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6-4　所得段階の設定</w:t>
      </w:r>
    </w:p>
    <w:p>
      <w:pPr>
        <w:spacing w:after="120" w:line="300"/>
      </w:pPr>
      <w:r>
        <w:rPr>
          <w:rFonts w:ascii="游明朝" w:cs="游明朝" w:eastAsia="游明朝" w:hAnsi="游明朝"/>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2808"/>
        <w:gridCol w:w="262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6-5　2040年に向けた見通し</w:t>
      </w:r>
    </w:p>
    <w:p>
      <w:pPr>
        <w:spacing w:after="120" w:line="300"/>
      </w:pPr>
      <w:r>
        <w:rPr>
          <w:rFonts w:ascii="游明朝" w:cs="游明朝" w:eastAsia="游明朝" w:hAnsi="游明朝"/>
          <w:sz w:val="21"/>
          <w:szCs w:val="21"/>
        </w:rPr>
        <w:t xml:space="preserve">国の基本指針は、2040年を見据えた中長期的なサービス基盤・人的基盤の整備を求めています。本村では75歳以上人口が2030年にピークを迎えるため、第10期はその増加期にあたります。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2040年の給付費・保険料水準の見通しは、推計ワークシートの提供後に作成します。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7-1　指標の設定方針</w:t>
      </w:r>
    </w:p>
    <w:p>
      <w:pPr>
        <w:spacing w:after="120" w:line="300"/>
      </w:pPr>
      <w:r>
        <w:rPr>
          <w:rFonts w:ascii="游明朝" w:cs="游明朝" w:eastAsia="游明朝" w:hAnsi="游明朝"/>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pPr>
      <w:r>
        <w:rPr>
          <w:rFonts w:ascii="游明朝" w:cs="游明朝" w:eastAsia="游明朝" w:hAnsi="游明朝"/>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434"/>
        <w:gridCol w:w="636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7-2　成果目標（アウトカム）</w:t>
      </w:r>
    </w:p>
    <w:p>
      <w:pPr>
        <w:spacing w:after="120" w:line="300"/>
      </w:pPr>
      <w:r>
        <w:rPr>
          <w:rFonts w:ascii="游明朝" w:cs="游明朝" w:eastAsia="游明朝" w:hAnsi="游明朝"/>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498"/>
        <w:gridCol w:w="2059"/>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ニーズ調査（リスク判定）</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問7(1)〜(4)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現状値のうち「調査により把握」としているものは、令和8年10月の調査結果をもって確定します。目標値は現状値の確定後、第2回委員会でのご意見を踏まえて設定します。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7-3　活動指標（アウトプット）</w:t>
      </w:r>
    </w:p>
    <w:p>
      <w:pPr>
        <w:spacing w:after="120" w:line="300"/>
      </w:pPr>
      <w:r>
        <w:rPr>
          <w:rFonts w:ascii="游明朝" w:cs="游明朝" w:eastAsia="游明朝" w:hAnsi="游明朝"/>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498"/>
        <w:gridCol w:w="205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通いの場の実績は、令和6年度介護予防・日常生活支援総合事業実施状況調査の値です。参加率12.2%は、第9期のアンケート調査による参加率11.2%とほぼ一致しています。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7-4　進捗管理の仕組み</w:t>
      </w:r>
    </w:p>
    <w:p>
      <w:pPr>
        <w:spacing w:after="120" w:line="300"/>
      </w:pPr>
      <w:r>
        <w:rPr>
          <w:rFonts w:ascii="游明朝" w:cs="游明朝" w:eastAsia="游明朝" w:hAnsi="游明朝"/>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246"/>
        <w:gridCol w:w="6552"/>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spacing w:after="100" w:line="300"/>
      </w:pPr>
      <w:r>
        <w:rPr>
          <w:rFonts w:ascii="游ゴシック" w:cs="游ゴシック" w:eastAsia="游ゴシック" w:hAnsi="游ゴシック"/>
          <w:b/>
          <w:bCs/>
          <w:color w:val="2E75B6"/>
          <w:sz w:val="21"/>
          <w:szCs w:val="21"/>
        </w:rPr>
        <w:t xml:space="preserve">交付金の得点を数値目標に置くかどうか</w:t>
      </w:r>
    </w:p>
    <w:p>
      <w:pPr>
        <w:spacing w:after="120" w:line="300"/>
      </w:pPr>
      <w:r>
        <w:rPr>
          <w:rFonts w:ascii="游明朝" w:cs="游明朝" w:eastAsia="游明朝" w:hAnsi="游明朝"/>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pPr>
      <w:r>
        <w:rPr>
          <w:rFonts w:ascii="游明朝" w:cs="游明朝" w:eastAsia="游明朝" w:hAnsi="游明朝"/>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2026-09-15T12:11:17.948Z</dcterms:created>
  <dcterms:modified xsi:type="dcterms:W3CDTF">2026-09-15T12:11:17.948Z</dcterms:modified>
</cp:coreProperties>
</file>

<file path=docProps/custom.xml><?xml version="1.0" encoding="utf-8"?>
<Properties xmlns="http://schemas.openxmlformats.org/officeDocument/2006/custom-properties" xmlns:vt="http://schemas.openxmlformats.org/officeDocument/2006/docPropsVTypes"/>
</file>