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63件になりました。一度にお送りするとご負担が大きく、お急ぎでないものに引きずられて急ぐものの回答が遅れます。このため、回答がいつ必要かによって５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５通の構成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8件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9件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20件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16件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4200" w:type="dxa"/>
          </w:tcPr>
          <w:p>
            <w:pPr>
              <w:spacing w:after="0"/>
            </w:pPr>
            <w:r>
              <w:rPr>
                <w:rFonts w:ascii="BIZ UDPゴシック" w:hAnsi="BIZ UDPゴシック" w:eastAsia="BIZ UDPゴシック" w:cs="BIZ UDPゴシック"/>
                <w:b w:val="0"/>
                <w:sz w:val="19"/>
              </w:rPr>
              <w:t>会津北部４町村及び県との広域整合</w:t>
            </w:r>
          </w:p>
        </w:tc>
        <w:tc>
          <w:tcPr>
            <w:tcW w:w="900" w:type="dxa"/>
          </w:tcPr>
          <w:p>
            <w:pPr>
              <w:spacing w:after="0"/>
            </w:pPr>
            <w:r>
              <w:rPr>
                <w:rFonts w:ascii="BIZ UDPゴシック" w:hAnsi="BIZ UDPゴシック" w:eastAsia="BIZ UDPゴシック" w:cs="BIZ UDPゴシック"/>
                <w:b w:val="0"/>
                <w:sz w:val="19"/>
              </w:rPr>
              <w:t>5件</w:t>
            </w:r>
          </w:p>
        </w:tc>
        <w:tc>
          <w:tcPr>
            <w:tcW w:w="2400" w:type="dxa"/>
          </w:tcPr>
          <w:p>
            <w:pPr>
              <w:spacing w:after="0"/>
            </w:pPr>
            <w:r>
              <w:rPr>
                <w:rFonts w:ascii="BIZ UDPゴシック" w:hAnsi="BIZ UDPゴシック" w:eastAsia="BIZ UDPゴシック" w:cs="BIZ UDPゴシック"/>
                <w:b w:val="0"/>
                <w:sz w:val="19"/>
              </w:rPr>
              <w:t>令和８年12月12日（金）</w:t>
            </w:r>
          </w:p>
        </w:tc>
        <w:tc>
          <w:tcPr>
            <w:tcW w:w="68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委員会に出す資料に直に要るもの（8件）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サービスの見込量を確定するために要るもの（9件）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32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82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２項第２号にもございますが、本計画が見込むのは障害者総合支援法による事業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高齢者福祉の施策との接続（20件）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第5章7（4）の村単独事業の記述を数値で裏づける。通院の負担は移動支援の論点（M-45・M-46）にもつながる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対象に含まれることが分かったため、次は実績である。M-55と同じ便で尋ねる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既にある施策の実績（16件）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会津北部４町村及び県との広域整合（5件）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32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82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の４町村共同設置について正式な合意があるか、設置の予定年度はいつか。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3200" w:type="dxa"/>
          </w:tcPr>
          <w:p>
            <w:pPr>
              <w:spacing w:after="0"/>
            </w:pPr>
            <w:r>
              <w:rPr>
                <w:rFonts w:ascii="BIZ UDPゴシック" w:hAnsi="BIZ UDPゴシック" w:eastAsia="BIZ UDPゴシック" w:cs="BIZ UDPゴシック"/>
                <w:b w:val="0"/>
                <w:sz w:val="19"/>
              </w:rPr>
              <w:t>福島県（会津保健福祉事務所）への照会</w:t>
            </w:r>
          </w:p>
        </w:tc>
        <w:tc>
          <w:tcPr>
            <w:tcW w:w="82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32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82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Ｍ-101</w:t>
            </w:r>
          </w:p>
        </w:tc>
        <w:tc>
          <w:tcPr>
            <w:tcW w:w="32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8200" w:type="dxa"/>
          </w:tcPr>
          <w:p>
            <w:pPr>
              <w:spacing w:after="0"/>
            </w:pPr>
            <w:r>
              <w:rPr>
                <w:rFonts w:ascii="BIZ UDPゴシック" w:hAnsi="BIZ UDPゴシック" w:eastAsia="BIZ UDPゴシック" w:cs="BIZ UDPゴシック"/>
                <w:b w:val="0"/>
                <w:sz w:val="19"/>
              </w:rPr>
              <w:t>本計画の第５章２（４）では、会津権利擁護・成年後見センターの区域を「会津地域11市町村」としており、構成市町村を村に確認することとしていました。会津若松市、北塩原村、磐梯町、猪苗代町、会津坂下町、湯川村、柳津町、三島町、金山町、昭和村及び会津美里町の11市町村で相違ないかをご確認ください（会津障がい保健福祉圏域13市町村から喜多方市及び西会津町を除いた構成になります）。本計画では、県が定める会津障がい保健福祉圏域、地域生活支援拠点の会津北部４町村、成年後見の会津地域11市町村の３つを区別して用いており、構成が確定しないと区域の説明が書け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32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82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