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w:t>
      </w:r>
    </w:p>
    <w:p>
      <w:pPr>
        <w:spacing w:after="80" w:before="80"/>
        <w:jc w:val="center"/>
      </w:pPr>
      <w:r>
        <w:rPr>
          <w:rFonts w:ascii="游ゴシック" w:cs="游ゴシック" w:eastAsia="游ゴシック" w:hAnsi="游ゴシック"/>
          <w:b w:val="false"/>
          <w:bCs w:val="false"/>
          <w:i/>
          <w:iCs/>
          <w:sz w:val="18"/>
          <w:szCs w:val="18"/>
        </w:rPr>
        <w:t xml:space="preserve">（新規・拡充事業の説明版）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bl>
    <w:p>
      <w:pPr>
        <w:spacing w:after="80" w:before="80" w:line="280"/>
        <w:ind w:left="288"/>
      </w:pPr>
      <w:r>
        <w:rPr>
          <w:rFonts w:ascii="游ゴシック" w:cs="游ゴシック" w:eastAsia="游ゴシック" w:hAnsi="游ゴシック"/>
          <w:i/>
          <w:iCs/>
          <w:sz w:val="19"/>
          <w:szCs w:val="19"/>
        </w:rPr>
        <w:t xml:space="preserve">⚠ 頁番号は、本素案Ver.2.1の組版によるものです。図表の差替え・加筆により頁の割付けが動いた場合は、目次の頁番号も併せて更新します。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2.1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ています。Ver.2.0で143事業を第5章・第6章・第8章に書き下ろし、本版では、第10期で内容が変わる42事業（新規23・拡充19）について根拠となる事実と第10期での内容を章ごとに示すとともに、交付金の失点27点の回復を第10章10-4のKPI管理表に組み込みました。施策体系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5"/>
          <w:szCs w:val="25"/>
        </w:rPr>
        <w:t xml:space="preserve">5-1　健康づくりの推進（柱1）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5"/>
          <w:szCs w:val="25"/>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1"/>
          <w:szCs w:val="21"/>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この手続は、介護保険保険者努力支援交付金 目標Ⅱ（ⅰ）1のカ「認知症の人及び家族等の意見を踏まえた市町村認知症施策推進計画の策定に着手している」（配点5点・全国の得点率42.8％）の要件そのものです。本町は同項目のア〜オ（20点）をすべて満点で得ている一方、カのみ令和8年度0点です。意見を反映させる仕組みを整えたうえで策定に着手することにより、5点を得られ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1"/>
          <w:szCs w:val="21"/>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法：第13条第3項において準用する第12条第5項・第6項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法：第13条第3項において準用する第12条第7項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素案Ver.1.18までは「世界アルツハイマー月間」としていたが、これは国際的な呼称であり法定の認知症の日・認知症月間とは別のもの</w:t>
            </w:r>
          </w:p>
        </w:tc>
      </w:tr>
    </w:tbl>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1"/>
          <w:szCs w:val="21"/>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第2章2-3・第9章9-1</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273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2"/>
          <w:szCs w:val="22"/>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1"/>
          <w:szCs w:val="21"/>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