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pPr>
      <w:r>
        <w:rPr>
          <w:rFonts w:ascii="游明朝" w:cs="游明朝" w:eastAsia="游明朝" w:hAnsi="游明朝"/>
          <w:sz w:val="21"/>
          <w:szCs w:val="21"/>
        </w:rPr>
        <w:t xml:space="preserve"/>
      </w:r>
    </w:p>
    <w:p>
      <w:pPr>
        <w:spacing w:after="180" w:line="300"/>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jc w:val="center"/>
      </w:pPr>
      <w:r>
        <w:rPr>
          <w:rFonts w:ascii="游ゴシック" w:cs="游ゴシック" w:eastAsia="游ゴシック" w:hAnsi="游ゴシック"/>
          <w:sz w:val="24"/>
          <w:szCs w:val="24"/>
        </w:rPr>
        <w:t xml:space="preserve">計画期間　令和9年度 〜 令和11年度</w:t>
      </w:r>
    </w:p>
    <w:p>
      <w:pPr>
        <w:spacing w:after="2400" w:line="300"/>
        <w:jc w:val="center"/>
      </w:pPr>
      <w:r>
        <w:rPr>
          <w:rFonts w:ascii="游ゴシック" w:cs="游ゴシック" w:eastAsia="游ゴシック" w:hAnsi="游ゴシック"/>
          <w:b/>
          <w:bCs/>
          <w:sz w:val="44"/>
          <w:szCs w:val="44"/>
        </w:rPr>
        <w:t xml:space="preserve">素　案</w:t>
      </w:r>
    </w:p>
    <w:p>
      <w:pPr>
        <w:spacing w:after="120" w:line="300"/>
        <w:jc w:val="center"/>
      </w:pPr>
      <w:r>
        <w:rPr>
          <w:rFonts w:ascii="游ゴシック" w:cs="游ゴシック" w:eastAsia="游ゴシック" w:hAnsi="游ゴシック"/>
          <w:sz w:val="24"/>
          <w:szCs w:val="24"/>
        </w:rPr>
        <w:t xml:space="preserve">令和8年8月</w:t>
      </w:r>
    </w:p>
    <w:p>
      <w:pPr>
        <w:spacing w:after="0" w:line="300"/>
        <w:jc w:val="center"/>
      </w:pPr>
      <w:r>
        <w:rPr>
          <w:rFonts w:ascii="游ゴシック" w:cs="游ゴシック" w:eastAsia="游ゴシック" w:hAnsi="游ゴシック"/>
          <w:b/>
          <w:bCs/>
          <w:sz w:val="28"/>
          <w:szCs w:val="28"/>
        </w:rPr>
        <w:t xml:space="preserve">北 塩 原 村</w:t>
      </w:r>
    </w:p>
    <w:p>
      <w:r>
        <w:br w:type="page"/>
      </w:r>
    </w:p>
    <w:p>
      <w:pPr>
        <w:spacing w:after="240" w:line="300"/>
      </w:pPr>
      <w:r>
        <w:rPr>
          <w:rFonts w:ascii="游ゴシック" w:cs="游ゴシック" w:eastAsia="游ゴシック" w:hAnsi="游ゴシック"/>
          <w:b/>
          <w:bCs/>
          <w:color w:val="1F3864"/>
          <w:sz w:val="28"/>
          <w:szCs w:val="28"/>
        </w:rPr>
        <w:t xml:space="preserve">本書の見方</w:t>
      </w:r>
    </w:p>
    <w:p>
      <w:pPr>
        <w:spacing w:after="240" w:line="300"/>
      </w:pPr>
      <w:r>
        <w:rPr>
          <w:rFonts w:ascii="游明朝" w:cs="游明朝" w:eastAsia="游明朝" w:hAnsi="游明朝"/>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pPr>
      <w:r>
        <w:rPr>
          <w:rFonts w:ascii="游明朝" w:cs="游明朝" w:eastAsia="游明朝" w:hAnsi="游明朝"/>
          <w:sz w:val="21"/>
          <w:szCs w:val="21"/>
        </w:rPr>
        <w:t xml:space="preserve"/>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第1章　計画の策定にあたって</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1-1　計画策定の趣旨</w:t>
      </w:r>
    </w:p>
    <w:p>
      <w:pPr>
        <w:spacing w:after="120" w:line="300"/>
      </w:pPr>
      <w:r>
        <w:rPr>
          <w:rFonts w:ascii="游明朝" w:cs="游明朝" w:eastAsia="游明朝" w:hAnsi="游明朝"/>
          <w:sz w:val="21"/>
          <w:szCs w:val="21"/>
        </w:rPr>
        <w:t xml:space="preserve">本村の高齢化率は令和7年（2025年）に40.5%となり、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pPr>
      <w:r>
        <w:rPr>
          <w:rFonts w:ascii="游明朝" w:cs="游明朝" w:eastAsia="游明朝" w:hAnsi="游明朝"/>
          <w:sz w:val="21"/>
          <w:szCs w:val="21"/>
        </w:rPr>
        <w:t xml:space="preserve">後期高齢者は令和12年（2030年）の551人まで増加が見込まれます。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pPr>
      <w:r>
        <w:rPr>
          <w:rFonts w:ascii="游明朝" w:cs="游明朝" w:eastAsia="游明朝" w:hAnsi="游明朝"/>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pPr>
      <w:r>
        <w:rPr>
          <w:rFonts w:ascii="游明朝" w:cs="游明朝" w:eastAsia="游明朝" w:hAnsi="游明朝"/>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あり、この「中山間・人口減少地域」に該当します。人材の確保と地域の実情に応じたサービス提供体制の整理が、第10期の中心的な論点になります。</w:t>
      </w:r>
    </w:p>
    <w:p>
      <w:pPr>
        <w:spacing w:after="120" w:line="300"/>
      </w:pPr>
      <w:r>
        <w:rPr>
          <w:rFonts w:ascii="游明朝" w:cs="游明朝" w:eastAsia="游明朝" w:hAnsi="游明朝"/>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1-2　計画の法的根拠</w:t>
      </w:r>
    </w:p>
    <w:p>
      <w:pPr>
        <w:spacing w:after="120" w:line="300"/>
      </w:pPr>
      <w:r>
        <w:rPr>
          <w:rFonts w:ascii="游明朝" w:cs="游明朝" w:eastAsia="游明朝" w:hAnsi="游明朝"/>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根拠法令</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老人福祉法第20条の8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介護保険法第117条</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認知症施策推進計画</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共生社会の実現を推進するための認知症基本法第13条　【要確認】</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成年後見制度の利用の促進に関する法律第14条　【要確認】</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1-3　計画の期間</w:t>
      </w:r>
    </w:p>
    <w:p>
      <w:pPr>
        <w:spacing w:after="120" w:line="300"/>
      </w:pPr>
      <w:r>
        <w:rPr>
          <w:rFonts w:ascii="游明朝" w:cs="游明朝" w:eastAsia="游明朝" w:hAnsi="游明朝"/>
          <w:sz w:val="21"/>
          <w:szCs w:val="21"/>
        </w:rPr>
        <w:t xml:space="preserve">本計画の期間は令和9年度から令和11年度までの3年間です。あわせて、団塊ジュニア世代が65歳以上となる令和22年度（2040年度）を見据えた中長期的な見通しを示します。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872"/>
        <w:gridCol w:w="1498"/>
        <w:gridCol w:w="131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1-4　計画の位置づけ</w:t>
      </w:r>
    </w:p>
    <w:p>
      <w:pPr>
        <w:spacing w:after="120" w:line="300"/>
      </w:pPr>
      <w:r>
        <w:rPr>
          <w:rFonts w:ascii="游明朝" w:cs="游明朝" w:eastAsia="游明朝" w:hAnsi="游明朝"/>
          <w:sz w:val="21"/>
          <w:szCs w:val="21"/>
        </w:rPr>
        <w:t xml:space="preserve">本計画は、北塩原村の最上位計画である総合振興計画を上位計画とし、保健・医療・福祉の各分野の計画と整合を図りながら推進します。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1-5　日常生活圏域の設定</w:t>
      </w:r>
    </w:p>
    <w:p>
      <w:pPr>
        <w:spacing w:after="120" w:line="300"/>
      </w:pPr>
      <w:r>
        <w:rPr>
          <w:rFonts w:ascii="游明朝" w:cs="游明朝" w:eastAsia="游明朝" w:hAnsi="游明朝"/>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pPr>
      <w:r>
        <w:rPr>
          <w:rFonts w:ascii="游明朝" w:cs="游明朝" w:eastAsia="游明朝" w:hAnsi="游明朝"/>
          <w:sz w:val="21"/>
          <w:szCs w:val="21"/>
        </w:rPr>
        <w:t xml:space="preserve">なお、地域の実情に応じた取組を進めるため、北山・大塩・桧原・裏磐梯の4地区を単位として、第2層協議体を設置しています。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1-6　計画の策定体制と策定経過</w:t>
      </w:r>
    </w:p>
    <w:p>
      <w:pPr>
        <w:spacing w:after="120" w:line="300"/>
      </w:pPr>
      <w:r>
        <w:rPr>
          <w:rFonts w:ascii="游明朝" w:cs="游明朝" w:eastAsia="游明朝" w:hAnsi="游明朝"/>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編集注記：策定委員会の開催実績・委員名簿・パブリックコメントの実施結果は、計画確定時に資料編に掲載します。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1-7　SDGsとの関係</w:t>
      </w:r>
    </w:p>
    <w:p>
      <w:pPr>
        <w:spacing w:after="120" w:line="300"/>
      </w:pPr>
      <w:r>
        <w:rPr>
          <w:rFonts w:ascii="游明朝" w:cs="游明朝" w:eastAsia="游明朝" w:hAnsi="游明朝"/>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pPr>
      <w:r>
        <w:rPr>
          <w:rFonts w:ascii="游明朝" w:cs="游明朝" w:eastAsia="游明朝" w:hAnsi="游明朝"/>
          <w:sz w:val="21"/>
          <w:szCs w:val="21"/>
        </w:rPr>
        <w:t xml:space="preserve">本計画は、とりわけ目標3「すべての人に健康と福祉を」、目標11「住み続けられるまちづくりを」、目標17「パートナーシップで目標を達成しよう」と深く関わります。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第2章　高齢者を取り巻く状況</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　人口と世帯の状況</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5"/>
          <w:szCs w:val="15"/>
        </w:rPr>
        <w:t xml:space="preserve">出典：総務省「国勢調査」、国立社会保障・人口問題研究所「日本の地域別将来推計人口」</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pPr>
      <w:r>
        <w:rPr>
          <w:rFonts w:ascii="游明朝" w:cs="游明朝" w:eastAsia="游明朝" w:hAnsi="游明朝"/>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310"/>
        <w:gridCol w:w="1310"/>
        <w:gridCol w:w="1498"/>
        <w:gridCol w:w="1310"/>
        <w:gridCol w:w="1310"/>
        <w:gridCol w:w="1312"/>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高齢化率</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出典：総務省「国勢調査」（令和2年まで）、国立社会保障・人口問題研究所「日本の地域別将来推計人口」（令和7年）　単位：人</w:t>
      </w:r>
    </w:p>
    <w:p>
      <w:pPr>
        <w:spacing w:after="100" w:line="300"/>
      </w:pPr>
      <w:r>
        <w:rPr>
          <w:rFonts w:ascii="游ゴシック" w:cs="游ゴシック" w:eastAsia="游ゴシック" w:hAnsi="游ゴシック"/>
          <w:b/>
          <w:bCs/>
          <w:color w:val="2E75B6"/>
          <w:sz w:val="21"/>
          <w:szCs w:val="21"/>
        </w:rPr>
        <w:t xml:space="preserve">県内・全国との比較</w:t>
      </w:r>
    </w:p>
    <w:p>
      <w:pPr>
        <w:spacing w:after="120" w:line="300"/>
      </w:pPr>
      <w:r>
        <w:rPr>
          <w:rFonts w:ascii="游明朝" w:cs="游明朝" w:eastAsia="游明朝" w:hAnsi="游明朝"/>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2059"/>
        <w:gridCol w:w="1872"/>
        <w:gridCol w:w="1872"/>
        <w:gridCol w:w="1872"/>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県との差は令和12年の7.8ポイントが最大となり、その後は縮小に向かいます。本計画の期間は、県との差が最も大きくなる時期にあたります。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2-2　将来人口の見通し</w:t>
      </w:r>
    </w:p>
    <w:p>
      <w:pPr>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480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5"/>
          <w:szCs w:val="15"/>
        </w:rPr>
        <w:t xml:space="preserve">出典：国立社会保障・人口問題研究所「日本の地域別将来推計人口」</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5"/>
          <w:szCs w:val="15"/>
        </w:rPr>
        <w:t xml:space="preserve">出典：国立社会保障・人口問題研究所「日本の地域別将来推計人口」</w:t>
      </w:r>
    </w:p>
    <w:p>
      <w:pPr>
        <w:spacing w:after="120" w:line="300"/>
      </w:pPr>
      <w:r>
        <w:rPr>
          <w:rFonts w:ascii="游明朝" w:cs="游明朝" w:eastAsia="游明朝" w:hAnsi="游明朝"/>
          <w:sz w:val="21"/>
          <w:szCs w:val="21"/>
        </w:rPr>
        <w:t xml:space="preserve">本村の高齢者人口は、令和2年（2020年）の948人をピークとしてすでに減少局面に入っています。令和22年（2040年）には765人となり、ピーク時から19.3%減少する見込みです。</w:t>
      </w:r>
    </w:p>
    <w:p>
      <w:pPr>
        <w:spacing w:after="120" w:line="300"/>
      </w:pPr>
      <w:r>
        <w:rPr>
          <w:rFonts w:ascii="游明朝" w:cs="游明朝" w:eastAsia="游明朝" w:hAnsi="游明朝"/>
          <w:sz w:val="21"/>
          <w:szCs w:val="21"/>
        </w:rPr>
        <w:t xml:space="preserve">一方で、75歳以上の後期高齢者は令和12年（2030年）の551人までは増加します。令和7年の480人から5年間で71人（14.8%）の増加です。反対に65歳から74歳までの前期高齢者は、同期間に457人から360人へと97人（21.2%）減少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591"/>
        <w:gridCol w:w="1778"/>
        <w:gridCol w:w="1498"/>
        <w:gridCol w:w="1498"/>
        <w:gridCol w:w="1497"/>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総人口</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生産年齢人口</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65〜74歳</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75歳以上</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高齢者計</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2,556</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1,349</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2,075</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1,863</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1,654</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519</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令和32年</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1,259</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出典：国立社会保障・人口問題研究所「日本の地域別将来推計人口」　単位：人</w:t>
      </w:r>
    </w:p>
    <w:p>
      <w:pPr>
        <w:spacing w:after="100" w:line="300"/>
      </w:pPr>
      <w:r>
        <w:rPr>
          <w:rFonts w:ascii="游ゴシック" w:cs="游ゴシック" w:eastAsia="游ゴシック" w:hAnsi="游ゴシック"/>
          <w:b/>
          <w:bCs/>
          <w:color w:val="2E75B6"/>
          <w:sz w:val="21"/>
          <w:szCs w:val="21"/>
        </w:rPr>
        <w:t xml:space="preserve">第1号被保険者数の推計</w:t>
      </w:r>
    </w:p>
    <w:p>
      <w:pPr>
        <w:spacing w:after="120" w:line="300"/>
      </w:pPr>
      <w:r>
        <w:rPr>
          <w:rFonts w:ascii="游明朝" w:cs="游明朝" w:eastAsia="游明朝" w:hAnsi="游明朝"/>
          <w:sz w:val="21"/>
          <w:szCs w:val="21"/>
        </w:rPr>
        <w:t xml:space="preserve">介護保険の第1号被保険者数は住民基本台帳を基礎とするため、国勢調査を基礎とする将来推計人口とは差が生じます。本村では、住民基本台帳ベースの実績が国勢調査ベースの推計を6〜8%上回る状態が続いています。</w:t>
      </w:r>
    </w:p>
    <w:p>
      <w:pPr>
        <w:spacing w:after="120" w:line="300"/>
      </w:pPr>
      <w:r>
        <w:rPr>
          <w:rFonts w:ascii="游明朝" w:cs="游明朝" w:eastAsia="游明朝" w:hAnsi="游明朝"/>
          <w:sz w:val="21"/>
          <w:szCs w:val="21"/>
        </w:rPr>
        <w:t xml:space="preserve">第9期計画では将来推計人口をそのまま用いたため、第1号被保険者数を実績より63人（6.6%）少なく見込む結果となりました。本計画では、この乖離を補正したうえで推計します。補正の方法は第5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685"/>
        <w:gridCol w:w="1685"/>
        <w:gridCol w:w="1872"/>
        <w:gridCol w:w="149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後期高齢者の割合</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令和7年度末（実績）</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令和9年度末</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令和10年度末</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997</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57.0%</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令和11年度末</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58.9%</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第1号被保険者数はほぼ横ばいで推移しますが、後期高齢者の割合は51.4%から58.9%へと7.5ポイント上昇します。10人に6人が75歳以上となる見通しです。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2-3　要支援・要介護認定の状況</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5755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5"/>
          <w:szCs w:val="15"/>
        </w:rPr>
        <w:t xml:space="preserve">出典：厚生労働省「介護保険事業状況報告」</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5"/>
          <w:szCs w:val="15"/>
        </w:rPr>
        <w:t xml:space="preserve">出典：厚生労働省「介護保険事業状況報告」</w:t>
      </w:r>
    </w:p>
    <w:p>
      <w:pPr>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令和8年3月末時点の要支援・要介護認定者は214人、認定率は21.1%です。認定率は令和2年3月末の17.4%から3.7ポイント上昇しました。</w:t>
      </w:r>
    </w:p>
    <w:p>
      <w:pPr>
        <w:spacing w:after="100" w:line="300"/>
      </w:pPr>
      <w:r>
        <w:rPr>
          <w:rFonts w:ascii="游ゴシック" w:cs="游ゴシック" w:eastAsia="游ゴシック" w:hAnsi="游ゴシック"/>
          <w:b/>
          <w:bCs/>
          <w:color w:val="2E75B6"/>
          <w:sz w:val="21"/>
          <w:szCs w:val="21"/>
        </w:rPr>
        <w:t xml:space="preserve">県内・全国との比較</w:t>
      </w:r>
    </w:p>
    <w:p>
      <w:pPr>
        <w:spacing w:after="120" w:line="300"/>
      </w:pPr>
      <w:r>
        <w:rPr>
          <w:rFonts w:ascii="游明朝" w:cs="游明朝" w:eastAsia="游明朝" w:hAnsi="游明朝"/>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w:t>
      </w:r>
    </w:p>
    <w:p>
      <w:pPr>
        <w:spacing w:after="100" w:line="300"/>
      </w:pPr>
      <w:r>
        <w:rPr>
          <w:rFonts w:ascii="游ゴシック" w:cs="游ゴシック" w:eastAsia="游ゴシック" w:hAnsi="游ゴシック"/>
          <w:b/>
          <w:bCs/>
          <w:color w:val="2E75B6"/>
          <w:sz w:val="21"/>
          <w:szCs w:val="21"/>
        </w:rPr>
        <w:t xml:space="preserve">要介護度別の状況</w:t>
      </w:r>
    </w:p>
    <w:p>
      <w:pPr>
        <w:spacing w:after="120" w:line="300"/>
      </w:pPr>
      <w:r>
        <w:rPr>
          <w:rFonts w:ascii="游明朝" w:cs="游明朝" w:eastAsia="游明朝" w:hAnsi="游明朝"/>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936"/>
        <w:gridCol w:w="936"/>
        <w:gridCol w:w="936"/>
        <w:gridCol w:w="936"/>
        <w:gridCol w:w="936"/>
        <w:gridCol w:w="936"/>
        <w:gridCol w:w="936"/>
        <w:gridCol w:w="936"/>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新たに認定を受けた方に占める要支援1の割合も、令和5年度41.5%、令和6年度40.6%と4割を超えています。</w:t>
      </w:r>
    </w:p>
    <w:p>
      <w:pPr>
        <w:spacing w:after="100" w:line="300"/>
      </w:pPr>
      <w:r>
        <w:rPr>
          <w:rFonts w:ascii="游ゴシック" w:cs="游ゴシック" w:eastAsia="游ゴシック" w:hAnsi="游ゴシック"/>
          <w:b/>
          <w:bCs/>
          <w:color w:val="2E75B6"/>
          <w:sz w:val="21"/>
          <w:szCs w:val="21"/>
        </w:rPr>
        <w:t xml:space="preserve">年齢階級別の認定率</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246"/>
        <w:gridCol w:w="1872"/>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後期高齢者の認定率は前期高齢者の5.4倍です。2-2で述べたとおり後期高齢者の割合が高まるため、第1号被保険者数が減少しても、認定者数は増加していく見通しです。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2-4　介護サービスの利用状況</w:t>
      </w:r>
    </w:p>
    <w:p>
      <w:pPr>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0480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図2-9　第1号被保険者1人1月あたり費用額（村・福島県・全国）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1242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図2-10　サービス区分別 費用額の推移</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図2-11　在宅・施設居住系別 第1号被保険者1人1月あたり給付月額</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318135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図2-14　サービス区分別 1人1月あたり給付月額の変化（平成29年度→令和7年度）</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24,056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+983</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+1,157</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▲4,384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▲2,863</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単位：円　1人1月あたりの費用額の順位は県内59保険者中44番目、全国1,574保険者中1,153番目です。</w:t>
      </w:r>
    </w:p>
    <w:p>
      <w:pPr>
        <w:spacing w:after="100" w:line="300"/>
      </w:pPr>
      <w:r>
        <w:rPr>
          <w:rFonts w:ascii="游ゴシック" w:cs="游ゴシック" w:eastAsia="游ゴシック" w:hAnsi="游ゴシック"/>
          <w:b/>
          <w:bCs/>
          <w:color w:val="2E75B6"/>
          <w:sz w:val="21"/>
          <w:szCs w:val="21"/>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059"/>
        <w:gridCol w:w="2059"/>
        <w:gridCol w:w="1872"/>
        <w:gridCol w:w="1498"/>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298,511</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269,884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286,719</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306,567</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spacing w:after="100" w:line="300"/>
      </w:pPr>
      <w:r>
        <w:rPr>
          <w:rFonts w:ascii="游ゴシック" w:cs="游ゴシック" w:eastAsia="游ゴシック" w:hAnsi="游ゴシック"/>
          <w:b/>
          <w:bCs/>
          <w:color w:val="2E75B6"/>
          <w:sz w:val="21"/>
          <w:szCs w:val="21"/>
        </w:rPr>
        <w:t xml:space="preserve">★サービス区分別に見た変化</w:t>
      </w:r>
    </w:p>
    <w:p>
      <w:pPr>
        <w:spacing w:after="120" w:line="300"/>
      </w:pPr>
      <w:r>
        <w:rPr>
          <w:rFonts w:ascii="游明朝" w:cs="游明朝" w:eastAsia="游明朝" w:hAnsi="游明朝"/>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404"/>
        <w:gridCol w:w="1404"/>
        <w:gridCol w:w="1217"/>
        <w:gridCol w:w="1310"/>
        <w:gridCol w:w="1779"/>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単位：円　全体では2.1%の減少にとどまりますが、区分ごとの動きは大きく異なります。</w:t>
      </w:r>
    </w:p>
    <w:p>
      <w:pPr>
        <w:spacing w:after="120" w:line="300"/>
      </w:pPr>
      <w:r>
        <w:rPr>
          <w:rFonts w:ascii="游明朝" w:cs="游明朝" w:eastAsia="游明朝" w:hAnsi="游明朝"/>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pPr>
      <w:r>
        <w:rPr>
          <w:rFonts w:ascii="游明朝" w:cs="游明朝" w:eastAsia="游明朝" w:hAnsi="游明朝"/>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pPr>
      <w:r>
        <w:rPr>
          <w:rFonts w:ascii="游明朝" w:cs="游明朝" w:eastAsia="游明朝" w:hAnsi="游明朝"/>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2-5　サービス供給体制の状況</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図2-12　要支援・要介護者1人あたり定員の推移</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村内で提供されている介護サービスは、認知症対応型共同生活介護（定員27人）と通所介護（定員50人）の2種類で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059"/>
        <w:gridCol w:w="2059"/>
        <w:gridCol w:w="1872"/>
        <w:gridCol w:w="1872"/>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1人あたり定員（通所系）</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0.273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0.287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0.250</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spacing w:after="100" w:line="300"/>
      </w:pPr>
      <w:r>
        <w:rPr>
          <w:rFonts w:ascii="游ゴシック" w:cs="游ゴシック" w:eastAsia="游ゴシック" w:hAnsi="游ゴシック"/>
          <w:b/>
          <w:bCs/>
          <w:color w:val="2E75B6"/>
          <w:sz w:val="21"/>
          <w:szCs w:val="21"/>
        </w:rPr>
        <w:t xml:space="preserve">村外サービスの利用状況</w:t>
      </w:r>
    </w:p>
    <w:p>
      <w:pPr>
        <w:spacing w:after="120" w:line="300"/>
      </w:pPr>
      <w:r>
        <w:rPr>
          <w:rFonts w:ascii="游明朝" w:cs="游明朝" w:eastAsia="游明朝" w:hAnsi="游明朝"/>
          <w:sz w:val="21"/>
          <w:szCs w:val="21"/>
        </w:rPr>
        <w:t xml:space="preserve">村内にサービスがないため、多くのサービスを村外で利用しています。第1号被保険者1人1月あたりの給付月額を平成29年度と令和7年度で比較すると、次のとおりです。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廃止</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2-6　地域支援事業・介護予防の状況</w:t>
      </w:r>
    </w:p>
    <w:p>
      <w:pPr>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図2-13　地域支援事業費の推移（内訳別）</w:t>
      </w:r>
    </w:p>
    <w:p>
      <w:pPr>
        <w:spacing w:after="200"/>
        <w:jc w:val="center"/>
      </w:pPr>
      <w:r>
        <w:rPr>
          <w:rFonts w:ascii="游ゴシック" w:cs="游ゴシック" w:eastAsia="游ゴシック" w:hAnsi="游ゴシック"/>
          <w:color w:val="595959"/>
          <w:sz w:val="15"/>
          <w:szCs w:val="15"/>
        </w:rPr>
        <w:t xml:space="preserve">出典：介護保険特別会計決算</w:t>
      </w:r>
    </w:p>
    <w:p>
      <w:pPr>
        <w:spacing w:after="120" w:line="300"/>
      </w:pPr>
      <w:r>
        <w:rPr>
          <w:rFonts w:ascii="游明朝" w:cs="游明朝" w:eastAsia="游明朝" w:hAnsi="游明朝"/>
          <w:sz w:val="21"/>
          <w:szCs w:val="21"/>
        </w:rPr>
        <w:t xml:space="preserve">介護予防・日常生活支援総合事業のうち、訪問型サービスA・B・C・D、通所型サービスA・B・C、見守り、配食といった多様な主体によるサービスは、いずれも実施実績がありません。従前相当サービス以外の事業費が総合事業に占める割合は0.0%です。</w:t>
      </w:r>
    </w:p>
    <w:p>
      <w:pPr>
        <w:spacing w:after="120" w:line="300"/>
      </w:pPr>
      <w:r>
        <w:rPr>
          <w:rFonts w:ascii="游明朝" w:cs="游明朝" w:eastAsia="游明朝" w:hAnsi="游明朝"/>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872"/>
        <w:gridCol w:w="2434"/>
        <w:gridCol w:w="2059"/>
        <w:gridCol w:w="1497"/>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28,727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35,671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※平成29年度の合計にはその他の事業費を含みます。</w:t>
      </w:r>
    </w:p>
    <w:p>
      <w:pPr>
        <w:spacing w:after="120" w:line="300"/>
      </w:pPr>
      <w:r>
        <w:rPr>
          <w:rFonts w:ascii="游明朝" w:cs="游明朝" w:eastAsia="游明朝" w:hAnsi="游明朝"/>
          <w:sz w:val="21"/>
          <w:szCs w:val="21"/>
        </w:rPr>
        <w:t xml:space="preserve">一般介護予防事業としては、はつらつ貯筋教室、シニア元気アップ教室、住民主体の通いの場であるいきいき百歳体操などを実施しています。第9期のアンケート調査では、介護予防のための通いの場に参加している方は11.2%（509人中57人）であり、地区による差が大きいことが確認されています。とりわけ大塩地区は参加率・参加意向がいずれも最も低い状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通いの場の箇所数・参加者数・参加率は、地域包括ケア「見える化」システムのデータが令和2年度で更新を終えており、村の実数の提供を受けたうえで記載します。上記の11.2%は第9期アンケート調査による数値です。</w:t>
      </w:r>
    </w:p>
    <w:p>
      <w:pPr>
        <w:spacing w:after="100" w:line="300"/>
      </w:pPr>
      <w:r>
        <w:rPr>
          <w:rFonts w:ascii="游ゴシック" w:cs="游ゴシック" w:eastAsia="游ゴシック" w:hAnsi="游ゴシック"/>
          <w:b/>
          <w:bCs/>
          <w:color w:val="2E75B6"/>
          <w:sz w:val="21"/>
          <w:szCs w:val="21"/>
        </w:rPr>
        <w:t xml:space="preserve">地域包括支援センター</w:t>
      </w:r>
    </w:p>
    <w:p>
      <w:pPr>
        <w:spacing w:after="120" w:line="300"/>
      </w:pPr>
      <w:r>
        <w:rPr>
          <w:rFonts w:ascii="游明朝" w:cs="游明朝" w:eastAsia="游明朝" w:hAnsi="游明朝"/>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pPr>
      <w:r>
        <w:rPr>
          <w:rFonts w:ascii="游明朝" w:cs="游明朝" w:eastAsia="游明朝" w:hAnsi="游明朝"/>
          <w:sz w:val="21"/>
          <w:szCs w:val="21"/>
        </w:rPr>
        <w:t xml:space="preserve">地域ケア会議は、地域ケア個別会議を年3回、地域ケア推進会議を年3回の計6回開催しています。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2-7　介護保険財政の状況</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図2-15　保険給付費・地域支援事業費・保険料収入の推移</w:t>
      </w:r>
    </w:p>
    <w:p>
      <w:pPr>
        <w:spacing w:after="200"/>
        <w:jc w:val="center"/>
      </w:pPr>
      <w:r>
        <w:rPr>
          <w:rFonts w:ascii="游ゴシック" w:cs="游ゴシック" w:eastAsia="游ゴシック" w:hAnsi="游ゴシック"/>
          <w:color w:val="595959"/>
          <w:sz w:val="15"/>
          <w:szCs w:val="15"/>
        </w:rPr>
        <w:t xml:space="preserve">出典：介護保険特別会計決算</w:t>
      </w:r>
    </w:p>
    <w:p>
      <w:pPr>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29718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図2-16　介護保険料基準額の推移（村・福島県・全国）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図2-17　保険料基準額と必要保険料額の対比</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倍率</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1.42倍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0.67倍</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spacing w:after="100" w:line="300"/>
      </w:pPr>
      <w:r>
        <w:rPr>
          <w:rFonts w:ascii="游ゴシック" w:cs="游ゴシック" w:eastAsia="游ゴシック" w:hAnsi="游ゴシック"/>
          <w:b/>
          <w:bCs/>
          <w:color w:val="2E75B6"/>
          <w:sz w:val="21"/>
          <w:szCs w:val="21"/>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44番目と低い水準にあります。この状況については、第5章で改め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編集注記：介護給付費準備基金の残高の推移は、村から令和6年度末実績・令和7年度末見込の提供を受けたうえで記載します。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2-8　保険者機能の評価</w:t>
      </w:r>
    </w:p>
    <w:p>
      <w:pPr>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29718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図2-18　保険者機能強化推進交付金等 指標群別得点（令和5年度）</w:t>
      </w:r>
    </w:p>
    <w:p>
      <w:pPr>
        <w:spacing w:after="200"/>
        <w:jc w:val="center"/>
      </w:pPr>
      <w:r>
        <w:rPr>
          <w:rFonts w:ascii="游ゴシック" w:cs="游ゴシック" w:eastAsia="游ゴシック" w:hAnsi="游ゴシック"/>
          <w:color w:val="595959"/>
          <w:sz w:val="15"/>
          <w:szCs w:val="15"/>
        </w:rPr>
        <w:t xml:space="preserve">出典：厚生労働省「保険者機能強化推進交付金・介護保険保険者努力支援交付金に係る評価指標」</w:t>
      </w:r>
    </w:p>
    <w:p>
      <w:pPr>
        <w:spacing w:after="120" w:line="300"/>
      </w:pPr>
      <w:r>
        <w:rPr>
          <w:rFonts w:ascii="游明朝" w:cs="游明朝" w:eastAsia="游明朝" w:hAnsi="游明朝"/>
          <w:sz w:val="21"/>
          <w:szCs w:val="21"/>
        </w:rPr>
        <w:t xml:space="preserve">国は、保険者機能強化推進交付金および介護保険保険者努力支援交付金の評価指標により、市町村の取組を毎年度評価しています。本村の令和5年度の評価結果は次のとおりです。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089"/>
        <w:gridCol w:w="308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指標群</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保険者機能強化推進交付金</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介護保険保険者努力支援交付金</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取組・体制指標群</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50点</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活動指標群</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9点</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65点</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124点</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171点</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体制の整備を評価する「取組・体制指標群」と、要介護度の変化を評価する「成果指標群」では一定の得点を得ている一方、実際の活動量を評価する「活動指標群」の得点が低くなっています。体制は整っているものの、そこから生まれる活動が十分でないことを示しています。</w:t>
      </w:r>
    </w:p>
    <w:p>
      <w:pPr>
        <w:spacing w:after="120" w:line="300"/>
      </w:pPr>
      <w:r>
        <w:rPr>
          <w:rFonts w:ascii="游明朝" w:cs="游明朝" w:eastAsia="游明朝" w:hAnsi="游明朝"/>
          <w:sz w:val="21"/>
          <w:szCs w:val="21"/>
        </w:rPr>
        <w:t xml:space="preserve">個別の評価項目では、令和3年度・令和4年度を通じて0点であった項目が21件あり、そのうち8件が「介護予防／日常生活支援」に集中しています。</w:t>
      </w:r>
    </w:p>
    <w:p>
      <w:pPr>
        <w:spacing w:after="100" w:line="300"/>
      </w:pPr>
      <w:r>
        <w:rPr>
          <w:rFonts w:ascii="游ゴシック" w:cs="游ゴシック" w:eastAsia="游ゴシック" w:hAnsi="游ゴシック"/>
          <w:b/>
          <w:bCs/>
          <w:color w:val="2E75B6"/>
          <w:sz w:val="21"/>
          <w:szCs w:val="21"/>
        </w:rPr>
        <w:t xml:space="preserve">成果指標（アウトカム）の状況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3557"/>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重度化が進行</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前年よりさらに悪化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中重度の方については状態の改善が見られる一方、軽度の方については重度化が進んでいます。2-3で見た要支援1の急増と、2-6で見た介護予防の受け皿の不足が、この結果に現れているものと考えられます。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編集注記：評価指標の福島県平均・全国平均は、村から提供を受けたうえで比較を記載します。なお令和4年度と令和5年度では評価指標の体系が異なるため、両年度の得点は単純に比較できません。</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2-9　第9期計画の進捗と評価</w:t>
      </w:r>
    </w:p>
    <w:p>
      <w:pPr>
        <w:spacing w:after="120" w:line="300"/>
      </w:pPr>
      <w:r>
        <w:rPr>
          <w:rFonts w:ascii="游明朝" w:cs="游明朝" w:eastAsia="游明朝" w:hAnsi="游明朝"/>
          <w:sz w:val="21"/>
          <w:szCs w:val="21"/>
        </w:rPr>
        <w:t xml:space="preserve">第9期計画に掲げた数値と実績を比較し、乖離の状況とその要因を検証しました。</w:t>
      </w:r>
    </w:p>
    <w:p>
      <w:pPr>
        <w:spacing w:after="100" w:line="300"/>
      </w:pPr>
      <w:r>
        <w:rPr>
          <w:rFonts w:ascii="游ゴシック" w:cs="游ゴシック" w:eastAsia="游ゴシック" w:hAnsi="游ゴシック"/>
          <w:b/>
          <w:bCs/>
          <w:color w:val="2E75B6"/>
          <w:sz w:val="21"/>
          <w:szCs w:val="21"/>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246"/>
        <w:gridCol w:w="2621"/>
        <w:gridCol w:w="2247"/>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+54人</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+65人</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約1,009人（推計）</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第9期計画は将来推計人口をそのまま用いたため、実績を6.6%下回る見込みとなりました。第1号被保険者数は保険料算定の基礎となるため、この乖離は保険料の水準にも影響しています。</w:t>
      </w:r>
    </w:p>
    <w:p>
      <w:pPr>
        <w:spacing w:after="100" w:line="300"/>
      </w:pPr>
      <w:r>
        <w:rPr>
          <w:rFonts w:ascii="游ゴシック" w:cs="游ゴシック" w:eastAsia="游ゴシック" w:hAnsi="游ゴシック"/>
          <w:b/>
          <w:bCs/>
          <w:color w:val="2E75B6"/>
          <w:sz w:val="21"/>
          <w:szCs w:val="21"/>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spacing w:after="100" w:line="300"/>
      </w:pPr>
      <w:r>
        <w:rPr>
          <w:rFonts w:ascii="游ゴシック" w:cs="游ゴシック" w:eastAsia="游ゴシック" w:hAnsi="游ゴシック"/>
          <w:b/>
          <w:bCs/>
          <w:color w:val="2E75B6"/>
          <w:sz w:val="21"/>
          <w:szCs w:val="21"/>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434"/>
        <w:gridCol w:w="2434"/>
        <w:gridCol w:w="2246"/>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令和5年度は見込みを1.4%上回りました。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編集注記：令和6年度決算および令和7年度の給付費見込の提供を受けたうえで、第9期全体の乖離を確定します。</w:t>
      </w:r>
    </w:p>
    <w:p>
      <w:pPr>
        <w:spacing w:after="100" w:line="300"/>
      </w:pPr>
      <w:r>
        <w:rPr>
          <w:rFonts w:ascii="游ゴシック" w:cs="游ゴシック" w:eastAsia="游ゴシック" w:hAnsi="游ゴシック"/>
          <w:b/>
          <w:bCs/>
          <w:color w:val="2E75B6"/>
          <w:sz w:val="21"/>
          <w:szCs w:val="21"/>
        </w:rPr>
        <w:t xml:space="preserve">検証から得られた課題</w:t>
      </w:r>
    </w:p>
    <w:p>
      <w:pPr>
        <w:spacing w:after="120" w:line="300"/>
      </w:pPr>
      <w:r>
        <w:rPr>
          <w:rFonts w:ascii="游明朝" w:cs="游明朝" w:eastAsia="游明朝" w:hAnsi="游明朝"/>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おり、本計画ではこの点を第6章において改善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2-10　アンケート調査結果</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spacing w:after="100" w:line="300"/>
      </w:pPr>
      <w:r>
        <w:rPr>
          <w:rFonts w:ascii="游ゴシック" w:cs="游ゴシック" w:eastAsia="游ゴシック" w:hAnsi="游ゴシック"/>
          <w:b/>
          <w:bCs/>
          <w:color w:val="2E75B6"/>
          <w:sz w:val="21"/>
          <w:szCs w:val="21"/>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1685"/>
        <w:gridCol w:w="1872"/>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有効回収率</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434"/>
        <w:gridCol w:w="374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509人中約140人。在宅介護実態調査でも24.2%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地区差が大きい。大塩地区が最も低い</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前回36.7%から低下。裏磐梯地区は20.6%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家族と話したことがある38.3%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2-11　本村の課題</w:t>
      </w:r>
    </w:p>
    <w:p>
      <w:pPr>
        <w:spacing w:after="120" w:line="300"/>
      </w:pPr>
      <w:r>
        <w:rPr>
          <w:rFonts w:ascii="游明朝" w:cs="游明朝" w:eastAsia="游明朝" w:hAnsi="游明朝"/>
          <w:sz w:val="21"/>
          <w:szCs w:val="21"/>
        </w:rPr>
        <w:t xml:space="preserve">これまでの分析から、本村の課題は次の5点に整理されます。</w:t>
      </w:r>
    </w:p>
    <w:p>
      <w:pPr>
        <w:spacing w:after="100" w:line="300"/>
      </w:pPr>
      <w:r>
        <w:rPr>
          <w:rFonts w:ascii="游ゴシック" w:cs="游ゴシック" w:eastAsia="游ゴシック" w:hAnsi="游ゴシック"/>
          <w:b/>
          <w:bCs/>
          <w:color w:val="2E75B6"/>
          <w:sz w:val="21"/>
          <w:szCs w:val="21"/>
        </w:rPr>
        <w:t xml:space="preserve">課題1　認定を受けても、利用できるサービスが限られています</w:t>
      </w:r>
    </w:p>
    <w:p>
      <w:pPr>
        <w:spacing w:after="120" w:line="300"/>
      </w:pPr>
      <w:r>
        <w:rPr>
          <w:rFonts w:ascii="游明朝" w:cs="游明朝" w:eastAsia="游明朝" w:hAnsi="游明朝"/>
          <w:sz w:val="21"/>
          <w:szCs w:val="21"/>
        </w:rPr>
        <w:t xml:space="preserve">認定率は県内59保険者中18番目と高い水準にある一方、1人あたりの費用額は44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pPr>
      <w:r>
        <w:rPr>
          <w:rFonts w:ascii="游明朝" w:cs="游明朝" w:eastAsia="游明朝" w:hAnsi="游明朝"/>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spacing w:after="100" w:line="300"/>
      </w:pPr>
      <w:r>
        <w:rPr>
          <w:rFonts w:ascii="游ゴシック" w:cs="游ゴシック" w:eastAsia="游ゴシック" w:hAnsi="游ゴシック"/>
          <w:b/>
          <w:bCs/>
          <w:color w:val="2E75B6"/>
          <w:sz w:val="21"/>
          <w:szCs w:val="21"/>
        </w:rPr>
        <w:t xml:space="preserve">課題2　軽度の方が急増し、その受け皿が整っていません</w:t>
      </w:r>
    </w:p>
    <w:p>
      <w:pPr>
        <w:spacing w:after="120" w:line="300"/>
      </w:pPr>
      <w:r>
        <w:rPr>
          <w:rFonts w:ascii="游明朝" w:cs="游明朝" w:eastAsia="游明朝" w:hAnsi="游明朝"/>
          <w:sz w:val="21"/>
          <w:szCs w:val="21"/>
        </w:rPr>
        <w:t xml:space="preserve">要支援1の認定者は6年間で3倍になりました。しかし総合事業における多様なサービスは実施されておらず、受け皿は従前相当のサービスに限られています。国の評価指標においても、軽度の方の重度化が進んでいることが確認されています。</w:t>
      </w:r>
    </w:p>
    <w:p>
      <w:pPr>
        <w:spacing w:after="100" w:line="300"/>
      </w:pPr>
      <w:r>
        <w:rPr>
          <w:rFonts w:ascii="游ゴシック" w:cs="游ゴシック" w:eastAsia="游ゴシック" w:hAnsi="游ゴシック"/>
          <w:b/>
          <w:bCs/>
          <w:color w:val="2E75B6"/>
          <w:sz w:val="21"/>
          <w:szCs w:val="21"/>
        </w:rPr>
        <w:t xml:space="preserve">課題3　計画を評価し改善する仕組みが十分ではありません</w:t>
      </w:r>
    </w:p>
    <w:p>
      <w:pPr>
        <w:spacing w:after="120" w:line="300"/>
      </w:pPr>
      <w:r>
        <w:rPr>
          <w:rFonts w:ascii="游明朝" w:cs="游明朝" w:eastAsia="游明朝" w:hAnsi="游明朝"/>
          <w:sz w:val="21"/>
          <w:szCs w:val="21"/>
        </w:rPr>
        <w:t xml:space="preserve">計画値と実績値の乖離の分析、目標未達成時の改善、評価結果の共有のいずれもが、国の評価指標において0点となっています。第9期の推計の乖離も、検証の仕組みがあれば計画期間の途中で把握できたものです。</w:t>
      </w:r>
    </w:p>
    <w:p>
      <w:pPr>
        <w:spacing w:after="100" w:line="300"/>
      </w:pPr>
      <w:r>
        <w:rPr>
          <w:rFonts w:ascii="游ゴシック" w:cs="游ゴシック" w:eastAsia="游ゴシック" w:hAnsi="游ゴシック"/>
          <w:b/>
          <w:bCs/>
          <w:color w:val="2E75B6"/>
          <w:sz w:val="21"/>
          <w:szCs w:val="21"/>
        </w:rPr>
        <w:t xml:space="preserve">課題4　保険料と給付水準の関係を説明する必要があります</w:t>
      </w:r>
    </w:p>
    <w:p>
      <w:pPr>
        <w:spacing w:after="120" w:line="300"/>
      </w:pPr>
      <w:r>
        <w:rPr>
          <w:rFonts w:ascii="游明朝" w:cs="游明朝" w:eastAsia="游明朝" w:hAnsi="游明朝"/>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spacing w:after="100" w:line="300"/>
      </w:pPr>
      <w:r>
        <w:rPr>
          <w:rFonts w:ascii="游ゴシック" w:cs="游ゴシック" w:eastAsia="游ゴシック" w:hAnsi="游ゴシック"/>
          <w:b/>
          <w:bCs/>
          <w:color w:val="2E75B6"/>
          <w:sz w:val="21"/>
          <w:szCs w:val="21"/>
        </w:rPr>
        <w:t xml:space="preserve">課題5　人口構造の転換に備える必要があります</w:t>
      </w:r>
    </w:p>
    <w:p>
      <w:pPr>
        <w:spacing w:after="120" w:line="300"/>
      </w:pPr>
      <w:r>
        <w:rPr>
          <w:rFonts w:ascii="游明朝" w:cs="游明朝" w:eastAsia="游明朝" w:hAnsi="游明朝"/>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spacing w:after="100" w:line="300"/>
      </w:pPr>
      <w:r>
        <w:rPr>
          <w:rFonts w:ascii="游ゴシック" w:cs="游ゴシック" w:eastAsia="游ゴシック" w:hAnsi="游ゴシック"/>
          <w:b/>
          <w:bCs/>
          <w:color w:val="2E75B6"/>
          <w:sz w:val="21"/>
          <w:szCs w:val="21"/>
        </w:rPr>
        <w:t xml:space="preserve">課題6　冬期の生活と移動を支える必要があります</w:t>
      </w:r>
    </w:p>
    <w:p>
      <w:pPr>
        <w:spacing w:after="120" w:line="300"/>
      </w:pPr>
      <w:r>
        <w:rPr>
          <w:rFonts w:ascii="游明朝" w:cs="游明朝" w:eastAsia="游明朝" w:hAnsi="游明朝"/>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pPr>
      <w:r>
        <w:rPr>
          <w:rFonts w:ascii="游明朝" w:cs="游明朝" w:eastAsia="游明朝" w:hAnsi="游明朝"/>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第3章　計画の基本的な考え方</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3-1　基本理念</w:t>
      </w:r>
    </w:p>
    <w:p>
      <w:pPr>
        <w:spacing w:after="120" w:line="300"/>
      </w:pPr>
      <w:r>
        <w:rPr>
          <w:rFonts w:ascii="游明朝" w:cs="游明朝" w:eastAsia="游明朝" w:hAnsi="游明朝"/>
          <w:sz w:val="21"/>
          <w:szCs w:val="21"/>
        </w:rPr>
        <w:t xml:space="preserve">本計画は、第9期計画の基本理念を継承します。</w:t>
      </w:r>
    </w:p>
    <w:p>
      <w:pPr>
        <w:spacing w:after="100" w:line="300"/>
      </w:pPr>
      <w:r>
        <w:rPr>
          <w:rFonts w:ascii="游ゴシック" w:cs="游ゴシック" w:eastAsia="游ゴシック" w:hAnsi="游ゴシック"/>
          <w:b/>
          <w:bCs/>
          <w:color w:val="2E75B6"/>
          <w:sz w:val="21"/>
          <w:szCs w:val="21"/>
        </w:rPr>
        <w:t xml:space="preserve">「結」のこころを持って支え合う地域共生社会</w:t>
      </w:r>
    </w:p>
    <w:p>
      <w:pPr>
        <w:spacing w:after="100" w:line="300"/>
      </w:pPr>
      <w:r>
        <w:rPr>
          <w:rFonts w:ascii="游ゴシック" w:cs="游ゴシック" w:eastAsia="游ゴシック" w:hAnsi="游ゴシック"/>
          <w:b/>
          <w:bCs/>
          <w:color w:val="2E75B6"/>
          <w:sz w:val="21"/>
          <w:szCs w:val="21"/>
        </w:rPr>
        <w:t xml:space="preserve">自分らしくあなたらしく　笑顔で暮らし輝き続ける　北塩原村</w:t>
      </w:r>
    </w:p>
    <w:p>
      <w:pPr>
        <w:spacing w:after="120" w:line="300"/>
      </w:pPr>
      <w:r>
        <w:rPr>
          <w:rFonts w:ascii="游明朝" w:cs="游明朝" w:eastAsia="游明朝" w:hAnsi="游明朝"/>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編集注記：基本理念の継承については村と協議のうえ確定します。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3-2　基本目標</w:t>
      </w:r>
    </w:p>
    <w:p>
      <w:pPr>
        <w:spacing w:after="120" w:line="300"/>
      </w:pPr>
      <w:r>
        <w:rPr>
          <w:rFonts w:ascii="游明朝" w:cs="游明朝" w:eastAsia="游明朝" w:hAnsi="游明朝"/>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3557"/>
        <w:gridCol w:w="5054"/>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3-3　第10期の重点</w:t>
      </w:r>
    </w:p>
    <w:p>
      <w:pPr>
        <w:spacing w:after="120" w:line="300"/>
      </w:pPr>
      <w:r>
        <w:rPr>
          <w:rFonts w:ascii="游明朝" w:cs="游明朝" w:eastAsia="游明朝" w:hAnsi="游明朝"/>
          <w:sz w:val="21"/>
          <w:szCs w:val="21"/>
        </w:rPr>
        <w:t xml:space="preserve">2-11で整理した6つの課題を踏まえ、本計画では次の4点を重点として取り組みます。</w:t>
      </w:r>
    </w:p>
    <w:p>
      <w:pPr>
        <w:spacing w:after="100" w:line="300"/>
      </w:pPr>
      <w:r>
        <w:rPr>
          <w:rFonts w:ascii="游ゴシック" w:cs="游ゴシック" w:eastAsia="游ゴシック" w:hAnsi="游ゴシック"/>
          <w:b/>
          <w:bCs/>
          <w:color w:val="2E75B6"/>
          <w:sz w:val="21"/>
          <w:szCs w:val="21"/>
        </w:rPr>
        <w:t xml:space="preserve">重点1　軽度の方の重度化を防ぎます</w:t>
      </w:r>
    </w:p>
    <w:p>
      <w:pPr>
        <w:spacing w:after="120" w:line="300"/>
      </w:pPr>
      <w:r>
        <w:rPr>
          <w:rFonts w:ascii="游明朝" w:cs="游明朝" w:eastAsia="游明朝" w:hAnsi="游明朝"/>
          <w:sz w:val="21"/>
          <w:szCs w:val="21"/>
        </w:rPr>
        <w:t xml:space="preserve">要支援1の認定者が6年間で3倍になり、軽度の方の重度化が進んでいます。総合事業における多様なサービスの創設を検討するとともに、通いの場を再構築し、一般介護予防事業を拡充します。（課題2に対応）</w:t>
      </w:r>
    </w:p>
    <w:p>
      <w:pPr>
        <w:spacing w:after="100" w:line="300"/>
      </w:pPr>
      <w:r>
        <w:rPr>
          <w:rFonts w:ascii="游ゴシック" w:cs="游ゴシック" w:eastAsia="游ゴシック" w:hAnsi="游ゴシック"/>
          <w:b/>
          <w:bCs/>
          <w:color w:val="2E75B6"/>
          <w:sz w:val="21"/>
          <w:szCs w:val="21"/>
        </w:rPr>
        <w:t xml:space="preserve">重点2　後期高齢者の増加に備えます</w:t>
      </w:r>
    </w:p>
    <w:p>
      <w:pPr>
        <w:spacing w:after="120" w:line="300"/>
      </w:pPr>
      <w:r>
        <w:rPr>
          <w:rFonts w:ascii="游明朝" w:cs="游明朝" w:eastAsia="游明朝" w:hAnsi="游明朝"/>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spacing w:after="100" w:line="300"/>
      </w:pPr>
      <w:r>
        <w:rPr>
          <w:rFonts w:ascii="游ゴシック" w:cs="游ゴシック" w:eastAsia="游ゴシック" w:hAnsi="游ゴシック"/>
          <w:b/>
          <w:bCs/>
          <w:color w:val="2E75B6"/>
          <w:sz w:val="21"/>
          <w:szCs w:val="21"/>
        </w:rPr>
        <w:t xml:space="preserve">重点3　冬期の生活と移動を支えます</w:t>
      </w:r>
    </w:p>
    <w:p>
      <w:pPr>
        <w:spacing w:after="120" w:line="300"/>
      </w:pPr>
      <w:r>
        <w:rPr>
          <w:rFonts w:ascii="游明朝" w:cs="游明朝" w:eastAsia="游明朝" w:hAnsi="游明朝"/>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spacing w:after="100" w:line="300"/>
      </w:pPr>
      <w:r>
        <w:rPr>
          <w:rFonts w:ascii="游ゴシック" w:cs="游ゴシック" w:eastAsia="游ゴシック" w:hAnsi="游ゴシック"/>
          <w:b/>
          <w:bCs/>
          <w:color w:val="2E75B6"/>
          <w:sz w:val="21"/>
          <w:szCs w:val="21"/>
        </w:rPr>
        <w:t xml:space="preserve">重点4　計画を評価し改善する仕組みをつくります</w:t>
      </w:r>
    </w:p>
    <w:p>
      <w:pPr>
        <w:spacing w:after="120" w:line="300"/>
      </w:pPr>
      <w:r>
        <w:rPr>
          <w:rFonts w:ascii="游明朝" w:cs="游明朝" w:eastAsia="游明朝" w:hAnsi="游明朝"/>
          <w:sz w:val="21"/>
          <w:szCs w:val="21"/>
        </w:rPr>
        <w:t xml:space="preserve">すべての施策に成果目標・活動指標を設定し、毎年度その達成状況を確認します。計画値と実績値の乖離を検証し、策定委員会に報告します。（課題3・課題4に対応）</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3-4　施策の体系</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健康づくりと介護予防施策の充実・推進</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 通いの場の再構築と参加率の向上／1-2 総合事業における多様なサービスの創設／1-3 一般介護予防事業の拡充／1-4 介護予防におけるデータ活用／1-5 地域リハビリテーション活動支援事業の推進／1-6 高齢者の保健事業と介護予防の一体的実施</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安心で自分らしい生活支援の充実</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 高齢者の移動に関する支援／2-2 社会参加の促進とインセンティブの検討／2-3 住まいの安定的な確保と生活困難者支援／2-4 日常生活の安全確保／2-5 地域支え合い活動の促進／2-6 冬期の生活支援（除雪）【新規】</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質の高い介護サービスの充実</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 居宅サービスの確保／3-2 地域密着型サービスの維持と定員の検討／3-3 村外施設サービスの利用支援／3-4 短期入所サービスの確保／3-5 介護給付の適正化</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地域で支えあう仕組みづくり</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 地域包括支援センターの機能強化／4-2 地域ケア会議の充実／4-3 在宅医療・介護連携の推進／4-4 認知症施策の推進／4-5 生活支援体制の整備／4-6 介護人材の確保と生産性向上／4-7 成年後見制度の利用促進</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 計画の推進と進捗管理</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成果目標・活動指標の設定と毎年度の進捗評価／5-2 計画値と実績値の乖離分析／5-3 評価結果の関係者間共有／5-4 保険者機能強化推進交付金の評価指標との連動</w:t>
            </w:r>
          </w:p>
        </w:tc>
      </w:tr>
    </w:tbl>
    <w:p>
      <w:pPr>
        <w:spacing w:after="160" w:line="300"/>
      </w:pPr>
      <w:r>
        <w:rPr>
          <w:rFonts w:ascii="游明朝" w:cs="游明朝" w:eastAsia="游明朝" w:hAnsi="游明朝"/>
          <w:sz w:val="21"/>
          <w:szCs w:val="21"/>
        </w:rPr>
        <w:t xml:space="preserve"/>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4-1　基本目標1　健康づくりと介護予防施策の充実・推進【最重点】</w:t>
      </w:r>
    </w:p>
    <w:p>
      <w:pPr>
        <w:spacing w:after="120" w:line="300"/>
      </w:pPr>
      <w:r>
        <w:rPr>
          <w:rFonts w:ascii="游明朝" w:cs="游明朝" w:eastAsia="游明朝" w:hAnsi="游明朝"/>
          <w:sz w:val="21"/>
          <w:szCs w:val="21"/>
        </w:rPr>
        <w:t xml:space="preserve">要支援1の認定者が6年間で3倍になる一方、介護予防の受け皿は整っていません。国の評価指標において0点であった21項目のうち8項目がこの分野に集中しています。本計画の最重点分野として取り組みます。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1-1　通いの場の再構築と参加率の向上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はつらつ貯筋教室、シニア元気アップ教室、住民主体の通いの場であるいきいき百歳体操などを実施しています。第9期の調査では参加率は11.2%で、地区による差が大きく、大塩地区が最も低い状況です。また通いの場の箇所数・参加者数は、国の調査における報告が令和2年度で途絶えており、現在の実態が把握できていません。まず実数を把握し、そのうえで参加率の目標を設定し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通いの場の実施状況を悉皆で調査し、基準値を確定します</w:t>
      </w:r>
    </w:p>
    <w:p>
      <w:pPr>
        <w:pStyle w:val="ListParagraph"/>
        <w:numPr>
          <w:ilvl w:val="0"/>
          <w:numId w:val="2"/>
        </w:numPr>
        <w:spacing w:after="60" w:line="300"/>
      </w:pPr>
      <w:r>
        <w:rPr>
          <w:rFonts w:ascii="游明朝" w:cs="游明朝" w:eastAsia="游明朝" w:hAnsi="游明朝"/>
          <w:sz w:val="21"/>
          <w:szCs w:val="21"/>
        </w:rPr>
        <w:t xml:space="preserve">地区別の参加状況を把握し、参加率の低い地区に重点的に働きかけます</w:t>
      </w:r>
    </w:p>
    <w:p>
      <w:pPr>
        <w:pStyle w:val="ListParagraph"/>
        <w:numPr>
          <w:ilvl w:val="0"/>
          <w:numId w:val="2"/>
        </w:numPr>
        <w:spacing w:after="60" w:line="300"/>
      </w:pPr>
      <w:r>
        <w:rPr>
          <w:rFonts w:ascii="游明朝" w:cs="游明朝" w:eastAsia="游明朝" w:hAnsi="游明朝"/>
          <w:sz w:val="21"/>
          <w:szCs w:val="21"/>
        </w:rPr>
        <w:t xml:space="preserve">住民主体の通いの場の立ち上げを支援します</w:t>
      </w:r>
    </w:p>
    <w:p>
      <w:pPr>
        <w:pStyle w:val="ListParagraph"/>
        <w:numPr>
          <w:ilvl w:val="0"/>
          <w:numId w:val="2"/>
        </w:numPr>
        <w:spacing w:after="60" w:line="300"/>
      </w:pPr>
      <w:r>
        <w:rPr>
          <w:rFonts w:ascii="游明朝" w:cs="游明朝" w:eastAsia="游明朝" w:hAnsi="游明朝"/>
          <w:sz w:val="21"/>
          <w:szCs w:val="21"/>
        </w:rPr>
        <w:t xml:space="preserve">参加していない方へのアウトリーチを実施します</w:t>
      </w:r>
    </w:p>
    <w:p>
      <w:pPr>
        <w:pStyle w:val="ListParagraph"/>
        <w:numPr>
          <w:ilvl w:val="0"/>
          <w:numId w:val="2"/>
        </w:numPr>
        <w:spacing w:after="60" w:line="300"/>
      </w:pPr>
      <w:r>
        <w:rPr>
          <w:rFonts w:ascii="游明朝" w:cs="游明朝" w:eastAsia="游明朝" w:hAnsi="游明朝"/>
          <w:sz w:val="21"/>
          <w:szCs w:val="21"/>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週1回以上の通いの場への参加率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村実数</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村実数</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1-2　総合事業における多様なサービスの創設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関係機関との意見交換により、総合事業を推進するための課題を把握します</w:t>
      </w:r>
    </w:p>
    <w:p>
      <w:pPr>
        <w:pStyle w:val="ListParagraph"/>
        <w:numPr>
          <w:ilvl w:val="0"/>
          <w:numId w:val="2"/>
        </w:numPr>
        <w:spacing w:after="60" w:line="300"/>
      </w:pPr>
      <w:r>
        <w:rPr>
          <w:rFonts w:ascii="游明朝" w:cs="游明朝" w:eastAsia="游明朝" w:hAnsi="游明朝"/>
          <w:sz w:val="21"/>
          <w:szCs w:val="21"/>
        </w:rPr>
        <w:t xml:space="preserve">本村の実情に適した多様なサービスの類型を検討します</w:t>
      </w:r>
    </w:p>
    <w:p>
      <w:pPr>
        <w:pStyle w:val="ListParagraph"/>
        <w:numPr>
          <w:ilvl w:val="0"/>
          <w:numId w:val="2"/>
        </w:numPr>
        <w:spacing w:after="60" w:line="300"/>
      </w:pPr>
      <w:r>
        <w:rPr>
          <w:rFonts w:ascii="游明朝" w:cs="游明朝" w:eastAsia="游明朝" w:hAnsi="游明朝"/>
          <w:sz w:val="21"/>
          <w:szCs w:val="21"/>
        </w:rPr>
        <w:t xml:space="preserve">サービスCを実施する場合は、終了後に通いの場へつなぐ仕組みをあわせて整備します</w:t>
      </w:r>
    </w:p>
    <w:p>
      <w:pPr>
        <w:pStyle w:val="ListParagraph"/>
        <w:numPr>
          <w:ilvl w:val="0"/>
          <w:numId w:val="2"/>
        </w:numPr>
        <w:spacing w:after="60" w:line="300"/>
      </w:pPr>
      <w:r>
        <w:rPr>
          <w:rFonts w:ascii="游明朝" w:cs="游明朝" w:eastAsia="游明朝" w:hAnsi="游明朝"/>
          <w:sz w:val="21"/>
          <w:szCs w:val="21"/>
        </w:rPr>
        <w:t xml:space="preserve">社会福祉法人・医療法人・NPO・民間事業者等との連携を進めます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1-3　一般介護予防事業の拡充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はつらつ貯筋教室・シニア元気アップ教室等を実施していますが、一般介護予防事業費は10年近く180万円前後で推移しており、事業量が伸びていません。介護予防を強化するには予算的な裏付けが必要です。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一般介護予防事業の実施内容を見直し、必要な事業量を確保します</w:t>
      </w:r>
    </w:p>
    <w:p>
      <w:pPr>
        <w:pStyle w:val="ListParagraph"/>
        <w:numPr>
          <w:ilvl w:val="0"/>
          <w:numId w:val="2"/>
        </w:numPr>
        <w:spacing w:after="60" w:line="300"/>
      </w:pPr>
      <w:r>
        <w:rPr>
          <w:rFonts w:ascii="游明朝" w:cs="游明朝" w:eastAsia="游明朝" w:hAnsi="游明朝"/>
          <w:sz w:val="21"/>
          <w:szCs w:val="21"/>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1-4　介護予防におけるデータ活用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介護予防の取組に係る課題把握について、国の評価指標では0点となっています。地域包括ケア「見える化」システムや国保データベース（KDB）システムを活用した分析が行われていません。</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見える化システム・KDBシステムを活用し、介護予防に関する課題を把握します</w:t>
      </w:r>
    </w:p>
    <w:p>
      <w:pPr>
        <w:pStyle w:val="ListParagraph"/>
        <w:numPr>
          <w:ilvl w:val="0"/>
          <w:numId w:val="2"/>
        </w:numPr>
        <w:spacing w:after="60" w:line="300"/>
      </w:pPr>
      <w:r>
        <w:rPr>
          <w:rFonts w:ascii="游明朝" w:cs="游明朝" w:eastAsia="游明朝" w:hAnsi="游明朝"/>
          <w:sz w:val="21"/>
          <w:szCs w:val="21"/>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データを活用した課題把握の実施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1-5　地域リハビリテーション活動支援事業の推進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地域リハビリテーションの推進に向けた具体的な取組について、国の評価指標では0点となっています。関係団体との連携によるリハビリテーション専門職の関与の仕組みが構築されていません。</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関係団体と連携し、リハビリテーション専門職が関与する仕組みを構築します</w:t>
      </w:r>
    </w:p>
    <w:p>
      <w:pPr>
        <w:pStyle w:val="ListParagraph"/>
        <w:numPr>
          <w:ilvl w:val="0"/>
          <w:numId w:val="2"/>
        </w:numPr>
        <w:spacing w:after="60" w:line="300"/>
      </w:pPr>
      <w:r>
        <w:rPr>
          <w:rFonts w:ascii="游明朝" w:cs="游明朝" w:eastAsia="游明朝" w:hAnsi="游明朝"/>
          <w:sz w:val="21"/>
          <w:szCs w:val="21"/>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1-6　高齢者の保健事業と介護予防の一体的実施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介護予防と保健事業の一体的実施については、国の評価指標において20点を得ており、第9期の成果の一つです。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現在の取組を継続し、対象者の拡大を図ります</w:t>
      </w:r>
    </w:p>
    <w:p>
      <w:pPr>
        <w:pStyle w:val="ListParagraph"/>
        <w:numPr>
          <w:ilvl w:val="0"/>
          <w:numId w:val="2"/>
        </w:numPr>
        <w:spacing w:after="60" w:line="300"/>
      </w:pPr>
      <w:r>
        <w:rPr>
          <w:rFonts w:ascii="游明朝" w:cs="游明朝" w:eastAsia="游明朝" w:hAnsi="游明朝"/>
          <w:sz w:val="21"/>
          <w:szCs w:val="21"/>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実施（20点）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4-2　基本目標2　安心で自分らしい生活支援の充実</w:t>
      </w:r>
    </w:p>
    <w:p>
      <w:pPr>
        <w:spacing w:after="120" w:line="300"/>
      </w:pPr>
      <w:r>
        <w:rPr>
          <w:rFonts w:ascii="游明朝" w:cs="游明朝" w:eastAsia="游明朝" w:hAnsi="游明朝"/>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　高齢者の移動に関する支援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第9期の調査では、今後必要と感じる支援として移送サービス10.8%、外出同行10.4%が上位に挙がっています。国の評価指標では令和3年度5点から令和4年度15点へと改善し、公共交通担当部局との連携体制の構築、取組の実施、取組の見直しで得点しています。一方、移動に関する課題の把握は0点のまま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高齢者の移動に関する課題を体系的に把握します</w:t>
      </w:r>
    </w:p>
    <w:p>
      <w:pPr>
        <w:pStyle w:val="ListParagraph"/>
        <w:numPr>
          <w:ilvl w:val="0"/>
          <w:numId w:val="2"/>
        </w:numPr>
        <w:spacing w:after="60" w:line="300"/>
      </w:pPr>
      <w:r>
        <w:rPr>
          <w:rFonts w:ascii="游明朝" w:cs="游明朝" w:eastAsia="游明朝" w:hAnsi="游明朝"/>
          <w:sz w:val="21"/>
          <w:szCs w:val="21"/>
        </w:rPr>
        <w:t xml:space="preserve">介護予防・生活支援サービス事業による移動支援の創設を検討します</w:t>
      </w:r>
    </w:p>
    <w:p>
      <w:pPr>
        <w:pStyle w:val="ListParagraph"/>
        <w:numPr>
          <w:ilvl w:val="0"/>
          <w:numId w:val="2"/>
        </w:numPr>
        <w:spacing w:after="60" w:line="300"/>
      </w:pPr>
      <w:r>
        <w:rPr>
          <w:rFonts w:ascii="游明朝" w:cs="游明朝" w:eastAsia="游明朝" w:hAnsi="游明朝"/>
          <w:sz w:val="21"/>
          <w:szCs w:val="21"/>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15点（令和4年度）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2-2　社会参加の促進とインセンティブの検討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高齢者の社会参加を促す個人へのインセンティブ付与について、国の評価指標では0点であり、ポイント事業も実施していません。</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高齢者のボランティア活動等に対するポイント事業の導入を検討します</w:t>
      </w:r>
    </w:p>
    <w:p>
      <w:pPr>
        <w:pStyle w:val="ListParagraph"/>
        <w:numPr>
          <w:ilvl w:val="0"/>
          <w:numId w:val="2"/>
        </w:numPr>
        <w:spacing w:after="60" w:line="300"/>
      </w:pPr>
      <w:r>
        <w:rPr>
          <w:rFonts w:ascii="游明朝" w:cs="游明朝" w:eastAsia="游明朝" w:hAnsi="游明朝"/>
          <w:sz w:val="21"/>
          <w:szCs w:val="21"/>
        </w:rPr>
        <w:t xml:space="preserve">高齢者の就労・雇用の機会の確保に取り組みます</w:t>
      </w:r>
    </w:p>
    <w:p>
      <w:pPr>
        <w:pStyle w:val="ListParagraph"/>
        <w:numPr>
          <w:ilvl w:val="0"/>
          <w:numId w:val="2"/>
        </w:numPr>
        <w:spacing w:after="60" w:line="300"/>
      </w:pPr>
      <w:r>
        <w:rPr>
          <w:rFonts w:ascii="游明朝" w:cs="游明朝" w:eastAsia="游明朝" w:hAnsi="游明朝"/>
          <w:sz w:val="21"/>
          <w:szCs w:val="21"/>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2-3　住まいの安定的な確保と生活困難者支援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生活支援ハウスにより在宅での生活が困難な方の受入れを行っています。一方、生活に困難を抱えた高齢者等の住まいの確保・生活支援について、国の評価指標では0点です。また管内の住宅型有料老人ホーム・サービス付き高齢者向け住宅の情報を計画策定に活用することについても0点となっ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住まいの確保に困難を抱える高齢者の実態を把握します</w:t>
      </w:r>
    </w:p>
    <w:p>
      <w:pPr>
        <w:pStyle w:val="ListParagraph"/>
        <w:numPr>
          <w:ilvl w:val="0"/>
          <w:numId w:val="2"/>
        </w:numPr>
        <w:spacing w:after="60" w:line="300"/>
      </w:pPr>
      <w:r>
        <w:rPr>
          <w:rFonts w:ascii="游明朝" w:cs="游明朝" w:eastAsia="游明朝" w:hAnsi="游明朝"/>
          <w:sz w:val="21"/>
          <w:szCs w:val="21"/>
        </w:rPr>
        <w:t xml:space="preserve">関係部局・関係機関と連携した支援体制を検討します</w:t>
      </w:r>
    </w:p>
    <w:p>
      <w:pPr>
        <w:pStyle w:val="ListParagraph"/>
        <w:numPr>
          <w:ilvl w:val="0"/>
          <w:numId w:val="2"/>
        </w:numPr>
        <w:spacing w:after="60" w:line="300"/>
      </w:pPr>
      <w:r>
        <w:rPr>
          <w:rFonts w:ascii="游明朝" w:cs="游明朝" w:eastAsia="游明朝" w:hAnsi="游明朝"/>
          <w:sz w:val="21"/>
          <w:szCs w:val="21"/>
        </w:rPr>
        <w:t xml:space="preserve">有料老人ホーム・サービス付き高齢者向け住宅の情報を把握します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2-4　日常生活の安全確保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避難行動要支援者名簿の整備と活用を進めます</w:t>
      </w:r>
    </w:p>
    <w:p>
      <w:pPr>
        <w:pStyle w:val="ListParagraph"/>
        <w:numPr>
          <w:ilvl w:val="0"/>
          <w:numId w:val="2"/>
        </w:numPr>
        <w:spacing w:after="60" w:line="300"/>
      </w:pPr>
      <w:r>
        <w:rPr>
          <w:rFonts w:ascii="游明朝" w:cs="游明朝" w:eastAsia="游明朝" w:hAnsi="游明朝"/>
          <w:sz w:val="21"/>
          <w:szCs w:val="21"/>
        </w:rPr>
        <w:t xml:space="preserve">介護事業所と連携した災害訓練を継続します</w:t>
      </w:r>
    </w:p>
    <w:p>
      <w:pPr>
        <w:pStyle w:val="ListParagraph"/>
        <w:numPr>
          <w:ilvl w:val="0"/>
          <w:numId w:val="2"/>
        </w:numPr>
        <w:spacing w:after="60" w:line="300"/>
      </w:pPr>
      <w:r>
        <w:rPr>
          <w:rFonts w:ascii="游明朝" w:cs="游明朝" w:eastAsia="游明朝" w:hAnsi="游明朝"/>
          <w:sz w:val="21"/>
          <w:szCs w:val="21"/>
        </w:rPr>
        <w:t xml:space="preserve">特殊詐欺・消費者被害の防止に向けた啓発を行います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2-5　地域支え合い活動の促進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生活支援コーディネーターが配置され、令和元年度に北山・大塩・桧原・裏磐梯の4地区に第2層協議体が設置されています。地域ケア会議への参加割合は50%です。第9期の調査では「地域・近所の見守り、声かけ」を必要と感じる方が10.4%ありました。</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生活支援コーディネーターの活動を強化します</w:t>
      </w:r>
    </w:p>
    <w:p>
      <w:pPr>
        <w:pStyle w:val="ListParagraph"/>
        <w:numPr>
          <w:ilvl w:val="0"/>
          <w:numId w:val="2"/>
        </w:numPr>
        <w:spacing w:after="60" w:line="300"/>
      </w:pPr>
      <w:r>
        <w:rPr>
          <w:rFonts w:ascii="游明朝" w:cs="游明朝" w:eastAsia="游明朝" w:hAnsi="游明朝"/>
          <w:sz w:val="21"/>
          <w:szCs w:val="21"/>
        </w:rPr>
        <w:t xml:space="preserve">第2層協議体の活動を支援します</w:t>
      </w:r>
    </w:p>
    <w:p>
      <w:pPr>
        <w:pStyle w:val="ListParagraph"/>
        <w:numPr>
          <w:ilvl w:val="0"/>
          <w:numId w:val="2"/>
        </w:numPr>
        <w:spacing w:after="60" w:line="300"/>
      </w:pPr>
      <w:r>
        <w:rPr>
          <w:rFonts w:ascii="游明朝" w:cs="游明朝" w:eastAsia="游明朝" w:hAnsi="游明朝"/>
          <w:sz w:val="21"/>
          <w:szCs w:val="21"/>
        </w:rPr>
        <w:t xml:space="preserve">ボランティアネットワークの整備を促進します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2-6　冬期の生活支援（除雪）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第9期のアンケート調査で、今後必要と感じる支援の第1位は「除雪」27.5%（509人中約140人）でした。在宅介護実態調査でも24.2%と、要介護認定を受けている方でも同様の傾向です。ひとり暮らし高齢者世帯等除雪サービス事業を実施していますが、第9期計画では「在宅生活の継続支援」の一部として扱われ、独立した施策としては位置づけられていませんでした。</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ひとり暮らし高齢者世帯等除雪サービス事業の対象要件と実施体制を検証します</w:t>
      </w:r>
    </w:p>
    <w:p>
      <w:pPr>
        <w:pStyle w:val="ListParagraph"/>
        <w:numPr>
          <w:ilvl w:val="0"/>
          <w:numId w:val="2"/>
        </w:numPr>
        <w:spacing w:after="60" w:line="300"/>
      </w:pPr>
      <w:r>
        <w:rPr>
          <w:rFonts w:ascii="游明朝" w:cs="游明朝" w:eastAsia="游明朝" w:hAnsi="游明朝"/>
          <w:sz w:val="21"/>
          <w:szCs w:val="21"/>
        </w:rPr>
        <w:t xml:space="preserve">公的サービスと住民互助・シルバー人材センター等との役割分担を整理します</w:t>
      </w:r>
    </w:p>
    <w:p>
      <w:pPr>
        <w:pStyle w:val="ListParagraph"/>
        <w:numPr>
          <w:ilvl w:val="0"/>
          <w:numId w:val="2"/>
        </w:numPr>
        <w:spacing w:after="60" w:line="300"/>
      </w:pPr>
      <w:r>
        <w:rPr>
          <w:rFonts w:ascii="游明朝" w:cs="游明朝" w:eastAsia="游明朝" w:hAnsi="游明朝"/>
          <w:sz w:val="21"/>
          <w:szCs w:val="21"/>
        </w:rPr>
        <w:t xml:space="preserve">除雪の担い手の確保に取り組みます</w:t>
      </w:r>
    </w:p>
    <w:p>
      <w:pPr>
        <w:pStyle w:val="ListParagraph"/>
        <w:numPr>
          <w:ilvl w:val="0"/>
          <w:numId w:val="2"/>
        </w:numPr>
        <w:spacing w:after="60" w:line="300"/>
      </w:pPr>
      <w:r>
        <w:rPr>
          <w:rFonts w:ascii="游明朝" w:cs="游明朝" w:eastAsia="游明朝" w:hAnsi="游明朝"/>
          <w:sz w:val="21"/>
          <w:szCs w:val="21"/>
        </w:rPr>
        <w:t xml:space="preserve">介護予防・生活支援サービス事業による対応の可能性を検討します</w:t>
      </w:r>
    </w:p>
    <w:p>
      <w:pPr>
        <w:pStyle w:val="ListParagraph"/>
        <w:numPr>
          <w:ilvl w:val="0"/>
          <w:numId w:val="2"/>
        </w:numPr>
        <w:spacing w:after="60" w:line="300"/>
      </w:pPr>
      <w:r>
        <w:rPr>
          <w:rFonts w:ascii="游明朝" w:cs="游明朝" w:eastAsia="游明朝" w:hAnsi="游明朝"/>
          <w:sz w:val="21"/>
          <w:szCs w:val="21"/>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4-3　基本目標3　質の高い介護サービスの充実</w:t>
      </w:r>
    </w:p>
    <w:p>
      <w:pPr>
        <w:spacing w:after="120" w:line="300"/>
      </w:pPr>
      <w:r>
        <w:rPr>
          <w:rFonts w:ascii="游明朝" w:cs="游明朝" w:eastAsia="游明朝" w:hAnsi="游明朝"/>
          <w:sz w:val="21"/>
          <w:szCs w:val="21"/>
        </w:rPr>
        <w:t xml:space="preserve">村内で提供されるサービスは認知症対応型共同生活介護と通所介護の2種類に限られ、施設サービスはすべて村外を利用しています。この実態を前提として、必要なサービスが必要な方に届く体制を整え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3-1　居宅サービスの確保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在宅サービスの費用額は平成29年度から令和4年度にかけて28.1%減少した後、回復に転じています。訪問介護・訪問看護等の担い手の確保が課題です。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居宅サービス事業者との連携を維持し、必要なサービス量を確保します</w:t>
      </w:r>
    </w:p>
    <w:p>
      <w:pPr>
        <w:pStyle w:val="ListParagraph"/>
        <w:numPr>
          <w:ilvl w:val="0"/>
          <w:numId w:val="2"/>
        </w:numPr>
        <w:spacing w:after="60" w:line="300"/>
      </w:pPr>
      <w:r>
        <w:rPr>
          <w:rFonts w:ascii="游明朝" w:cs="游明朝" w:eastAsia="游明朝" w:hAnsi="游明朝"/>
          <w:sz w:val="21"/>
          <w:szCs w:val="21"/>
        </w:rPr>
        <w:t xml:space="preserve">福祉用具貸与・住宅改修についてリハビリテーション専門職が関与する仕組みを継続します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3-2　地域密着型サービスの維持と定員の検討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既存事業所の運営を支援し、サービスの継続的な提供を確保します</w:t>
      </w:r>
    </w:p>
    <w:p>
      <w:pPr>
        <w:pStyle w:val="ListParagraph"/>
        <w:numPr>
          <w:ilvl w:val="0"/>
          <w:numId w:val="2"/>
        </w:numPr>
        <w:spacing w:after="60" w:line="300"/>
      </w:pPr>
      <w:r>
        <w:rPr>
          <w:rFonts w:ascii="游明朝" w:cs="游明朝" w:eastAsia="游明朝" w:hAnsi="游明朝"/>
          <w:sz w:val="21"/>
          <w:szCs w:val="21"/>
        </w:rPr>
        <w:t xml:space="preserve">認定者数の推移を踏まえ、定員の見直しの必要性を検討します</w:t>
      </w:r>
    </w:p>
    <w:p>
      <w:pPr>
        <w:pStyle w:val="ListParagraph"/>
        <w:numPr>
          <w:ilvl w:val="0"/>
          <w:numId w:val="2"/>
        </w:numPr>
        <w:spacing w:after="60" w:line="300"/>
      </w:pPr>
      <w:r>
        <w:rPr>
          <w:rFonts w:ascii="游明朝" w:cs="游明朝" w:eastAsia="游明朝" w:hAnsi="游明朝"/>
          <w:sz w:val="21"/>
          <w:szCs w:val="21"/>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3-3　村外施設サービスの利用支援　【改称】</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村内には介護老人福祉施設・介護老人保健施設・介護医療院がなく、施設サービスを必要とする方はすべて村外の施設を利用しています。第9期の在宅介護実態調査では「村内に施設等があれば将来的に入所したい」との回答が48.5%（回収33人中16人）ありました。第9期計画は施設の種類を列挙する記載でしたが、本計画では村外利用を前提とした支援策として位置づけ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村外施設の空き状況等の情報提供を行います</w:t>
      </w:r>
    </w:p>
    <w:p>
      <w:pPr>
        <w:pStyle w:val="ListParagraph"/>
        <w:numPr>
          <w:ilvl w:val="0"/>
          <w:numId w:val="2"/>
        </w:numPr>
        <w:spacing w:after="60" w:line="300"/>
      </w:pPr>
      <w:r>
        <w:rPr>
          <w:rFonts w:ascii="游明朝" w:cs="游明朝" w:eastAsia="游明朝" w:hAnsi="游明朝"/>
          <w:sz w:val="21"/>
          <w:szCs w:val="21"/>
        </w:rPr>
        <w:t xml:space="preserve">入所を希望する方の相談に応じ、必要な調整を支援します</w:t>
      </w:r>
    </w:p>
    <w:p>
      <w:pPr>
        <w:pStyle w:val="ListParagraph"/>
        <w:numPr>
          <w:ilvl w:val="0"/>
          <w:numId w:val="2"/>
        </w:numPr>
        <w:spacing w:after="60" w:line="300"/>
      </w:pPr>
      <w:r>
        <w:rPr>
          <w:rFonts w:ascii="游明朝" w:cs="游明朝" w:eastAsia="游明朝" w:hAnsi="游明朝"/>
          <w:sz w:val="21"/>
          <w:szCs w:val="21"/>
        </w:rPr>
        <w:t xml:space="preserve">遠隔地の施設を利用するご家族の負担軽減を図ります</w:t>
      </w:r>
    </w:p>
    <w:p>
      <w:pPr>
        <w:pStyle w:val="ListParagraph"/>
        <w:numPr>
          <w:ilvl w:val="0"/>
          <w:numId w:val="2"/>
        </w:numPr>
        <w:spacing w:after="60" w:line="300"/>
      </w:pPr>
      <w:r>
        <w:rPr>
          <w:rFonts w:ascii="游明朝" w:cs="游明朝" w:eastAsia="游明朝" w:hAnsi="游明朝"/>
          <w:sz w:val="21"/>
          <w:szCs w:val="21"/>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3-4　短期入所サービスの確保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短期入所生活介護の給付費は165%増加しています。村内に短期入所のサービスがなく自給率は0%であり、ご家族の介護負担を一時的に軽減する需要がすべて村外で現れているものと考えられます。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短期入所の利用実態と、ご家族の負担の状況を把握します</w:t>
      </w:r>
    </w:p>
    <w:p>
      <w:pPr>
        <w:pStyle w:val="ListParagraph"/>
        <w:numPr>
          <w:ilvl w:val="0"/>
          <w:numId w:val="2"/>
        </w:numPr>
        <w:spacing w:after="60" w:line="300"/>
      </w:pPr>
      <w:r>
        <w:rPr>
          <w:rFonts w:ascii="游明朝" w:cs="游明朝" w:eastAsia="游明朝" w:hAnsi="游明朝"/>
          <w:sz w:val="21"/>
          <w:szCs w:val="21"/>
        </w:rPr>
        <w:t xml:space="preserve">在宅介護実態調査の結果を踏まえ、必要な支援を検討します</w:t>
      </w:r>
    </w:p>
    <w:p>
      <w:pPr>
        <w:pStyle w:val="ListParagraph"/>
        <w:numPr>
          <w:ilvl w:val="0"/>
          <w:numId w:val="2"/>
        </w:numPr>
        <w:spacing w:after="60" w:line="300"/>
      </w:pPr>
      <w:r>
        <w:rPr>
          <w:rFonts w:ascii="游明朝" w:cs="游明朝" w:eastAsia="游明朝" w:hAnsi="游明朝"/>
          <w:sz w:val="21"/>
          <w:szCs w:val="21"/>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短期入所生活介護の利用者数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3-5　介護給付の適正化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介護給付適正化の主要5事業のうち4事業を実施しており、国の評価指標において35点を得ています。一方、縦覧点検については0点となっています。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主要5事業のうち未実施の事業への着手を検討します</w:t>
      </w:r>
    </w:p>
    <w:p>
      <w:pPr>
        <w:pStyle w:val="ListParagraph"/>
        <w:numPr>
          <w:ilvl w:val="0"/>
          <w:numId w:val="2"/>
        </w:numPr>
        <w:spacing w:after="60" w:line="300"/>
      </w:pPr>
      <w:r>
        <w:rPr>
          <w:rFonts w:ascii="游明朝" w:cs="游明朝" w:eastAsia="游明朝" w:hAnsi="游明朝"/>
          <w:sz w:val="21"/>
          <w:szCs w:val="21"/>
        </w:rPr>
        <w:t xml:space="preserve">縦覧点検の実施帳票数を増やします</w:t>
      </w:r>
    </w:p>
    <w:p>
      <w:pPr>
        <w:pStyle w:val="ListParagraph"/>
        <w:numPr>
          <w:ilvl w:val="0"/>
          <w:numId w:val="2"/>
        </w:numPr>
        <w:spacing w:after="60" w:line="300"/>
      </w:pPr>
      <w:r>
        <w:rPr>
          <w:rFonts w:ascii="游明朝" w:cs="游明朝" w:eastAsia="游明朝" w:hAnsi="游明朝"/>
          <w:sz w:val="21"/>
          <w:szCs w:val="21"/>
        </w:rPr>
        <w:t xml:space="preserve">ケアプラン点検・医療情報との突合の実施を検討します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主要5事業の実施数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4事業</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5事業</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0帳票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3帳票以上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4-4　基本目標4　地域で支えあう仕組みづくり</w:t>
      </w:r>
    </w:p>
    <w:p>
      <w:pPr>
        <w:spacing w:after="120" w:line="300"/>
      </w:pPr>
      <w:r>
        <w:rPr>
          <w:rFonts w:ascii="游明朝" w:cs="游明朝" w:eastAsia="游明朝" w:hAnsi="游明朝"/>
          <w:sz w:val="21"/>
          <w:szCs w:val="21"/>
        </w:rPr>
        <w:t xml:space="preserve">在宅医療・介護連携と認知症施策は、国の評価指標において高い評価を得ており、第9期の成果です。これらを維持しつつ、活動量の面で課題のある分野を強化します。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4-1　地域包括支援センターの機能強化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村内1か所に委託により設置し、3職種各1名の計3名で運営しています。主任介護支援専門員は令和4年度から配置されました。なお保健師については、保健師に準ずる者を配置している状況です。夜間・早朝等の窓口設置により15点を得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3職種の体制を維持します</w:t>
      </w:r>
    </w:p>
    <w:p>
      <w:pPr>
        <w:pStyle w:val="ListParagraph"/>
        <w:numPr>
          <w:ilvl w:val="0"/>
          <w:numId w:val="2"/>
        </w:numPr>
        <w:spacing w:after="60" w:line="300"/>
      </w:pPr>
      <w:r>
        <w:rPr>
          <w:rFonts w:ascii="游明朝" w:cs="游明朝" w:eastAsia="游明朝" w:hAnsi="游明朝"/>
          <w:sz w:val="21"/>
          <w:szCs w:val="21"/>
        </w:rPr>
        <w:t xml:space="preserve">保健師の確保に努めます</w:t>
      </w:r>
    </w:p>
    <w:p>
      <w:pPr>
        <w:pStyle w:val="ListParagraph"/>
        <w:numPr>
          <w:ilvl w:val="0"/>
          <w:numId w:val="2"/>
        </w:numPr>
        <w:spacing w:after="60" w:line="300"/>
      </w:pPr>
      <w:r>
        <w:rPr>
          <w:rFonts w:ascii="游明朝" w:cs="游明朝" w:eastAsia="游明朝" w:hAnsi="游明朝"/>
          <w:sz w:val="21"/>
          <w:szCs w:val="21"/>
        </w:rPr>
        <w:t xml:space="preserve">包括的支援事業・介護予防ケアマネジメントの適切な実施を継続します</w:t>
      </w:r>
    </w:p>
    <w:p>
      <w:pPr>
        <w:pStyle w:val="ListParagraph"/>
        <w:numPr>
          <w:ilvl w:val="0"/>
          <w:numId w:val="2"/>
        </w:numPr>
        <w:spacing w:after="60" w:line="300"/>
      </w:pPr>
      <w:r>
        <w:rPr>
          <w:rFonts w:ascii="游明朝" w:cs="游明朝" w:eastAsia="游明朝" w:hAnsi="游明朝"/>
          <w:sz w:val="21"/>
          <w:szCs w:val="21"/>
        </w:rPr>
        <w:t xml:space="preserve">家族等の介護離職防止に向けた支援に取り組みます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4-2　地域ケア会議の充実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地域ケア個別会議を年3回、地域ケア推進会議を年3回開催しています。個別事例の検討割合は0.49%であり、自立支援に資するケアマネジメントの検討件数を増やす余地があります。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地域ケア個別会議の開催回数と検討事例数を増やします</w:t>
      </w:r>
    </w:p>
    <w:p>
      <w:pPr>
        <w:pStyle w:val="ListParagraph"/>
        <w:numPr>
          <w:ilvl w:val="0"/>
          <w:numId w:val="2"/>
        </w:numPr>
        <w:spacing w:after="60" w:line="300"/>
      </w:pPr>
      <w:r>
        <w:rPr>
          <w:rFonts w:ascii="游明朝" w:cs="游明朝" w:eastAsia="游明朝" w:hAnsi="游明朝"/>
          <w:sz w:val="21"/>
          <w:szCs w:val="21"/>
        </w:rPr>
        <w:t xml:space="preserve">複数の個別事例から地域課題を明らかにし、政策提言につなげます</w:t>
      </w:r>
    </w:p>
    <w:p>
      <w:pPr>
        <w:pStyle w:val="ListParagraph"/>
        <w:numPr>
          <w:ilvl w:val="0"/>
          <w:numId w:val="2"/>
        </w:numPr>
        <w:spacing w:after="60" w:line="300"/>
      </w:pPr>
      <w:r>
        <w:rPr>
          <w:rFonts w:ascii="游明朝" w:cs="游明朝" w:eastAsia="游明朝" w:hAnsi="游明朝"/>
          <w:sz w:val="21"/>
          <w:szCs w:val="21"/>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4-3　在宅医療・介護連携の推進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多職種研修会の開催を継続します</w:t>
      </w:r>
    </w:p>
    <w:p>
      <w:pPr>
        <w:pStyle w:val="ListParagraph"/>
        <w:numPr>
          <w:ilvl w:val="0"/>
          <w:numId w:val="2"/>
        </w:numPr>
        <w:spacing w:after="60" w:line="300"/>
      </w:pPr>
      <w:r>
        <w:rPr>
          <w:rFonts w:ascii="游明朝" w:cs="游明朝" w:eastAsia="游明朝" w:hAnsi="游明朝"/>
          <w:sz w:val="21"/>
          <w:szCs w:val="21"/>
        </w:rPr>
        <w:t xml:space="preserve">医療・介護関係者間の情報共有の取組を継続します</w:t>
      </w:r>
    </w:p>
    <w:p>
      <w:pPr>
        <w:pStyle w:val="ListParagraph"/>
        <w:numPr>
          <w:ilvl w:val="0"/>
          <w:numId w:val="2"/>
        </w:numPr>
        <w:spacing w:after="60" w:line="300"/>
      </w:pPr>
      <w:r>
        <w:rPr>
          <w:rFonts w:ascii="游明朝" w:cs="游明朝" w:eastAsia="游明朝" w:hAnsi="游明朝"/>
          <w:sz w:val="21"/>
          <w:szCs w:val="21"/>
        </w:rPr>
        <w:t xml:space="preserve">入退院支援の充実を図ります</w:t>
      </w:r>
    </w:p>
    <w:p>
      <w:pPr>
        <w:pStyle w:val="ListParagraph"/>
        <w:numPr>
          <w:ilvl w:val="0"/>
          <w:numId w:val="2"/>
        </w:numPr>
        <w:spacing w:after="60" w:line="300"/>
      </w:pPr>
      <w:r>
        <w:rPr>
          <w:rFonts w:ascii="游明朝" w:cs="游明朝" w:eastAsia="游明朝" w:hAnsi="游明朝"/>
          <w:sz w:val="21"/>
          <w:szCs w:val="21"/>
        </w:rPr>
        <w:t xml:space="preserve">人生の最終段階における医療・ケアの意思決定支援（ACP・人生会議）の普及に取り組みます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4-4　認知症施策の推進　【継続・強化】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認知症初期集中支援チームの活動で40点、早期診断・早期対応の体制構築で20点を得ています。一方、認知症サポーターは約237人（人口比9.8%）が養成されているものの、ステップアップ講座の修了者は0人であり、サポーターが活動に結びついていません。また第9期の調査では、認知症の相談窓口を知っている方は31.2%と前回の36.7%から低下しており、とくに裏磐梯地区は20.6%と他地区より低い状況です。認知症高齢者の日常生活自立度Ⅱ以上の方は3年間で132人から161人へと22%増加し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認知症初期集中支援チームの活動を継続します</w:t>
      </w:r>
    </w:p>
    <w:p>
      <w:pPr>
        <w:pStyle w:val="ListParagraph"/>
        <w:numPr>
          <w:ilvl w:val="0"/>
          <w:numId w:val="2"/>
        </w:numPr>
        <w:spacing w:after="60" w:line="300"/>
      </w:pPr>
      <w:r>
        <w:rPr>
          <w:rFonts w:ascii="游明朝" w:cs="游明朝" w:eastAsia="游明朝" w:hAnsi="游明朝"/>
          <w:sz w:val="21"/>
          <w:szCs w:val="21"/>
        </w:rPr>
        <w:t xml:space="preserve">専門医療機関との連携による早期診断・早期対応の体制を維持します</w:t>
      </w:r>
    </w:p>
    <w:p>
      <w:pPr>
        <w:pStyle w:val="ListParagraph"/>
        <w:numPr>
          <w:ilvl w:val="0"/>
          <w:numId w:val="2"/>
        </w:numPr>
        <w:spacing w:after="60" w:line="300"/>
      </w:pPr>
      <w:r>
        <w:rPr>
          <w:rFonts w:ascii="游明朝" w:cs="游明朝" w:eastAsia="游明朝" w:hAnsi="游明朝"/>
          <w:sz w:val="21"/>
          <w:szCs w:val="21"/>
        </w:rPr>
        <w:t xml:space="preserve">認知症サポーターのステップアップ講座を実施します</w:t>
      </w:r>
    </w:p>
    <w:p>
      <w:pPr>
        <w:pStyle w:val="ListParagraph"/>
        <w:numPr>
          <w:ilvl w:val="0"/>
          <w:numId w:val="2"/>
        </w:numPr>
        <w:spacing w:after="60" w:line="300"/>
      </w:pPr>
      <w:r>
        <w:rPr>
          <w:rFonts w:ascii="游明朝" w:cs="游明朝" w:eastAsia="游明朝" w:hAnsi="游明朝"/>
          <w:sz w:val="21"/>
          <w:szCs w:val="21"/>
        </w:rPr>
        <w:t xml:space="preserve">認知症サポーターを活用した地域支援体制を構築し、社会参加を支援します</w:t>
      </w:r>
    </w:p>
    <w:p>
      <w:pPr>
        <w:pStyle w:val="ListParagraph"/>
        <w:numPr>
          <w:ilvl w:val="0"/>
          <w:numId w:val="2"/>
        </w:numPr>
        <w:spacing w:after="60" w:line="300"/>
      </w:pPr>
      <w:r>
        <w:rPr>
          <w:rFonts w:ascii="游明朝" w:cs="游明朝" w:eastAsia="游明朝" w:hAnsi="游明朝"/>
          <w:sz w:val="21"/>
          <w:szCs w:val="21"/>
        </w:rPr>
        <w:t xml:space="preserve">認知症の人とご家族への支援を充実します</w:t>
      </w:r>
    </w:p>
    <w:p>
      <w:pPr>
        <w:pStyle w:val="ListParagraph"/>
        <w:numPr>
          <w:ilvl w:val="0"/>
          <w:numId w:val="2"/>
        </w:numPr>
        <w:spacing w:after="60" w:line="300"/>
      </w:pPr>
      <w:r>
        <w:rPr>
          <w:rFonts w:ascii="游明朝" w:cs="游明朝" w:eastAsia="游明朝" w:hAnsi="游明朝"/>
          <w:sz w:val="21"/>
          <w:szCs w:val="21"/>
        </w:rPr>
        <w:t xml:space="preserve">相談窓口の周知を強化します。とくに周知率の低い地区に重点的に働きかけます</w:t>
      </w:r>
    </w:p>
    <w:p>
      <w:pPr>
        <w:pStyle w:val="ListParagraph"/>
        <w:numPr>
          <w:ilvl w:val="0"/>
          <w:numId w:val="2"/>
        </w:numPr>
        <w:spacing w:after="60" w:line="300"/>
      </w:pPr>
      <w:r>
        <w:rPr>
          <w:rFonts w:ascii="游明朝" w:cs="游明朝" w:eastAsia="游明朝" w:hAnsi="游明朝"/>
          <w:sz w:val="21"/>
          <w:szCs w:val="21"/>
        </w:rPr>
        <w:t xml:space="preserve">チームオレンジ・見守り体制の整備を検討します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4-5　生活支援体制の整備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生活支援コーディネーターが配置され、地域ケア会議への参加により20点を得ています。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生活支援コーディネーターの活動を継続します</w:t>
      </w:r>
    </w:p>
    <w:p>
      <w:pPr>
        <w:pStyle w:val="ListParagraph"/>
        <w:numPr>
          <w:ilvl w:val="0"/>
          <w:numId w:val="2"/>
        </w:numPr>
        <w:spacing w:after="60" w:line="300"/>
      </w:pPr>
      <w:r>
        <w:rPr>
          <w:rFonts w:ascii="游明朝" w:cs="游明朝" w:eastAsia="游明朝" w:hAnsi="游明朝"/>
          <w:sz w:val="21"/>
          <w:szCs w:val="21"/>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配置済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4-6　介護人材の確保と生産性向上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人材の確保・定着の取組は令和4年度に新たに得点しましたが、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定住自立圏（喜多方市・西会津町・北塩原村）の枠組みを活用した研修費用助成を継続します</w:t>
      </w:r>
    </w:p>
    <w:p>
      <w:pPr>
        <w:pStyle w:val="ListParagraph"/>
        <w:numPr>
          <w:ilvl w:val="0"/>
          <w:numId w:val="2"/>
        </w:numPr>
        <w:spacing w:after="60" w:line="300"/>
      </w:pPr>
      <w:r>
        <w:rPr>
          <w:rFonts w:ascii="游明朝" w:cs="游明朝" w:eastAsia="游明朝" w:hAnsi="游明朝"/>
          <w:sz w:val="21"/>
          <w:szCs w:val="21"/>
        </w:rPr>
        <w:t xml:space="preserve">介護サービス事業者・教育関係者等と連携した取組を進めます</w:t>
      </w:r>
    </w:p>
    <w:p>
      <w:pPr>
        <w:pStyle w:val="ListParagraph"/>
        <w:numPr>
          <w:ilvl w:val="0"/>
          <w:numId w:val="2"/>
        </w:numPr>
        <w:spacing w:after="60" w:line="300"/>
      </w:pPr>
      <w:r>
        <w:rPr>
          <w:rFonts w:ascii="游明朝" w:cs="游明朝" w:eastAsia="游明朝" w:hAnsi="游明朝"/>
          <w:sz w:val="21"/>
          <w:szCs w:val="21"/>
        </w:rPr>
        <w:t xml:space="preserve">多様な人材・介護助手等、元気な高齢者の活躍の場を検討します</w:t>
      </w:r>
    </w:p>
    <w:p>
      <w:pPr>
        <w:pStyle w:val="ListParagraph"/>
        <w:numPr>
          <w:ilvl w:val="0"/>
          <w:numId w:val="2"/>
        </w:numPr>
        <w:spacing w:after="60" w:line="300"/>
      </w:pPr>
      <w:r>
        <w:rPr>
          <w:rFonts w:ascii="游明朝" w:cs="游明朝" w:eastAsia="游明朝" w:hAnsi="游明朝"/>
          <w:sz w:val="21"/>
          <w:szCs w:val="21"/>
        </w:rPr>
        <w:t xml:space="preserve">文書負担軽減に係る取組を進めます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4-7　成年後見制度の利用促進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会津11自治体が連携する中核機関「会津権利擁護・成年後見センター」が令和4年度に設置されています。第9期の調査では、成年後見制度について「わからない」と回答した方が30.3%あり、判断能力が低下した場合に備えて家族と話し合ったことがある方は27.7%にとどまっ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権利擁護支援のネットワークづくりを進めます</w:t>
      </w:r>
    </w:p>
    <w:p>
      <w:pPr>
        <w:pStyle w:val="ListParagraph"/>
        <w:numPr>
          <w:ilvl w:val="0"/>
          <w:numId w:val="2"/>
        </w:numPr>
        <w:spacing w:after="60" w:line="300"/>
      </w:pPr>
      <w:r>
        <w:rPr>
          <w:rFonts w:ascii="游明朝" w:cs="游明朝" w:eastAsia="游明朝" w:hAnsi="游明朝"/>
          <w:sz w:val="21"/>
          <w:szCs w:val="21"/>
        </w:rPr>
        <w:t xml:space="preserve">制度の広報・周知と相談対応を行います</w:t>
      </w:r>
    </w:p>
    <w:p>
      <w:pPr>
        <w:pStyle w:val="ListParagraph"/>
        <w:numPr>
          <w:ilvl w:val="0"/>
          <w:numId w:val="2"/>
        </w:numPr>
        <w:spacing w:after="60" w:line="300"/>
      </w:pPr>
      <w:r>
        <w:rPr>
          <w:rFonts w:ascii="游明朝" w:cs="游明朝" w:eastAsia="游明朝" w:hAnsi="游明朝"/>
          <w:sz w:val="21"/>
          <w:szCs w:val="21"/>
        </w:rPr>
        <w:t xml:space="preserve">市民後見人の養成について検討します</w:t>
      </w:r>
    </w:p>
    <w:p>
      <w:pPr>
        <w:pStyle w:val="ListParagraph"/>
        <w:numPr>
          <w:ilvl w:val="0"/>
          <w:numId w:val="2"/>
        </w:numPr>
        <w:spacing w:after="60" w:line="300"/>
      </w:pPr>
      <w:r>
        <w:rPr>
          <w:rFonts w:ascii="游明朝" w:cs="游明朝" w:eastAsia="游明朝" w:hAnsi="游明朝"/>
          <w:sz w:val="21"/>
          <w:szCs w:val="21"/>
        </w:rPr>
        <w:t xml:space="preserve">利用支援事業を実施します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4-5　基本目標5　計画の推進と進捗管理【新設】</w:t>
      </w:r>
    </w:p>
    <w:p>
      <w:pPr>
        <w:spacing w:after="120" w:line="300"/>
      </w:pPr>
      <w:r>
        <w:rPr>
          <w:rFonts w:ascii="游明朝" w:cs="游明朝" w:eastAsia="游明朝" w:hAnsi="游明朝"/>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5429"/>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pPr>
      <w:r>
        <w:rPr>
          <w:rFonts w:ascii="游明朝" w:cs="游明朝" w:eastAsia="游明朝" w:hAnsi="游明朝"/>
          <w:sz w:val="21"/>
          <w:szCs w:val="21"/>
        </w:rPr>
        <w:t xml:space="preserve"/>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第5章　介護保険事業の見込みと保険料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　推計の考え方</w:t>
      </w:r>
    </w:p>
    <w:p>
      <w:pPr>
        <w:spacing w:after="120" w:line="300"/>
      </w:pPr>
      <w:r>
        <w:rPr>
          <w:rFonts w:ascii="游明朝" w:cs="游明朝" w:eastAsia="游明朝" w:hAnsi="游明朝"/>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spacing w:after="100" w:line="300"/>
      </w:pPr>
      <w:r>
        <w:rPr>
          <w:rFonts w:ascii="游ゴシック" w:cs="游ゴシック" w:eastAsia="游ゴシック" w:hAnsi="游ゴシック"/>
          <w:b/>
          <w:bCs/>
          <w:color w:val="2E75B6"/>
          <w:sz w:val="21"/>
          <w:szCs w:val="21"/>
        </w:rPr>
        <w:t xml:space="preserve">将来人口</w:t>
      </w:r>
    </w:p>
    <w:p>
      <w:pPr>
        <w:spacing w:after="120" w:line="300"/>
      </w:pPr>
      <w:r>
        <w:rPr>
          <w:rFonts w:ascii="游明朝" w:cs="游明朝" w:eastAsia="游明朝" w:hAnsi="游明朝"/>
          <w:sz w:val="21"/>
          <w:szCs w:val="21"/>
        </w:rPr>
        <w:t xml:space="preserve">国立社会保障・人口問題研究所「日本の地域別将来推計人口」を用います。5年刻みの推計値であるため、各年度の値は線形補間により算出します。</w:t>
      </w:r>
    </w:p>
    <w:p>
      <w:pPr>
        <w:spacing w:after="100" w:line="300"/>
      </w:pPr>
      <w:r>
        <w:rPr>
          <w:rFonts w:ascii="游ゴシック" w:cs="游ゴシック" w:eastAsia="游ゴシック" w:hAnsi="游ゴシック"/>
          <w:b/>
          <w:bCs/>
          <w:color w:val="2E75B6"/>
          <w:sz w:val="21"/>
          <w:szCs w:val="21"/>
        </w:rPr>
        <w:t xml:space="preserve">第1号被保険者数（★第9期からの変更点）</w:t>
      </w:r>
    </w:p>
    <w:p>
      <w:pPr>
        <w:spacing w:after="120" w:line="300"/>
      </w:pPr>
      <w:r>
        <w:rPr>
          <w:rFonts w:ascii="游明朝" w:cs="游明朝" w:eastAsia="游明朝" w:hAnsi="游明朝"/>
          <w:sz w:val="21"/>
          <w:szCs w:val="21"/>
        </w:rPr>
        <w:t xml:space="preserve">将来推計人口は国勢調査を基礎とするのに対し、介護保険の第1号被保険者数は住民基本台帳を基礎とします。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621"/>
        <w:gridCol w:w="2995"/>
        <w:gridCol w:w="1685"/>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9期計画は将来推計人口をそのまま用いたため、第1号被保険者数を実績より6.6%少なく見込む結果となりました。本計画では、直近実績と将来推計人口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808"/>
        <w:gridCol w:w="1872"/>
        <w:gridCol w:w="2059"/>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補正率</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1.1022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1.0716</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要支援・要介護認定者数</w:t>
      </w:r>
    </w:p>
    <w:p>
      <w:pPr>
        <w:spacing w:after="120" w:line="300"/>
      </w:pPr>
      <w:r>
        <w:rPr>
          <w:rFonts w:ascii="游明朝" w:cs="游明朝" w:eastAsia="游明朝" w:hAnsi="游明朝"/>
          <w:sz w:val="21"/>
          <w:szCs w:val="21"/>
        </w:rPr>
        <w:t xml:space="preserve">年齢階級別の認定率を用いて算定します。第9期計画では合計での検証のみであったため、要支援1が36%過少、要介護4が39%過大という乖離が生じても把握できませんでした。本計画では要介護度別に算定し、毎年度検証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編集注記：国の基本指針および介護保険事業計画作成支援ツール（推計ワークシート）の提供を受けたうえで、正式な推計を行います。以下5-2から5-7は、それらに基づき算定します。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5-2　第1号被保険者数の見込み</w:t>
      </w:r>
    </w:p>
    <w:p>
      <w:pPr>
        <w:spacing w:after="120" w:line="300"/>
      </w:pPr>
      <w:r>
        <w:rPr>
          <w:rFonts w:ascii="游明朝" w:cs="游明朝" w:eastAsia="游明朝" w:hAnsi="游明朝"/>
          <w:sz w:val="21"/>
          <w:szCs w:val="21"/>
        </w:rPr>
        <w:t xml:space="preserve">5-1の考え方により、第1号被保険者数を次のとおり見込みます。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2059"/>
        <w:gridCol w:w="2059"/>
        <w:gridCol w:w="2434"/>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令和7年度末（実績）</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令和9年度末</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令和10年度末</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429</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997</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令和11年度末</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5-3　要支援・要介護認定者数の見込み</w:t>
      </w:r>
    </w:p>
    <w:p>
      <w:pPr>
        <w:spacing w:after="120" w:line="300"/>
      </w:pPr>
      <w:r>
        <w:rPr>
          <w:rFonts w:ascii="游明朝" w:cs="游明朝" w:eastAsia="游明朝" w:hAnsi="游明朝"/>
          <w:sz w:val="21"/>
          <w:szCs w:val="21"/>
        </w:rPr>
        <w:t xml:space="preserve">参考として、年齢階級別認定率を令和7年度末の水準で固定した場合の試算を示します。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685"/>
        <w:gridCol w:w="1685"/>
        <w:gridCol w:w="1685"/>
        <w:gridCol w:w="1684"/>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認定者計</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令和7年度末（実績）</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令和9年度末</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令和10年度末</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22.7%</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令和11年度末</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　認定率を据え置いた場合でも、後期高齢者の割合が高まることにより、認定者数は214人から230人へと16人（7.5%）増加します。第1号被保険者数は1,015人から990人へと減少するにもかかわらず、認定者数は増加する見通し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記は参考試算です。本村の認定率は令和2年3月末から令和8年3月末までの6年間で年平均0.62ポイント上昇しており、この傾向が続く場合は認定者数はさらに増加します。正式な推計は要介護度別に、国の推計ワークシートを用いて行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5-4　介護サービス見込量</w:t>
      </w:r>
    </w:p>
    <w:p>
      <w:pPr>
        <w:spacing w:after="120" w:line="300"/>
      </w:pPr>
      <w:r>
        <w:rPr>
          <w:rFonts w:ascii="游明朝" w:cs="游明朝" w:eastAsia="游明朝" w:hAnsi="游明朝"/>
          <w:sz w:val="21"/>
          <w:szCs w:val="21"/>
        </w:rPr>
        <w:t xml:space="preserve">サービス種類ごとの見込量を、次の様式により算定します。実績は令和5年度から令和7年度までの3か年、見込みは計画期間の3か年を示します。</w:t>
      </w:r>
    </w:p>
    <w:p>
      <w:pPr>
        <w:spacing w:after="120" w:line="300"/>
      </w:pPr>
      <w:r>
        <w:rPr>
          <w:rFonts w:ascii="游明朝" w:cs="游明朝" w:eastAsia="游明朝" w:hAnsi="游明朝"/>
          <w:sz w:val="21"/>
          <w:szCs w:val="21"/>
        </w:rPr>
        <w:t xml:space="preserve">見込量は「受給者数」と「受給者1人あたり利用日数・回数」の積として算定します。本村は村内に提供事業所が2種類しかなく、多くを村外の事業所で利用しているため、村内の供給力ではなく、実際の利用実績を基礎とします。</w:t>
      </w:r>
    </w:p>
    <w:p>
      <w:pPr>
        <w:spacing w:after="100" w:line="300"/>
      </w:pPr>
      <w:r>
        <w:rPr>
          <w:rFonts w:ascii="游ゴシック" w:cs="游ゴシック" w:eastAsia="游ゴシック" w:hAnsi="游ゴシック"/>
          <w:b/>
          <w:bCs/>
          <w:color w:val="2E75B6"/>
          <w:sz w:val="21"/>
          <w:szCs w:val="21"/>
        </w:rPr>
        <w:t xml:space="preserve">算定の対象とするサービス</w:t>
      </w:r>
    </w:p>
    <w:p>
      <w:pPr>
        <w:spacing w:after="120" w:line="300"/>
      </w:pPr>
      <w:r>
        <w:rPr>
          <w:rFonts w:ascii="游明朝" w:cs="游明朝" w:eastAsia="游明朝" w:hAnsi="游明朝"/>
          <w:sz w:val="21"/>
          <w:szCs w:val="21"/>
        </w:rPr>
        <w:t xml:space="preserve">本村の第1号被保険者が令和7年度に利用しているサービスは18種類です。残る9種類は利用実績がないか、過去のみの利用となっています。見込量の算定は、全27種類について行い、実績のないサービスは「―」とし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5429"/>
        <w:gridCol w:w="2808"/>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令和7年度の利用</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訪問介護／訪問入浴介護／訪問看護／訪問リハビリテーション／居宅療養管理指導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あり（5種類）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あり（2種類）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短期入所生活介護／短期入所療養介護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あり（2種類）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なし（過去のみ）</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なし（令和5年度末に廃止）</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(1) 居宅サービス（介護給付）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936"/>
        <w:gridCol w:w="936"/>
        <w:gridCol w:w="936"/>
        <w:gridCol w:w="1030"/>
        <w:gridCol w:w="1030"/>
        <w:gridCol w:w="935"/>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(2) 地域密着型サービス（介護給付）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030"/>
        <w:gridCol w:w="842"/>
        <w:gridCol w:w="842"/>
        <w:gridCol w:w="842"/>
        <w:gridCol w:w="936"/>
        <w:gridCol w:w="936"/>
        <w:gridCol w:w="937"/>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(3) 施設サービス（介護給付）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936"/>
        <w:gridCol w:w="936"/>
        <w:gridCol w:w="936"/>
        <w:gridCol w:w="1030"/>
        <w:gridCol w:w="1030"/>
        <w:gridCol w:w="935"/>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(4) 介護予防サービス（予防給付）</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介護予防サービスについても(1)〜(3)と同様の様式により、要支援1・2を対象として算定します。本村は要支援1の認定者が6年間で3倍に増えているため、予防給付の見込量の設定がとくに重要になります。</w:t>
      </w:r>
    </w:p>
    <w:p>
      <w:pPr>
        <w:spacing w:after="100" w:line="300"/>
      </w:pPr>
      <w:r>
        <w:rPr>
          <w:rFonts w:ascii="游ゴシック" w:cs="游ゴシック" w:eastAsia="游ゴシック" w:hAnsi="游ゴシック"/>
          <w:b/>
          <w:bCs/>
          <w:color w:val="2E75B6"/>
          <w:sz w:val="21"/>
          <w:szCs w:val="21"/>
        </w:rPr>
        <w:t xml:space="preserve">(5)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936"/>
        <w:gridCol w:w="936"/>
        <w:gridCol w:w="936"/>
        <w:gridCol w:w="1030"/>
        <w:gridCol w:w="1030"/>
        <w:gridCol w:w="935"/>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参考　受給者1人あたり利用日数・回数の実績</w:t>
      </w:r>
    </w:p>
    <w:p>
      <w:pPr>
        <w:spacing w:after="120" w:line="300"/>
      </w:pPr>
      <w:r>
        <w:rPr>
          <w:rFonts w:ascii="游明朝" w:cs="游明朝" w:eastAsia="游明朝" w:hAnsi="游明朝"/>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310"/>
        <w:gridCol w:w="1778"/>
        <w:gridCol w:w="1778"/>
        <w:gridCol w:w="1686"/>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整合する動き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受給者数の実績はサービス種類ごとに把握できていないため、村から介護保険事業状況報告の月報・年報の提供を受けたうえで補います。見込量の数値は、国の推計ワークシートの提供後に算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5-5　地域支援事業費の見込み</w:t>
      </w:r>
    </w:p>
    <w:p>
      <w:pPr>
        <w:spacing w:after="120" w:line="300"/>
      </w:pPr>
      <w:r>
        <w:rPr>
          <w:rFonts w:ascii="游明朝" w:cs="游明朝" w:eastAsia="游明朝" w:hAnsi="游明朝"/>
          <w:sz w:val="21"/>
          <w:szCs w:val="21"/>
        </w:rPr>
        <w:t xml:space="preserve">地域支援事業費を、次の区分により見込みます。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404"/>
        <w:gridCol w:w="1404"/>
        <w:gridCol w:w="1404"/>
        <w:gridCol w:w="1404"/>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R5決算</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うち一般介護予防事業</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うち認知症総合支援事業</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任意事業</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総合事業のうち、訪問型サービスA〜D・通所型サービスA〜C・見守り・配食は実績がありません（2-6）。施策1-2でこれらの創設を検討することとしているため、実施する場合は見込量に反映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5-6　標準給付費の見込み</w:t>
      </w:r>
    </w:p>
    <w:p>
      <w:pPr>
        <w:spacing w:after="120" w:line="300"/>
      </w:pPr>
      <w:r>
        <w:rPr>
          <w:rFonts w:ascii="游明朝" w:cs="游明朝" w:eastAsia="游明朝" w:hAnsi="游明朝"/>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1310"/>
        <w:gridCol w:w="1310"/>
        <w:gridCol w:w="1310"/>
        <w:gridCol w:w="1312"/>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　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w:t>
      </w:r>
    </w:p>
    <w:p>
      <w:pPr>
        <w:spacing w:after="100" w:line="300"/>
      </w:pPr>
      <w:r>
        <w:rPr>
          <w:rFonts w:ascii="游ゴシック" w:cs="游ゴシック" w:eastAsia="游ゴシック" w:hAnsi="游ゴシック"/>
          <w:b/>
          <w:bCs/>
          <w:color w:val="2E75B6"/>
          <w:sz w:val="21"/>
          <w:szCs w:val="21"/>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2621"/>
        <w:gridCol w:w="2621"/>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実績・見込</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266,191千円</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271,863千円</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280,366千円</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編集注記：令和6年度決算および令和7年度の給付費見込の提供を受けたうえで、第9期の乖離を確定させ、本計画の推計の基礎とします。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5-7　第1号被保険者の保険料</w:t>
      </w:r>
    </w:p>
    <w:p>
      <w:pPr>
        <w:spacing w:after="100" w:line="300"/>
      </w:pPr>
      <w:r>
        <w:rPr>
          <w:rFonts w:ascii="游ゴシック" w:cs="游ゴシック" w:eastAsia="游ゴシック" w:hAnsi="游ゴシック"/>
          <w:b/>
          <w:bCs/>
          <w:color w:val="2E75B6"/>
          <w:sz w:val="21"/>
          <w:szCs w:val="21"/>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本村の保険料は第8期に県平均を上回り、第9期ではその差が360円に拡大しています。一方、第1号被保険者1人1月あたりの費用額は県内59保険者中44番目と低い水準にあります。</w:t>
      </w:r>
    </w:p>
    <w:p>
      <w:pPr>
        <w:spacing w:after="120" w:line="300"/>
      </w:pPr>
      <w:r>
        <w:rPr>
          <w:rFonts w:ascii="游明朝" w:cs="游明朝" w:eastAsia="游明朝" w:hAnsi="游明朝"/>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pPr>
      <w:r>
        <w:rPr>
          <w:rFonts w:ascii="游明朝" w:cs="游明朝" w:eastAsia="游明朝" w:hAnsi="游明朝"/>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spacing w:after="100" w:line="300"/>
      </w:pPr>
      <w:r>
        <w:rPr>
          <w:rFonts w:ascii="游ゴシック" w:cs="游ゴシック" w:eastAsia="游ゴシック" w:hAnsi="游ゴシック"/>
          <w:b/>
          <w:bCs/>
          <w:color w:val="2E75B6"/>
          <w:sz w:val="21"/>
          <w:szCs w:val="21"/>
        </w:rPr>
        <w:t xml:space="preserve">介護給付費準備基金</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編集注記：令和6年度末実績および令和7年度末見込の提供を受けたうえで、計画的な取崩方針とあわせて記載します。</w:t>
      </w:r>
    </w:p>
    <w:p>
      <w:pPr>
        <w:spacing w:after="100" w:line="300"/>
      </w:pPr>
      <w:r>
        <w:rPr>
          <w:rFonts w:ascii="游ゴシック" w:cs="游ゴシック" w:eastAsia="游ゴシック" w:hAnsi="游ゴシック"/>
          <w:b/>
          <w:bCs/>
          <w:color w:val="2E75B6"/>
          <w:sz w:val="21"/>
          <w:szCs w:val="21"/>
        </w:rPr>
        <w:t xml:space="preserve">保険料基準額の算定</w:t>
      </w:r>
    </w:p>
    <w:p>
      <w:pPr>
        <w:spacing w:after="120" w:line="300"/>
      </w:pPr>
      <w:r>
        <w:rPr>
          <w:rFonts w:ascii="游明朝" w:cs="游明朝" w:eastAsia="游明朝" w:hAnsi="游明朝"/>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2527"/>
        <w:gridCol w:w="2527"/>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spacing w:after="100" w:line="300"/>
      </w:pPr>
      <w:r>
        <w:rPr>
          <w:rFonts w:ascii="游ゴシック" w:cs="游ゴシック" w:eastAsia="游ゴシック" w:hAnsi="游ゴシック"/>
          <w:b/>
          <w:bCs/>
          <w:color w:val="2E75B6"/>
          <w:sz w:val="21"/>
          <w:szCs w:val="21"/>
        </w:rPr>
        <w:t xml:space="preserve">所得段階の設定</w:t>
      </w:r>
    </w:p>
    <w:p>
      <w:pPr>
        <w:spacing w:after="120" w:line="300"/>
      </w:pPr>
      <w:r>
        <w:rPr>
          <w:rFonts w:ascii="游明朝" w:cs="游明朝" w:eastAsia="游明朝" w:hAnsi="游明朝"/>
          <w:sz w:val="21"/>
          <w:szCs w:val="21"/>
        </w:rPr>
        <w:t xml:space="preserve">所得段階は、国の基準に基づき標準13段階を設定します。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4118"/>
        <w:gridCol w:w="1217"/>
        <w:gridCol w:w="1310"/>
        <w:gridCol w:w="1217"/>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保険料率</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保険料月額</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生活保護受給者・世帯全員が市町村民税非課税</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第4〜5段階</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本人が市町村民税非課税（世帯に課税者あり）</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第6〜13段階</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本人が市町村民税課税（所得金額に応じて区分）</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編集注記：各段階の保険料率・保険料月額・対象者数は、保険料基準額の算定後に記載します。第9期から標準9段階が13段階に多段階化されており、本計画でも13段階を基本とします。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5-8　低所得者への対応</w:t>
      </w:r>
    </w:p>
    <w:p>
      <w:pPr>
        <w:spacing w:after="120" w:line="300"/>
      </w:pPr>
      <w:r>
        <w:rPr>
          <w:rFonts w:ascii="游明朝" w:cs="游明朝" w:eastAsia="游明朝" w:hAnsi="游明朝"/>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5-9　令和22年度（2040年度）を見据えた見通し</w:t>
      </w:r>
    </w:p>
    <w:p>
      <w:pPr>
        <w:spacing w:after="120" w:line="300"/>
      </w:pPr>
      <w:r>
        <w:rPr>
          <w:rFonts w:ascii="游明朝" w:cs="游明朝" w:eastAsia="游明朝" w:hAnsi="游明朝"/>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498"/>
        <w:gridCol w:w="1591"/>
        <w:gridCol w:w="1591"/>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1,654人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765人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519人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6-1　推進体制</w:t>
      </w:r>
    </w:p>
    <w:p>
      <w:pPr>
        <w:spacing w:after="120" w:line="300"/>
      </w:pPr>
      <w:r>
        <w:rPr>
          <w:rFonts w:ascii="游明朝" w:cs="游明朝" w:eastAsia="游明朝" w:hAnsi="游明朝"/>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役割</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6-2　進捗管理の仕組み</w:t>
      </w:r>
    </w:p>
    <w:p>
      <w:pPr>
        <w:spacing w:after="120" w:line="300"/>
      </w:pPr>
      <w:r>
        <w:rPr>
          <w:rFonts w:ascii="游明朝" w:cs="游明朝" w:eastAsia="游明朝" w:hAnsi="游明朝"/>
          <w:sz w:val="21"/>
          <w:szCs w:val="21"/>
        </w:rPr>
        <w:t xml:space="preserve">本計画は、Plan（計画）－Do（実行）－Check（評価）－Act（改善）のサイクルにより推進します。第9期計画の検証において、評価と改善の仕組みが十分でなかったことが確認されたため、本計画では次のとおり具体的な方法を定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5803"/>
        <w:gridCol w:w="2247"/>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計画策定時</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各年度終了後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翌年度当初</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6-3　成果目標及び活動指標</w:t>
      </w:r>
    </w:p>
    <w:p>
      <w:pPr>
        <w:spacing w:after="120" w:line="300"/>
      </w:pPr>
      <w:r>
        <w:rPr>
          <w:rFonts w:ascii="游明朝" w:cs="游明朝" w:eastAsia="游明朝" w:hAnsi="游明朝"/>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4118"/>
        <w:gridCol w:w="2059"/>
        <w:gridCol w:w="1873"/>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現状値（令和5年度）</w:t>
            </w:r>
          </w:p>
        </w:tc>
        <w:tc>
          <w:tcPr>
            <w:tcW w:type="dxa" w:w="187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週1回以上の通いの場への参加率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【調査により確定】</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取組・体制</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編集注記：目標値は、福島県平均・全国平均の提供を受けたうえで設定します。水準の妥当性を示すための比較対象が必要なためです。また第4章の各施策に掲げた指標もあわせて管理します。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6-4　計画値と実績値の乖離の検証</w:t>
      </w:r>
    </w:p>
    <w:p>
      <w:pPr>
        <w:spacing w:after="120" w:line="300"/>
      </w:pPr>
      <w:r>
        <w:rPr>
          <w:rFonts w:ascii="游明朝" w:cs="游明朝" w:eastAsia="游明朝" w:hAnsi="游明朝"/>
          <w:sz w:val="21"/>
          <w:szCs w:val="21"/>
        </w:rPr>
        <w:t xml:space="preserve">毎年度、次の4項目について計画値と実績値を比較し、乖離が生じた場合はその要因を分析します。分析結果は策定委員会に報告します。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182"/>
        <w:gridCol w:w="2621"/>
        <w:gridCol w:w="2995"/>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推計の補正率が適切であったか</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要介護度ごとの推計精度。とくに要支援1</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サービス種類別の乖離</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6-5　計画の見直し</w:t>
      </w:r>
    </w:p>
    <w:p>
      <w:pPr>
        <w:spacing w:after="120" w:line="300"/>
      </w:pPr>
      <w:r>
        <w:rPr>
          <w:rFonts w:ascii="游明朝" w:cs="游明朝" w:eastAsia="游明朝" w:hAnsi="游明朝"/>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1c3c48967509463a29e6daa30a6d92f409a15ad.png"/><Relationship Id="rId10" Type="http://schemas.openxmlformats.org/officeDocument/2006/relationships/image" Target="media/13e303415dd1c9bc2b332016888059a75bb3f059.png"/><Relationship Id="rId11" Type="http://schemas.openxmlformats.org/officeDocument/2006/relationships/image" Target="media/45efd3747b14115aaf7908a6f809403c8ca7c427.png"/><Relationship Id="rId12" Type="http://schemas.openxmlformats.org/officeDocument/2006/relationships/image" Target="media/cb895670f0fa71ba5bd523bbc304700bf2d2ab3a.png"/><Relationship Id="rId13" Type="http://schemas.openxmlformats.org/officeDocument/2006/relationships/image" Target="media/788dd9f6bd18731b957957aaacc54965fc1345ce.png"/><Relationship Id="rId14" Type="http://schemas.openxmlformats.org/officeDocument/2006/relationships/image" Target="media/30015de9a9a2c69a85a12346d16f5fe8a9616bc9.png"/><Relationship Id="rId15" Type="http://schemas.openxmlformats.org/officeDocument/2006/relationships/image" Target="media/c905f26a00489c403b023eec2d7d29dab0feb22e.png"/><Relationship Id="rId16" Type="http://schemas.openxmlformats.org/officeDocument/2006/relationships/image" Target="media/a77625c957044497e4972c04b97a5031c95839ff.png"/><Relationship Id="rId17" Type="http://schemas.openxmlformats.org/officeDocument/2006/relationships/image" Target="media/47456ab8e1587b2158f804ae4a5dd89c97ec8ac0.png"/><Relationship Id="rId18" Type="http://schemas.openxmlformats.org/officeDocument/2006/relationships/image" Target="media/afdc490630de558207300f1fde30cf30fd63c14e.png"/><Relationship Id="rId19" Type="http://schemas.openxmlformats.org/officeDocument/2006/relationships/image" Target="media/6f742d990909ee065d846636e342db4fa6e5c0fe.png"/><Relationship Id="rId20" Type="http://schemas.openxmlformats.org/officeDocument/2006/relationships/image" Target="media/6831171d52e1aa4fb7ab7ff7b6a6fe47d9d1a4ce.png"/><Relationship Id="rId21" Type="http://schemas.openxmlformats.org/officeDocument/2006/relationships/image" Target="media/17b8800ae8e43331cb35c24e12c2e0ac9379cd45.png"/><Relationship Id="rId22" Type="http://schemas.openxmlformats.org/officeDocument/2006/relationships/image" Target="media/f9127a001d161409d136306dc37f569834c9c4e2.png"/><Relationship Id="rId23" Type="http://schemas.openxmlformats.org/officeDocument/2006/relationships/image" Target="media/ad1ce5e2009e1c21d16182b395c0c1077f365d4c.png"/><Relationship Id="rId24" Type="http://schemas.openxmlformats.org/officeDocument/2006/relationships/image" Target="media/c2ea5ed8f543721031ca0ed4f864e6cb46859e88.png"/><Relationship Id="rId25" Type="http://schemas.openxmlformats.org/officeDocument/2006/relationships/image" Target="media/8c679676851485b3ad3624d7f340f2549c062cfc.png"/><Relationship Id="rId26" Type="http://schemas.openxmlformats.org/officeDocument/2006/relationships/image" Target="media/b78d0fb9a323b2804bed42ead9ec57e80b006e69.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2026-09-01T01:51:51.214Z</dcterms:created>
  <dcterms:modified xsi:type="dcterms:W3CDTF">2026-09-01T01:51:51.228Z</dcterms:modified>
</cp:coreProperties>
</file>

<file path=docProps/custom.xml><?xml version="1.0" encoding="utf-8"?>
<Properties xmlns="http://schemas.openxmlformats.org/officeDocument/2006/custom-properties" xmlns:vt="http://schemas.openxmlformats.org/officeDocument/2006/docPropsVTypes"/>
</file>