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おのまち障がい者計画・第8期障がい福祉計画</w:t>
      </w:r>
    </w:p>
    <w:p>
      <w:pPr>
        <w:spacing w:after="120"/>
        <w:jc w:val="center"/>
      </w:pPr>
      <w:r>
        <w:rPr>
          <w:rFonts w:ascii="游ゴシック" w:hAnsi="游ゴシック" w:eastAsia="游ゴシック"/>
          <w:b w:val="0"/>
          <w:i w:val="0"/>
          <w:sz w:val="26"/>
        </w:rPr>
        <w:t>第271回介護給付費分科会・第160回障害者部会の論点の整理</w:t>
      </w:r>
    </w:p>
    <w:p>
      <w:pPr>
        <w:spacing w:after="120"/>
        <w:jc w:val="center"/>
      </w:pPr>
      <w:r>
        <w:rPr>
          <w:rFonts w:ascii="游ゴシック" w:hAnsi="游ゴシック" w:eastAsia="游ゴシック"/>
          <w:b w:val="0"/>
          <w:i w:val="0"/>
          <w:sz w:val="26"/>
        </w:rPr>
        <w:t>令和8年10月20日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受領資料の確認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小野町への当てはめ：特定地域と過疎区分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論点の整理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6　町に確かめること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7　原典</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令和8年10月19日の第271回介護給付費分科会と、10月20日の第160回障害者部会について、受領した論点整理（以下「受領資料」）を確かめ、小野町の両計画に当てて論点を整理したものです。</w:t>
      </w:r>
    </w:p>
    <w:p>
      <w:pPr>
        <w:spacing w:before="60" w:after="60"/>
      </w:pPr>
      <w:r>
        <w:rPr>
          <w:rFonts w:ascii="游ゴシック" w:hAnsi="游ゴシック" w:eastAsia="游ゴシック"/>
          <w:b/>
          <w:i w:val="0"/>
          <w:sz w:val="21"/>
        </w:rPr>
        <w:t>受領資料の記載は、国の原典に当てて確かめました。</w:t>
      </w:r>
      <w:r>
        <w:rPr>
          <w:rFonts w:ascii="游ゴシック" w:hAnsi="游ゴシック" w:eastAsia="游ゴシック"/>
          <w:b w:val="0"/>
          <w:i w:val="0"/>
          <w:sz w:val="21"/>
        </w:rPr>
        <w:t xml:space="preserve"> 原典は当方で厚生労働省・総務省の公表資料を取得し、論点ごとに指定の頁に該当の文言があることを生成のたびに照合しています。</w:t>
      </w:r>
      <w:r>
        <w:rPr>
          <w:rFonts w:ascii="游ゴシック" w:hAnsi="游ゴシック" w:eastAsia="游ゴシック"/>
          <w:b/>
          <w:i w:val="0"/>
          <w:sz w:val="21"/>
        </w:rPr>
        <w:t>素案の現状は、両計画の素案の本文と表で語の出現を数えたものです。</w:t>
      </w:r>
    </w:p>
    <w:p>
      <w:pPr>
        <w:keepNext/>
        <w:spacing w:before="200" w:after="40"/>
      </w:pPr>
      <w:r>
        <w:rPr>
          <w:rFonts w:ascii="游ゴシック" w:hAnsi="游ゴシック" w:eastAsia="游ゴシック"/>
          <w:b/>
          <w:i w:val="0"/>
          <w:color w:val="1F4D78"/>
          <w:sz w:val="22"/>
        </w:rPr>
        <w:t>【表1】区分の扱い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本書での扱い</w:t>
            </w:r>
          </w:p>
        </w:tc>
      </w:tr>
      <w:tr>
        <w:tc>
          <w:tcPr>
            <w:tcW w:type="dxa" w:w="1701"/>
            <w:vAlign w:val="center"/>
          </w:tcPr>
          <w:p>
            <w:pPr>
              <w:spacing w:before="20" w:after="20"/>
            </w:pPr>
            <w:r>
              <w:rPr>
                <w:rFonts w:ascii="游ゴシック" w:hAnsi="游ゴシック" w:eastAsia="游ゴシック"/>
                <w:b w:val="0"/>
                <w:i w:val="0"/>
                <w:sz w:val="17"/>
              </w:rPr>
              <w:t>審議中</w:t>
            </w:r>
          </w:p>
        </w:tc>
        <w:tc>
          <w:tcPr>
            <w:tcW w:type="dxa" w:w="8050"/>
            <w:vAlign w:val="center"/>
          </w:tcPr>
          <w:p>
            <w:pPr>
              <w:spacing w:before="20" w:after="20"/>
            </w:pPr>
            <w:r>
              <w:rPr>
                <w:rFonts w:ascii="游ゴシック" w:hAnsi="游ゴシック" w:eastAsia="游ゴシック"/>
                <w:b w:val="0"/>
                <w:i w:val="0"/>
                <w:sz w:val="17"/>
              </w:rPr>
              <w:t>審議会の「対応案」「検討の方向性」。</w:t>
            </w:r>
            <w:r>
              <w:rPr>
                <w:rFonts w:ascii="游ゴシック" w:hAnsi="游ゴシック" w:eastAsia="游ゴシック"/>
                <w:b/>
                <w:i w:val="0"/>
                <w:sz w:val="17"/>
              </w:rPr>
              <w:t>報酬の告示・省令が出るまで、素案には確定事項として書かない</w:t>
            </w:r>
          </w:p>
        </w:tc>
      </w:tr>
      <w:tr>
        <w:tc>
          <w:tcPr>
            <w:tcW w:type="dxa" w:w="1701"/>
            <w:vAlign w:val="center"/>
          </w:tcPr>
          <w:p>
            <w:pPr>
              <w:keepNext/>
              <w:spacing w:before="20" w:after="20"/>
            </w:pPr>
            <w:r>
              <w:rPr>
                <w:rFonts w:ascii="游ゴシック" w:hAnsi="游ゴシック" w:eastAsia="游ゴシック"/>
                <w:b w:val="0"/>
                <w:i w:val="0"/>
                <w:sz w:val="17"/>
              </w:rPr>
              <w:t>予定済み・法定</w:t>
            </w:r>
          </w:p>
        </w:tc>
        <w:tc>
          <w:tcPr>
            <w:tcW w:type="dxa" w:w="8050"/>
            <w:vAlign w:val="center"/>
          </w:tcPr>
          <w:p>
            <w:pPr>
              <w:keepNext/>
              <w:spacing w:before="20" w:after="20"/>
            </w:pPr>
            <w:r>
              <w:rPr>
                <w:rFonts w:ascii="游ゴシック" w:hAnsi="游ゴシック" w:eastAsia="游ゴシック"/>
                <w:b w:val="0"/>
                <w:i w:val="0"/>
                <w:sz w:val="17"/>
              </w:rPr>
              <w:t>法律・告示で決まっているもの、又は国が予定として示し済みのもの。素案に書く（施行前は「予定」と書く）</w:t>
            </w:r>
          </w:p>
        </w:tc>
      </w:tr>
      <w:tr>
        <w:tc>
          <w:tcPr>
            <w:tcW w:type="dxa" w:w="1701"/>
            <w:vAlign w:val="center"/>
          </w:tcPr>
          <w:p>
            <w:pPr>
              <w:spacing w:before="20" w:after="20"/>
            </w:pPr>
            <w:r>
              <w:rPr>
                <w:rFonts w:ascii="游ゴシック" w:hAnsi="游ゴシック" w:eastAsia="游ゴシック"/>
                <w:b w:val="0"/>
                <w:i w:val="0"/>
                <w:sz w:val="17"/>
              </w:rPr>
              <w:t>案</w:t>
            </w:r>
          </w:p>
        </w:tc>
        <w:tc>
          <w:tcPr>
            <w:tcW w:type="dxa" w:w="8050"/>
            <w:vAlign w:val="center"/>
          </w:tcPr>
          <w:p>
            <w:pPr>
              <w:spacing w:before="20" w:after="20"/>
            </w:pPr>
            <w:r>
              <w:rPr>
                <w:rFonts w:ascii="游ゴシック" w:hAnsi="游ゴシック" w:eastAsia="游ゴシック"/>
                <w:b w:val="0"/>
                <w:i w:val="0"/>
                <w:sz w:val="17"/>
              </w:rPr>
              <w:t>基準などが案の段階のもの。素案に書く場合は案であることを明記する</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2　結論</w:t>
      </w:r>
      <w:bookmarkEnd w:id="102"/>
    </w:p>
    <w:p>
      <w:pPr>
        <w:spacing w:before="60" w:after="60"/>
      </w:pPr>
      <w:r>
        <w:rPr>
          <w:rFonts w:ascii="游ゴシック" w:hAnsi="游ゴシック" w:eastAsia="游ゴシック"/>
          <w:b/>
          <w:i w:val="0"/>
          <w:sz w:val="21"/>
        </w:rPr>
        <w:t>素案に手を入れるべきものは、優先「高」の3件で、いずれも障がい計画です（第2版で反映済み）。</w:t>
      </w:r>
    </w:p>
    <w:p>
      <w:pPr>
        <w:spacing w:before="40" w:after="40"/>
        <w:ind w:left="227"/>
      </w:pPr>
      <w:r>
        <w:rPr>
          <w:rFonts w:ascii="游ゴシック" w:hAnsi="游ゴシック" w:eastAsia="游ゴシック"/>
          <w:b w:val="0"/>
          <w:i w:val="0"/>
          <w:sz w:val="21"/>
        </w:rPr>
        <w:t xml:space="preserve">・S1　</w:t>
      </w:r>
      <w:r>
        <w:rPr>
          <w:rFonts w:ascii="游ゴシック" w:hAnsi="游ゴシック" w:eastAsia="游ゴシック"/>
          <w:b/>
          <w:i w:val="0"/>
          <w:sz w:val="21"/>
        </w:rPr>
        <w:t>障がい福祉の特定地域（中山間・人口減少地域）と特定地域障害福祉サービス</w:t>
      </w:r>
    </w:p>
    <w:p>
      <w:pPr>
        <w:spacing w:before="40" w:after="40"/>
        <w:ind w:left="227"/>
      </w:pPr>
      <w:r>
        <w:rPr>
          <w:rFonts w:ascii="游ゴシック" w:hAnsi="游ゴシック" w:eastAsia="游ゴシック"/>
          <w:b w:val="0"/>
          <w:i w:val="0"/>
          <w:sz w:val="21"/>
        </w:rPr>
        <w:t xml:space="preserve">・S2　</w:t>
      </w:r>
      <w:r>
        <w:rPr>
          <w:rFonts w:ascii="游ゴシック" w:hAnsi="游ゴシック" w:eastAsia="游ゴシック"/>
          <w:b/>
          <w:i w:val="0"/>
          <w:sz w:val="21"/>
        </w:rPr>
        <w:t>別表第五（地域差の是正）の適用の判定</w:t>
      </w:r>
    </w:p>
    <w:p>
      <w:pPr>
        <w:spacing w:before="40" w:after="40"/>
        <w:ind w:left="227"/>
      </w:pPr>
      <w:r>
        <w:rPr>
          <w:rFonts w:ascii="游ゴシック" w:hAnsi="游ゴシック" w:eastAsia="游ゴシック"/>
          <w:b w:val="0"/>
          <w:i w:val="0"/>
          <w:sz w:val="21"/>
        </w:rPr>
        <w:t xml:space="preserve">・S3　</w:t>
      </w:r>
      <w:r>
        <w:rPr>
          <w:rFonts w:ascii="游ゴシック" w:hAnsi="游ゴシック" w:eastAsia="游ゴシック"/>
          <w:b/>
          <w:i w:val="0"/>
          <w:sz w:val="21"/>
        </w:rPr>
        <w:t>就労選択支援の対象の拡大</w:t>
      </w:r>
      <w:r>
        <w:rPr>
          <w:rFonts w:ascii="游ゴシック" w:hAnsi="游ゴシック" w:eastAsia="游ゴシック"/>
          <w:b w:val="0"/>
          <w:i w:val="0"/>
          <w:sz w:val="21"/>
        </w:rPr>
        <w:t>（令和9年4月から、就労継続支援Ａ型の新規利用者と、就労移行支援の標準利用期間を超える方）</w:t>
      </w:r>
    </w:p>
    <w:p>
      <w:pPr>
        <w:spacing w:before="60" w:after="60"/>
      </w:pPr>
      <w:r>
        <w:rPr>
          <w:rFonts w:ascii="游ゴシック" w:hAnsi="游ゴシック" w:eastAsia="游ゴシック"/>
          <w:b/>
          <w:i w:val="0"/>
          <w:sz w:val="21"/>
        </w:rPr>
        <w:t>介護の側は、報酬の対応案を素案に先取りしていないことを確かめました。</w:t>
      </w:r>
      <w:r>
        <w:rPr>
          <w:rFonts w:ascii="游ゴシック" w:hAnsi="游ゴシック" w:eastAsia="游ゴシック"/>
          <w:b w:val="0"/>
          <w:i w:val="0"/>
          <w:sz w:val="21"/>
        </w:rPr>
        <w:t xml:space="preserve"> 給付費の推計も、受領資料が勧める順序（自然体→供給制約の補正→報酬確定後の再計算）ですでに組み立てています。書き足すのは、医療保険の訪問看護の扱い（K2）の1文だけです。</w:t>
      </w:r>
    </w:p>
    <w:p>
      <w:pPr>
        <w:spacing w:before="60" w:after="60"/>
      </w:pPr>
      <w:r>
        <w:rPr>
          <w:rFonts w:ascii="游ゴシック" w:hAnsi="游ゴシック" w:eastAsia="游ゴシック"/>
          <w:b/>
          <w:i w:val="0"/>
          <w:sz w:val="21"/>
        </w:rPr>
        <w:t>受領資料の数値は原典と一致しました。</w:t>
      </w:r>
      <w:r>
        <w:rPr>
          <w:rFonts w:ascii="游ゴシック" w:hAnsi="游ゴシック" w:eastAsia="游ゴシック"/>
          <w:b w:val="0"/>
          <w:i w:val="0"/>
          <w:sz w:val="21"/>
        </w:rPr>
        <w:t xml:space="preserve"> 未取得とされていた資料2（特定地域）は当方で取得して補いました。一次資料一覧の1件はリンク先の資料名が違います（A7）。</w:t>
      </w:r>
    </w:p>
    <w:p>
      <w:pPr>
        <w:pStyle w:val="Heading1"/>
        <w:keepNext/>
        <w:spacing w:before="240" w:after="100"/>
      </w:pPr>
      <w:bookmarkStart w:id="103" w:name="_Toc_003"/>
      <w:r>
        <w:rPr>
          <w:rFonts w:ascii="游ゴシック" w:hAnsi="游ゴシック" w:eastAsia="游ゴシック"/>
          <w:b/>
          <w:i w:val="0"/>
          <w:color w:val="2E74B5"/>
          <w:sz w:val="30"/>
        </w:rPr>
        <w:t>3　受領資料の確認</w:t>
      </w:r>
      <w:bookmarkEnd w:id="103"/>
    </w:p>
    <w:p>
      <w:pPr>
        <w:keepNext/>
        <w:spacing w:before="200" w:after="40"/>
      </w:pPr>
      <w:r>
        <w:rPr>
          <w:rFonts w:ascii="游ゴシック" w:hAnsi="游ゴシック" w:eastAsia="游ゴシック"/>
          <w:b/>
          <w:i w:val="0"/>
          <w:color w:val="1F4D78"/>
          <w:sz w:val="22"/>
        </w:rPr>
        <w:t>【表2】受領資料の確認</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608"/>
        <w:gridCol w:w="4309"/>
        <w:gridCol w:w="794"/>
        <w:gridCol w:w="15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受領資料の記載</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原典での確認</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1531"/>
            <w:shd w:val="clear" w:fill="1F3864"/>
            <w:vAlign w:val="center"/>
          </w:tcPr>
          <w:p>
            <w:pPr>
              <w:spacing w:before="20" w:after="20"/>
              <w:jc w:val="center"/>
            </w:pPr>
            <w:r>
              <w:rPr>
                <w:rFonts w:ascii="游ゴシック" w:hAnsi="游ゴシック" w:eastAsia="游ゴシック"/>
                <w:b/>
                <w:i w:val="0"/>
                <w:color w:val="FFFFFF"/>
                <w:sz w:val="17"/>
              </w:rPr>
              <w:t>原典の頁</w:t>
            </w:r>
          </w:p>
        </w:tc>
      </w:tr>
      <w:tr>
        <w:tc>
          <w:tcPr>
            <w:tcW w:type="dxa" w:w="510"/>
            <w:vAlign w:val="center"/>
          </w:tcPr>
          <w:p>
            <w:pPr>
              <w:spacing w:before="20" w:after="20"/>
            </w:pPr>
            <w:r>
              <w:rPr>
                <w:rFonts w:ascii="游ゴシック" w:hAnsi="游ゴシック" w:eastAsia="游ゴシック"/>
                <w:b w:val="0"/>
                <w:i w:val="0"/>
                <w:sz w:val="17"/>
              </w:rPr>
              <w:t>A1</w:t>
            </w:r>
          </w:p>
        </w:tc>
        <w:tc>
          <w:tcPr>
            <w:tcW w:type="dxa" w:w="2608"/>
            <w:vAlign w:val="center"/>
          </w:tcPr>
          <w:p>
            <w:pPr>
              <w:spacing w:before="20" w:after="20"/>
            </w:pPr>
            <w:r>
              <w:rPr>
                <w:rFonts w:ascii="游ゴシック" w:hAnsi="游ゴシック" w:eastAsia="游ゴシック"/>
                <w:b w:val="0"/>
                <w:i w:val="0"/>
                <w:sz w:val="17"/>
              </w:rPr>
              <w:t>訪問入浴で医療的ケアを受ける利用者が約66％</w:t>
            </w:r>
          </w:p>
        </w:tc>
        <w:tc>
          <w:tcPr>
            <w:tcW w:type="dxa" w:w="4309"/>
            <w:vAlign w:val="center"/>
          </w:tcPr>
          <w:p>
            <w:pPr>
              <w:spacing w:before="20" w:after="20"/>
            </w:pPr>
            <w:r>
              <w:rPr>
                <w:rFonts w:ascii="游ゴシック" w:hAnsi="游ゴシック" w:eastAsia="游ゴシック"/>
                <w:b w:val="0"/>
                <w:i w:val="0"/>
                <w:sz w:val="17"/>
              </w:rPr>
              <w:t>資料2の7頁に「利用者全体の約66%」とある</w:t>
            </w:r>
          </w:p>
        </w:tc>
        <w:tc>
          <w:tcPr>
            <w:tcW w:type="dxa" w:w="794"/>
            <w:vAlign w:val="center"/>
          </w:tcPr>
          <w:p>
            <w:pPr>
              <w:spacing w:before="20" w:after="20"/>
            </w:pPr>
            <w:r>
              <w:rPr>
                <w:rFonts w:ascii="游ゴシック" w:hAnsi="游ゴシック" w:eastAsia="游ゴシック"/>
                <w:b/>
                <w:i w:val="0"/>
                <w:sz w:val="17"/>
              </w:rPr>
              <w:t>一致</w:t>
            </w:r>
          </w:p>
        </w:tc>
        <w:tc>
          <w:tcPr>
            <w:tcW w:type="dxa" w:w="1531"/>
            <w:vAlign w:val="center"/>
          </w:tcPr>
          <w:p>
            <w:pPr>
              <w:spacing w:before="20" w:after="20"/>
            </w:pPr>
            <w:r>
              <w:rPr>
                <w:rFonts w:ascii="游ゴシック" w:hAnsi="游ゴシック" w:eastAsia="游ゴシック"/>
                <w:b w:val="0"/>
                <w:i w:val="0"/>
                <w:sz w:val="17"/>
              </w:rPr>
              <w:t>介2 7頁</w:t>
            </w:r>
          </w:p>
        </w:tc>
      </w:tr>
      <w:tr>
        <w:tc>
          <w:tcPr>
            <w:tcW w:type="dxa" w:w="510"/>
            <w:vAlign w:val="center"/>
          </w:tcPr>
          <w:p>
            <w:pPr>
              <w:spacing w:before="20" w:after="20"/>
            </w:pPr>
            <w:r>
              <w:rPr>
                <w:rFonts w:ascii="游ゴシック" w:hAnsi="游ゴシック" w:eastAsia="游ゴシック"/>
                <w:b w:val="0"/>
                <w:i w:val="0"/>
                <w:sz w:val="17"/>
              </w:rPr>
              <w:t>A2</w:t>
            </w:r>
          </w:p>
        </w:tc>
        <w:tc>
          <w:tcPr>
            <w:tcW w:type="dxa" w:w="2608"/>
            <w:vAlign w:val="center"/>
          </w:tcPr>
          <w:p>
            <w:pPr>
              <w:spacing w:before="20" w:after="20"/>
            </w:pPr>
            <w:r>
              <w:rPr>
                <w:rFonts w:ascii="游ゴシック" w:hAnsi="游ゴシック" w:eastAsia="游ゴシック"/>
                <w:b w:val="0"/>
                <w:i w:val="0"/>
                <w:sz w:val="17"/>
              </w:rPr>
              <w:t>自立支援医療の経過的特例は令和9年3月31日まで。令和12年3月末までの延長案</w:t>
            </w:r>
          </w:p>
        </w:tc>
        <w:tc>
          <w:tcPr>
            <w:tcW w:type="dxa" w:w="4309"/>
            <w:vAlign w:val="center"/>
          </w:tcPr>
          <w:p>
            <w:pPr>
              <w:spacing w:before="20" w:after="20"/>
            </w:pPr>
            <w:r>
              <w:rPr>
                <w:rFonts w:ascii="游ゴシック" w:hAnsi="游ゴシック" w:eastAsia="游ゴシック"/>
                <w:b w:val="0"/>
                <w:i w:val="0"/>
                <w:sz w:val="17"/>
              </w:rPr>
              <w:t>資料3の4〜5頁のとおり。延長は「対応案」で未確定</w:t>
            </w:r>
          </w:p>
        </w:tc>
        <w:tc>
          <w:tcPr>
            <w:tcW w:type="dxa" w:w="794"/>
            <w:vAlign w:val="center"/>
          </w:tcPr>
          <w:p>
            <w:pPr>
              <w:spacing w:before="20" w:after="20"/>
            </w:pPr>
            <w:r>
              <w:rPr>
                <w:rFonts w:ascii="游ゴシック" w:hAnsi="游ゴシック" w:eastAsia="游ゴシック"/>
                <w:b/>
                <w:i w:val="0"/>
                <w:sz w:val="17"/>
              </w:rPr>
              <w:t>一致</w:t>
            </w:r>
          </w:p>
        </w:tc>
        <w:tc>
          <w:tcPr>
            <w:tcW w:type="dxa" w:w="1531"/>
            <w:vAlign w:val="center"/>
          </w:tcPr>
          <w:p>
            <w:pPr>
              <w:spacing w:before="20" w:after="20"/>
            </w:pPr>
            <w:r>
              <w:rPr>
                <w:rFonts w:ascii="游ゴシック" w:hAnsi="游ゴシック" w:eastAsia="游ゴシック"/>
                <w:b w:val="0"/>
                <w:i w:val="0"/>
                <w:sz w:val="17"/>
              </w:rPr>
              <w:t>障3 4頁、障3 5頁</w:t>
            </w:r>
          </w:p>
        </w:tc>
      </w:tr>
      <w:tr>
        <w:tc>
          <w:tcPr>
            <w:tcW w:type="dxa" w:w="510"/>
            <w:vAlign w:val="center"/>
          </w:tcPr>
          <w:p>
            <w:pPr>
              <w:spacing w:before="20" w:after="20"/>
            </w:pPr>
            <w:r>
              <w:rPr>
                <w:rFonts w:ascii="游ゴシック" w:hAnsi="游ゴシック" w:eastAsia="游ゴシック"/>
                <w:b w:val="0"/>
                <w:i w:val="0"/>
                <w:sz w:val="17"/>
              </w:rPr>
              <w:t>A3</w:t>
            </w:r>
          </w:p>
        </w:tc>
        <w:tc>
          <w:tcPr>
            <w:tcW w:type="dxa" w:w="2608"/>
            <w:vAlign w:val="center"/>
          </w:tcPr>
          <w:p>
            <w:pPr>
              <w:spacing w:before="20" w:after="20"/>
            </w:pPr>
            <w:r>
              <w:rPr>
                <w:rFonts w:ascii="游ゴシック" w:hAnsi="游ゴシック" w:eastAsia="游ゴシック"/>
                <w:b w:val="0"/>
                <w:i w:val="0"/>
                <w:sz w:val="17"/>
              </w:rPr>
              <w:t>育成医療の中間所得層83.1％、「重度かつ継続」の一定所得以上132,392件</w:t>
            </w:r>
          </w:p>
        </w:tc>
        <w:tc>
          <w:tcPr>
            <w:tcW w:type="dxa" w:w="4309"/>
            <w:vAlign w:val="center"/>
          </w:tcPr>
          <w:p>
            <w:pPr>
              <w:spacing w:before="20" w:after="20"/>
            </w:pPr>
            <w:r>
              <w:rPr>
                <w:rFonts w:ascii="游ゴシック" w:hAnsi="游ゴシック" w:eastAsia="游ゴシック"/>
                <w:b w:val="0"/>
                <w:i w:val="0"/>
                <w:sz w:val="17"/>
              </w:rPr>
              <w:t>資料3の5頁のとおり（いずれも全国、令和6年度福祉行政報告例）</w:t>
            </w:r>
          </w:p>
        </w:tc>
        <w:tc>
          <w:tcPr>
            <w:tcW w:type="dxa" w:w="794"/>
            <w:vAlign w:val="center"/>
          </w:tcPr>
          <w:p>
            <w:pPr>
              <w:spacing w:before="20" w:after="20"/>
            </w:pPr>
            <w:r>
              <w:rPr>
                <w:rFonts w:ascii="游ゴシック" w:hAnsi="游ゴシック" w:eastAsia="游ゴシック"/>
                <w:b/>
                <w:i w:val="0"/>
                <w:sz w:val="17"/>
              </w:rPr>
              <w:t>一致</w:t>
            </w:r>
          </w:p>
        </w:tc>
        <w:tc>
          <w:tcPr>
            <w:tcW w:type="dxa" w:w="1531"/>
            <w:vAlign w:val="center"/>
          </w:tcPr>
          <w:p>
            <w:pPr>
              <w:spacing w:before="20" w:after="20"/>
            </w:pPr>
            <w:r>
              <w:rPr>
                <w:rFonts w:ascii="游ゴシック" w:hAnsi="游ゴシック" w:eastAsia="游ゴシック"/>
                <w:b w:val="0"/>
                <w:i w:val="0"/>
                <w:sz w:val="17"/>
              </w:rPr>
              <w:t>障3 5頁</w:t>
            </w:r>
          </w:p>
        </w:tc>
      </w:tr>
      <w:tr>
        <w:tc>
          <w:tcPr>
            <w:tcW w:type="dxa" w:w="510"/>
            <w:vAlign w:val="center"/>
          </w:tcPr>
          <w:p>
            <w:pPr>
              <w:spacing w:before="20" w:after="20"/>
            </w:pPr>
            <w:r>
              <w:rPr>
                <w:rFonts w:ascii="游ゴシック" w:hAnsi="游ゴシック" w:eastAsia="游ゴシック"/>
                <w:b w:val="0"/>
                <w:i w:val="0"/>
                <w:sz w:val="17"/>
              </w:rPr>
              <w:t>A4</w:t>
            </w:r>
          </w:p>
        </w:tc>
        <w:tc>
          <w:tcPr>
            <w:tcW w:type="dxa" w:w="2608"/>
            <w:vAlign w:val="center"/>
          </w:tcPr>
          <w:p>
            <w:pPr>
              <w:spacing w:before="20" w:after="20"/>
            </w:pPr>
            <w:r>
              <w:rPr>
                <w:rFonts w:ascii="游ゴシック" w:hAnsi="游ゴシック" w:eastAsia="游ゴシック"/>
                <w:b w:val="0"/>
                <w:i w:val="0"/>
                <w:sz w:val="17"/>
              </w:rPr>
              <w:t>就労選択支援の令和9年4月からの対象・運用</w:t>
            </w:r>
          </w:p>
        </w:tc>
        <w:tc>
          <w:tcPr>
            <w:tcW w:type="dxa" w:w="4309"/>
            <w:vAlign w:val="center"/>
          </w:tcPr>
          <w:p>
            <w:pPr>
              <w:spacing w:before="20" w:after="20"/>
            </w:pPr>
            <w:r>
              <w:rPr>
                <w:rFonts w:ascii="游ゴシック" w:hAnsi="游ゴシック" w:eastAsia="游ゴシック"/>
                <w:b w:val="0"/>
                <w:i w:val="0"/>
                <w:sz w:val="17"/>
              </w:rPr>
              <w:t>資料1の39〜40頁。令和9年4月から、新たに就労継続支援Ａ型を利用する方と就労移行支援の標準利用期間を超える方も対象となる予定で、「予定どおり」とする検討の方向性が示されている</w:t>
            </w:r>
          </w:p>
        </w:tc>
        <w:tc>
          <w:tcPr>
            <w:tcW w:type="dxa" w:w="794"/>
            <w:vAlign w:val="center"/>
          </w:tcPr>
          <w:p>
            <w:pPr>
              <w:spacing w:before="20" w:after="20"/>
            </w:pPr>
            <w:r>
              <w:rPr>
                <w:rFonts w:ascii="游ゴシック" w:hAnsi="游ゴシック" w:eastAsia="游ゴシック"/>
                <w:b/>
                <w:i w:val="0"/>
                <w:sz w:val="17"/>
              </w:rPr>
              <w:t>一致</w:t>
            </w:r>
          </w:p>
        </w:tc>
        <w:tc>
          <w:tcPr>
            <w:tcW w:type="dxa" w:w="1531"/>
            <w:vAlign w:val="center"/>
          </w:tcPr>
          <w:p>
            <w:pPr>
              <w:spacing w:before="20" w:after="20"/>
            </w:pPr>
            <w:r>
              <w:rPr>
                <w:rFonts w:ascii="游ゴシック" w:hAnsi="游ゴシック" w:eastAsia="游ゴシック"/>
                <w:b w:val="0"/>
                <w:i w:val="0"/>
                <w:sz w:val="17"/>
              </w:rPr>
              <w:t>障1 39頁</w:t>
            </w:r>
          </w:p>
        </w:tc>
      </w:tr>
      <w:tr>
        <w:tc>
          <w:tcPr>
            <w:tcW w:type="dxa" w:w="510"/>
            <w:vAlign w:val="center"/>
          </w:tcPr>
          <w:p>
            <w:pPr>
              <w:spacing w:before="20" w:after="20"/>
            </w:pPr>
            <w:r>
              <w:rPr>
                <w:rFonts w:ascii="游ゴシック" w:hAnsi="游ゴシック" w:eastAsia="游ゴシック"/>
                <w:b w:val="0"/>
                <w:i w:val="0"/>
                <w:sz w:val="17"/>
              </w:rPr>
              <w:t>A5</w:t>
            </w:r>
          </w:p>
        </w:tc>
        <w:tc>
          <w:tcPr>
            <w:tcW w:type="dxa" w:w="2608"/>
            <w:vAlign w:val="center"/>
          </w:tcPr>
          <w:p>
            <w:pPr>
              <w:spacing w:before="20" w:after="20"/>
            </w:pPr>
            <w:r>
              <w:rPr>
                <w:rFonts w:ascii="游ゴシック" w:hAnsi="游ゴシック" w:eastAsia="游ゴシック"/>
                <w:b w:val="0"/>
                <w:i w:val="0"/>
                <w:sz w:val="17"/>
              </w:rPr>
              <w:t>資料2（特定地域）は本文全頁を取得できず、指定条件・数値基準は記載しない</w:t>
            </w:r>
          </w:p>
        </w:tc>
        <w:tc>
          <w:tcPr>
            <w:tcW w:type="dxa" w:w="4309"/>
            <w:vAlign w:val="center"/>
          </w:tcPr>
          <w:p>
            <w:pPr>
              <w:spacing w:before="20" w:after="20"/>
            </w:pPr>
            <w:r>
              <w:rPr>
                <w:rFonts w:ascii="游ゴシック" w:hAnsi="游ゴシック" w:eastAsia="游ゴシック"/>
                <w:b/>
                <w:i w:val="0"/>
                <w:sz w:val="17"/>
              </w:rPr>
              <w:t>当方で全25頁を取得した。</w:t>
            </w:r>
            <w:r>
              <w:rPr>
                <w:rFonts w:ascii="游ゴシック" w:hAnsi="游ゴシック" w:eastAsia="游ゴシック"/>
                <w:b w:val="0"/>
                <w:i w:val="0"/>
                <w:sz w:val="17"/>
              </w:rPr>
              <w:t xml:space="preserve"> 基準の考え方（案）は9〜10頁にあり、①特別地域加算等の対象地域はすべて対象、②それ以外は人口・人口変化率・人口密度の基準、③それでも該当しない地域は都道府県が市町村の意見を聴いて指定できる、の3段である</w:t>
            </w:r>
          </w:p>
        </w:tc>
        <w:tc>
          <w:tcPr>
            <w:tcW w:type="dxa" w:w="794"/>
            <w:vAlign w:val="center"/>
          </w:tcPr>
          <w:p>
            <w:pPr>
              <w:spacing w:before="20" w:after="20"/>
            </w:pPr>
            <w:r>
              <w:rPr>
                <w:rFonts w:ascii="游ゴシック" w:hAnsi="游ゴシック" w:eastAsia="游ゴシック"/>
                <w:b/>
                <w:i w:val="0"/>
                <w:sz w:val="17"/>
              </w:rPr>
              <w:t>補える</w:t>
            </w:r>
          </w:p>
        </w:tc>
        <w:tc>
          <w:tcPr>
            <w:tcW w:type="dxa" w:w="1531"/>
            <w:vAlign w:val="center"/>
          </w:tcPr>
          <w:p>
            <w:pPr>
              <w:spacing w:before="20" w:after="20"/>
            </w:pPr>
            <w:r>
              <w:rPr>
                <w:rFonts w:ascii="游ゴシック" w:hAnsi="游ゴシック" w:eastAsia="游ゴシック"/>
                <w:b w:val="0"/>
                <w:i w:val="0"/>
                <w:sz w:val="17"/>
              </w:rPr>
              <w:t>障2 9頁、障2 10頁</w:t>
            </w:r>
          </w:p>
        </w:tc>
      </w:tr>
      <w:tr>
        <w:tc>
          <w:tcPr>
            <w:tcW w:type="dxa" w:w="510"/>
            <w:vAlign w:val="center"/>
          </w:tcPr>
          <w:p>
            <w:pPr>
              <w:spacing w:before="20" w:after="20"/>
            </w:pPr>
            <w:r>
              <w:rPr>
                <w:rFonts w:ascii="游ゴシック" w:hAnsi="游ゴシック" w:eastAsia="游ゴシック"/>
                <w:b w:val="0"/>
                <w:i w:val="0"/>
                <w:sz w:val="17"/>
              </w:rPr>
              <w:t>A6</w:t>
            </w:r>
          </w:p>
        </w:tc>
        <w:tc>
          <w:tcPr>
            <w:tcW w:type="dxa" w:w="2608"/>
            <w:vAlign w:val="center"/>
          </w:tcPr>
          <w:p>
            <w:pPr>
              <w:spacing w:before="20" w:after="20"/>
            </w:pPr>
            <w:r>
              <w:rPr>
                <w:rFonts w:ascii="游ゴシック" w:hAnsi="游ゴシック" w:eastAsia="游ゴシック"/>
                <w:b w:val="0"/>
                <w:i w:val="0"/>
                <w:sz w:val="17"/>
              </w:rPr>
              <w:t>障がいの特定地域について「介護の指定要件を流用しない」</w:t>
            </w:r>
          </w:p>
        </w:tc>
        <w:tc>
          <w:tcPr>
            <w:tcW w:type="dxa" w:w="4309"/>
            <w:vAlign w:val="center"/>
          </w:tcPr>
          <w:p>
            <w:pPr>
              <w:spacing w:before="20" w:after="20"/>
            </w:pPr>
            <w:r>
              <w:rPr>
                <w:rFonts w:ascii="游ゴシック" w:hAnsi="游ゴシック" w:eastAsia="游ゴシック"/>
                <w:b w:val="0"/>
                <w:i w:val="0"/>
                <w:sz w:val="17"/>
              </w:rPr>
              <w:t>妥当。障がいの基準案の基本は、障がい福祉の特別地域加算等の対象地域（7頁の①〜⑩。過疎地域と振興山村を含む）である</w:t>
            </w:r>
          </w:p>
        </w:tc>
        <w:tc>
          <w:tcPr>
            <w:tcW w:type="dxa" w:w="794"/>
            <w:vAlign w:val="center"/>
          </w:tcPr>
          <w:p>
            <w:pPr>
              <w:spacing w:before="20" w:after="20"/>
            </w:pPr>
            <w:r>
              <w:rPr>
                <w:rFonts w:ascii="游ゴシック" w:hAnsi="游ゴシック" w:eastAsia="游ゴシック"/>
                <w:b/>
                <w:i w:val="0"/>
                <w:sz w:val="17"/>
              </w:rPr>
              <w:t>妥当</w:t>
            </w:r>
          </w:p>
        </w:tc>
        <w:tc>
          <w:tcPr>
            <w:tcW w:type="dxa" w:w="1531"/>
            <w:vAlign w:val="center"/>
          </w:tcPr>
          <w:p>
            <w:pPr>
              <w:spacing w:before="20" w:after="20"/>
            </w:pPr>
            <w:r>
              <w:rPr>
                <w:rFonts w:ascii="游ゴシック" w:hAnsi="游ゴシック" w:eastAsia="游ゴシック"/>
                <w:b w:val="0"/>
                <w:i w:val="0"/>
                <w:sz w:val="17"/>
              </w:rPr>
              <w:t>障2 7頁</w:t>
            </w:r>
          </w:p>
        </w:tc>
      </w:tr>
      <w:tr>
        <w:tc>
          <w:tcPr>
            <w:tcW w:type="dxa" w:w="510"/>
            <w:vAlign w:val="center"/>
          </w:tcPr>
          <w:p>
            <w:pPr>
              <w:keepNext/>
              <w:spacing w:before="20" w:after="20"/>
            </w:pPr>
            <w:r>
              <w:rPr>
                <w:rFonts w:ascii="游ゴシック" w:hAnsi="游ゴシック" w:eastAsia="游ゴシック"/>
                <w:b w:val="0"/>
                <w:i w:val="0"/>
                <w:sz w:val="17"/>
              </w:rPr>
              <w:t>A7</w:t>
            </w:r>
          </w:p>
        </w:tc>
        <w:tc>
          <w:tcPr>
            <w:tcW w:type="dxa" w:w="2608"/>
            <w:vAlign w:val="center"/>
          </w:tcPr>
          <w:p>
            <w:pPr>
              <w:keepNext/>
              <w:spacing w:before="20" w:after="20"/>
            </w:pPr>
            <w:r>
              <w:rPr>
                <w:rFonts w:ascii="游ゴシック" w:hAnsi="游ゴシック" w:eastAsia="游ゴシック"/>
                <w:b w:val="0"/>
                <w:i w:val="0"/>
                <w:sz w:val="17"/>
              </w:rPr>
              <w:t>[D_old]「第154回関連資料：中山間・人口減少地域の提供体制」</w:t>
            </w:r>
          </w:p>
        </w:tc>
        <w:tc>
          <w:tcPr>
            <w:tcW w:type="dxa" w:w="4309"/>
            <w:vAlign w:val="center"/>
          </w:tcPr>
          <w:p>
            <w:pPr>
              <w:keepNext/>
              <w:spacing w:before="20" w:after="20"/>
            </w:pPr>
            <w:r>
              <w:rPr>
                <w:rFonts w:ascii="游ゴシック" w:hAnsi="游ゴシック" w:eastAsia="游ゴシック"/>
                <w:b/>
                <w:i w:val="0"/>
                <w:sz w:val="17"/>
              </w:rPr>
              <w:t>リンク先は障害保健福祉関係主管課長会議資料（令和8年3月）で、第154回障害者部会の資料ではない。</w:t>
            </w:r>
            <w:r>
              <w:rPr>
                <w:rFonts w:ascii="游ゴシック" w:hAnsi="游ゴシック" w:eastAsia="游ゴシック"/>
                <w:b w:val="0"/>
                <w:i w:val="0"/>
                <w:sz w:val="17"/>
              </w:rPr>
              <w:t xml:space="preserve"> 第154回（令和8年1月19日）の該当資料は、第160回資料2の3〜4頁に再掲されている</w:t>
            </w:r>
          </w:p>
        </w:tc>
        <w:tc>
          <w:tcPr>
            <w:tcW w:type="dxa" w:w="794"/>
            <w:vAlign w:val="center"/>
          </w:tcPr>
          <w:p>
            <w:pPr>
              <w:keepNext/>
              <w:spacing w:before="20" w:after="20"/>
            </w:pPr>
            <w:r>
              <w:rPr>
                <w:rFonts w:ascii="游ゴシック" w:hAnsi="游ゴシック" w:eastAsia="游ゴシック"/>
                <w:b/>
                <w:i w:val="0"/>
                <w:sz w:val="17"/>
              </w:rPr>
              <w:t>誤り</w:t>
            </w:r>
          </w:p>
        </w:tc>
        <w:tc>
          <w:tcPr>
            <w:tcW w:type="dxa" w:w="1531"/>
            <w:vAlign w:val="center"/>
          </w:tcPr>
          <w:p>
            <w:pPr>
              <w:keepNext/>
              <w:spacing w:before="20" w:after="20"/>
            </w:pPr>
            <w:r>
              <w:rPr>
                <w:rFonts w:ascii="游ゴシック" w:hAnsi="游ゴシック" w:eastAsia="游ゴシック"/>
                <w:b w:val="0"/>
                <w:i w:val="0"/>
                <w:sz w:val="17"/>
              </w:rPr>
              <w:t>障2 3頁</w:t>
            </w:r>
          </w:p>
        </w:tc>
      </w:tr>
      <w:tr>
        <w:tc>
          <w:tcPr>
            <w:tcW w:type="dxa" w:w="510"/>
            <w:vAlign w:val="center"/>
          </w:tcPr>
          <w:p>
            <w:pPr>
              <w:spacing w:before="20" w:after="20"/>
            </w:pPr>
            <w:r>
              <w:rPr>
                <w:rFonts w:ascii="游ゴシック" w:hAnsi="游ゴシック" w:eastAsia="游ゴシック"/>
                <w:b w:val="0"/>
                <w:i w:val="0"/>
                <w:sz w:val="17"/>
              </w:rPr>
              <w:t>A8</w:t>
            </w:r>
          </w:p>
        </w:tc>
        <w:tc>
          <w:tcPr>
            <w:tcW w:type="dxa" w:w="2608"/>
            <w:vAlign w:val="center"/>
          </w:tcPr>
          <w:p>
            <w:pPr>
              <w:spacing w:before="20" w:after="20"/>
            </w:pPr>
            <w:r>
              <w:rPr>
                <w:rFonts w:ascii="游ゴシック" w:hAnsi="游ゴシック" w:eastAsia="游ゴシック"/>
                <w:b w:val="0"/>
                <w:i w:val="0"/>
                <w:sz w:val="17"/>
              </w:rPr>
              <w:t>D-01（移動・ピアサポート）の根拠を資料1 pp.3〜6とする</w:t>
            </w:r>
          </w:p>
        </w:tc>
        <w:tc>
          <w:tcPr>
            <w:tcW w:type="dxa" w:w="4309"/>
            <w:vAlign w:val="center"/>
          </w:tcPr>
          <w:p>
            <w:pPr>
              <w:spacing w:before="20" w:after="20"/>
            </w:pPr>
            <w:r>
              <w:rPr>
                <w:rFonts w:ascii="游ゴシック" w:hAnsi="游ゴシック" w:eastAsia="游ゴシック"/>
                <w:b w:val="0"/>
                <w:i w:val="0"/>
                <w:sz w:val="17"/>
              </w:rPr>
              <w:t>ピアサポートは4〜6頁のとおり。自動車に同乗して移動する場面は7頁</w:t>
            </w:r>
          </w:p>
        </w:tc>
        <w:tc>
          <w:tcPr>
            <w:tcW w:type="dxa" w:w="794"/>
            <w:vAlign w:val="center"/>
          </w:tcPr>
          <w:p>
            <w:pPr>
              <w:spacing w:before="20" w:after="20"/>
            </w:pPr>
            <w:r>
              <w:rPr>
                <w:rFonts w:ascii="游ゴシック" w:hAnsi="游ゴシック" w:eastAsia="游ゴシック"/>
                <w:b/>
                <w:i w:val="0"/>
                <w:sz w:val="17"/>
              </w:rPr>
              <w:t>一部ずれ</w:t>
            </w:r>
          </w:p>
        </w:tc>
        <w:tc>
          <w:tcPr>
            <w:tcW w:type="dxa" w:w="1531"/>
            <w:vAlign w:val="center"/>
          </w:tcPr>
          <w:p>
            <w:pPr>
              <w:spacing w:before="20" w:after="20"/>
            </w:pPr>
            <w:r>
              <w:rPr>
                <w:rFonts w:ascii="游ゴシック" w:hAnsi="游ゴシック" w:eastAsia="游ゴシック"/>
                <w:b w:val="0"/>
                <w:i w:val="0"/>
                <w:sz w:val="17"/>
              </w:rPr>
              <w:t>障1 5頁、障1 7頁</w:t>
            </w:r>
          </w:p>
        </w:tc>
      </w:tr>
    </w:tbl>
    <w:p>
      <w:pPr>
        <w:spacing w:after="40"/>
      </w:pPr>
    </w:p>
    <w:p>
      <w:pPr>
        <w:spacing w:before="40" w:after="160"/>
        <w:ind w:left="113"/>
      </w:pPr>
      <w:r>
        <w:rPr>
          <w:rFonts w:ascii="游ゴシック" w:hAnsi="游ゴシック" w:eastAsia="游ゴシック"/>
          <w:b w:val="0"/>
          <w:i w:val="0"/>
          <w:sz w:val="17"/>
        </w:rPr>
        <w:t>原典の略称は7節を参照。頁はPDFの頁（1頁目＝1）。</w:t>
      </w:r>
    </w:p>
    <w:p>
      <w:pPr>
        <w:pStyle w:val="Heading1"/>
        <w:keepNext/>
        <w:spacing w:before="240" w:after="100"/>
      </w:pPr>
      <w:bookmarkStart w:id="104" w:name="_Toc_004"/>
      <w:r>
        <w:rPr>
          <w:rFonts w:ascii="游ゴシック" w:hAnsi="游ゴシック" w:eastAsia="游ゴシック"/>
          <w:b/>
          <w:i w:val="0"/>
          <w:color w:val="2E74B5"/>
          <w:sz w:val="30"/>
        </w:rPr>
        <w:t>4　小野町への当てはめ：特定地域と過疎区分</w:t>
      </w:r>
      <w:bookmarkEnd w:id="104"/>
    </w:p>
    <w:p>
      <w:pPr>
        <w:spacing w:before="60" w:after="60"/>
      </w:pPr>
      <w:r>
        <w:rPr>
          <w:rFonts w:ascii="游ゴシック" w:hAnsi="游ゴシック" w:eastAsia="游ゴシック"/>
          <w:b/>
          <w:i w:val="0"/>
          <w:sz w:val="21"/>
        </w:rPr>
        <w:t>受領資料が確定を避けた特定地域について、原典（資料2）と本町の区分から、次のことが言えます。</w:t>
      </w:r>
    </w:p>
    <w:p>
      <w:pPr>
        <w:keepNext/>
        <w:spacing w:before="200" w:after="40"/>
      </w:pPr>
      <w:r>
        <w:rPr>
          <w:rFonts w:ascii="游ゴシック" w:hAnsi="游ゴシック" w:eastAsia="游ゴシック"/>
          <w:b/>
          <w:i w:val="0"/>
          <w:color w:val="1F4D78"/>
          <w:sz w:val="22"/>
        </w:rPr>
        <w:t>【表3】特定地域と過疎区分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69"/>
        <w:gridCol w:w="215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1928"/>
            <w:vAlign w:val="center"/>
          </w:tcPr>
          <w:p>
            <w:pPr>
              <w:spacing w:before="20" w:after="20"/>
            </w:pPr>
            <w:r>
              <w:rPr>
                <w:rFonts w:ascii="游ゴシック" w:hAnsi="游ゴシック" w:eastAsia="游ゴシック"/>
                <w:b w:val="0"/>
                <w:i w:val="0"/>
                <w:sz w:val="17"/>
              </w:rPr>
              <w:t>特定地域の定義</w:t>
            </w:r>
          </w:p>
        </w:tc>
        <w:tc>
          <w:tcPr>
            <w:tcW w:type="dxa" w:w="5669"/>
            <w:vAlign w:val="center"/>
          </w:tcPr>
          <w:p>
            <w:pPr>
              <w:spacing w:before="20" w:after="20"/>
            </w:pPr>
            <w:r>
              <w:rPr>
                <w:rFonts w:ascii="游ゴシック" w:hAnsi="游ゴシック" w:eastAsia="游ゴシック"/>
                <w:b w:val="0"/>
                <w:i w:val="0"/>
                <w:sz w:val="17"/>
              </w:rPr>
              <w:t>人口の減少その他の主務省令で定める基準に該当する地域として都道府県が定めるもの（改正後の障害者総合支援法第30条第1項第3号イ）</w:t>
            </w:r>
          </w:p>
        </w:tc>
        <w:tc>
          <w:tcPr>
            <w:tcW w:type="dxa" w:w="2154"/>
            <w:vAlign w:val="center"/>
          </w:tcPr>
          <w:p>
            <w:pPr>
              <w:spacing w:before="20" w:after="20"/>
            </w:pPr>
            <w:r>
              <w:rPr>
                <w:rFonts w:ascii="游ゴシック" w:hAnsi="游ゴシック" w:eastAsia="游ゴシック"/>
                <w:b w:val="0"/>
                <w:i w:val="0"/>
                <w:sz w:val="17"/>
              </w:rPr>
              <w:t>資料2 6頁</w:t>
            </w:r>
          </w:p>
        </w:tc>
      </w:tr>
      <w:tr>
        <w:tc>
          <w:tcPr>
            <w:tcW w:type="dxa" w:w="1928"/>
            <w:vAlign w:val="center"/>
          </w:tcPr>
          <w:p>
            <w:pPr>
              <w:spacing w:before="20" w:after="20"/>
            </w:pPr>
            <w:r>
              <w:rPr>
                <w:rFonts w:ascii="游ゴシック" w:hAnsi="游ゴシック" w:eastAsia="游ゴシック"/>
                <w:b w:val="0"/>
                <w:i w:val="0"/>
                <w:sz w:val="17"/>
              </w:rPr>
              <w:t>基準の考え方（案）</w:t>
            </w:r>
          </w:p>
        </w:tc>
        <w:tc>
          <w:tcPr>
            <w:tcW w:type="dxa" w:w="5669"/>
            <w:vAlign w:val="center"/>
          </w:tcPr>
          <w:p>
            <w:pPr>
              <w:spacing w:before="20" w:after="20"/>
            </w:pPr>
            <w:r>
              <w:rPr>
                <w:rFonts w:ascii="游ゴシック" w:hAnsi="游ゴシック" w:eastAsia="游ゴシック"/>
                <w:b w:val="0"/>
                <w:i w:val="0"/>
                <w:sz w:val="17"/>
              </w:rPr>
              <w:t>①特別地域加算等の対象地域（全部指定・一部指定とも）はすべて対象、②それ以外は「人口8千人未満かつ人口変化率▲10％未満」又は「人口密度50人／㎢未満」、③それでも該当しない地域は都道府県が市町村の意見を聴いて指定できる</w:t>
            </w:r>
          </w:p>
        </w:tc>
        <w:tc>
          <w:tcPr>
            <w:tcW w:type="dxa" w:w="2154"/>
            <w:vAlign w:val="center"/>
          </w:tcPr>
          <w:p>
            <w:pPr>
              <w:spacing w:before="20" w:after="20"/>
            </w:pPr>
            <w:r>
              <w:rPr>
                <w:rFonts w:ascii="游ゴシック" w:hAnsi="游ゴシック" w:eastAsia="游ゴシック"/>
                <w:b w:val="0"/>
                <w:i w:val="0"/>
                <w:sz w:val="17"/>
              </w:rPr>
              <w:t>資料2 9〜10頁</w:t>
            </w:r>
          </w:p>
        </w:tc>
      </w:tr>
      <w:tr>
        <w:tc>
          <w:tcPr>
            <w:tcW w:type="dxa" w:w="1928"/>
            <w:vAlign w:val="center"/>
          </w:tcPr>
          <w:p>
            <w:pPr>
              <w:spacing w:before="20" w:after="20"/>
            </w:pPr>
            <w:r>
              <w:rPr>
                <w:rFonts w:ascii="游ゴシック" w:hAnsi="游ゴシック" w:eastAsia="游ゴシック"/>
                <w:b w:val="0"/>
                <w:i w:val="0"/>
                <w:sz w:val="17"/>
              </w:rPr>
              <w:t>特別地域加算等の対象地域</w:t>
            </w:r>
          </w:p>
        </w:tc>
        <w:tc>
          <w:tcPr>
            <w:tcW w:type="dxa" w:w="5669"/>
            <w:vAlign w:val="center"/>
          </w:tcPr>
          <w:p>
            <w:pPr>
              <w:spacing w:before="20" w:after="20"/>
            </w:pPr>
            <w:r>
              <w:rPr>
                <w:rFonts w:ascii="游ゴシック" w:hAnsi="游ゴシック" w:eastAsia="游ゴシック"/>
                <w:b w:val="0"/>
                <w:i w:val="0"/>
                <w:sz w:val="17"/>
              </w:rPr>
              <w:t>離島、豪雪、辺地、</w:t>
            </w:r>
            <w:r>
              <w:rPr>
                <w:rFonts w:ascii="游ゴシック" w:hAnsi="游ゴシック" w:eastAsia="游ゴシック"/>
                <w:b/>
                <w:i w:val="0"/>
                <w:sz w:val="17"/>
              </w:rPr>
              <w:t>振興山村</w:t>
            </w:r>
            <w:r>
              <w:rPr>
                <w:rFonts w:ascii="游ゴシック" w:hAnsi="游ゴシック" w:eastAsia="游ゴシック"/>
                <w:b w:val="0"/>
                <w:i w:val="0"/>
                <w:sz w:val="17"/>
              </w:rPr>
              <w:t>、半島、特定農山村、</w:t>
            </w:r>
            <w:r>
              <w:rPr>
                <w:rFonts w:ascii="游ゴシック" w:hAnsi="游ゴシック" w:eastAsia="游ゴシック"/>
                <w:b/>
                <w:i w:val="0"/>
                <w:sz w:val="17"/>
              </w:rPr>
              <w:t>過疎地域</w:t>
            </w:r>
            <w:r>
              <w:rPr>
                <w:rFonts w:ascii="游ゴシック" w:hAnsi="游ゴシック" w:eastAsia="游ゴシック"/>
                <w:b w:val="0"/>
                <w:i w:val="0"/>
                <w:sz w:val="17"/>
              </w:rPr>
              <w:t>など10類型</w:t>
            </w:r>
          </w:p>
        </w:tc>
        <w:tc>
          <w:tcPr>
            <w:tcW w:type="dxa" w:w="2154"/>
            <w:vAlign w:val="center"/>
          </w:tcPr>
          <w:p>
            <w:pPr>
              <w:spacing w:before="20" w:after="20"/>
            </w:pPr>
            <w:r>
              <w:rPr>
                <w:rFonts w:ascii="游ゴシック" w:hAnsi="游ゴシック" w:eastAsia="游ゴシック"/>
                <w:b w:val="0"/>
                <w:i w:val="0"/>
                <w:sz w:val="17"/>
              </w:rPr>
              <w:t>資料2 7頁</w:t>
            </w:r>
          </w:p>
        </w:tc>
      </w:tr>
      <w:tr>
        <w:tc>
          <w:tcPr>
            <w:tcW w:type="dxa" w:w="1928"/>
            <w:vAlign w:val="center"/>
          </w:tcPr>
          <w:p>
            <w:pPr>
              <w:spacing w:before="20" w:after="20"/>
            </w:pPr>
            <w:r>
              <w:rPr>
                <w:rFonts w:ascii="游ゴシック" w:hAnsi="游ゴシック" w:eastAsia="游ゴシック"/>
                <w:b/>
                <w:i w:val="0"/>
                <w:sz w:val="17"/>
              </w:rPr>
              <w:t>本町の区分</w:t>
            </w:r>
          </w:p>
        </w:tc>
        <w:tc>
          <w:tcPr>
            <w:tcW w:type="dxa" w:w="5669"/>
            <w:vAlign w:val="center"/>
          </w:tcPr>
          <w:p>
            <w:pPr>
              <w:spacing w:before="20" w:after="20"/>
            </w:pPr>
            <w:r>
              <w:rPr>
                <w:rFonts w:ascii="游ゴシック" w:hAnsi="游ゴシック" w:eastAsia="游ゴシック"/>
                <w:b/>
                <w:i w:val="0"/>
                <w:sz w:val="17"/>
              </w:rPr>
              <w:t>全部過疎</w:t>
            </w:r>
            <w:r>
              <w:rPr>
                <w:rFonts w:ascii="游ゴシック" w:hAnsi="游ゴシック" w:eastAsia="游ゴシック"/>
                <w:b w:val="0"/>
                <w:i w:val="0"/>
                <w:sz w:val="17"/>
              </w:rPr>
              <w:t>（福島県の頁で全部過疎の色）。あわせて、旧夏井村の区域が振興山村（高齢者計画素案 第1章2）</w:t>
            </w:r>
          </w:p>
        </w:tc>
        <w:tc>
          <w:tcPr>
            <w:tcW w:type="dxa" w:w="2154"/>
            <w:vAlign w:val="center"/>
          </w:tcPr>
          <w:p>
            <w:pPr>
              <w:spacing w:before="20" w:after="20"/>
            </w:pPr>
            <w:r>
              <w:rPr>
                <w:rFonts w:ascii="游ゴシック" w:hAnsi="游ゴシック" w:eastAsia="游ゴシック"/>
                <w:b w:val="0"/>
                <w:i w:val="0"/>
                <w:sz w:val="17"/>
              </w:rPr>
              <w:t>総務省 過疎関係市町村都道府県別分布図（令和4年4月）12頁</w:t>
            </w:r>
          </w:p>
        </w:tc>
      </w:tr>
      <w:tr>
        <w:tc>
          <w:tcPr>
            <w:tcW w:type="dxa" w:w="1928"/>
            <w:vAlign w:val="center"/>
          </w:tcPr>
          <w:p>
            <w:pPr>
              <w:keepNext/>
              <w:spacing w:before="20" w:after="20"/>
            </w:pPr>
            <w:r>
              <w:rPr>
                <w:rFonts w:ascii="游ゴシック" w:hAnsi="游ゴシック" w:eastAsia="游ゴシック"/>
                <w:b/>
                <w:i w:val="0"/>
                <w:sz w:val="17"/>
              </w:rPr>
              <w:t>当てはめ</w:t>
            </w:r>
          </w:p>
        </w:tc>
        <w:tc>
          <w:tcPr>
            <w:tcW w:type="dxa" w:w="5669"/>
            <w:vAlign w:val="center"/>
          </w:tcPr>
          <w:p>
            <w:pPr>
              <w:keepNext/>
              <w:spacing w:before="20" w:after="20"/>
            </w:pPr>
            <w:r>
              <w:rPr>
                <w:rFonts w:ascii="游ゴシック" w:hAnsi="游ゴシック" w:eastAsia="游ゴシック"/>
                <w:b/>
                <w:i w:val="0"/>
                <w:sz w:val="17"/>
              </w:rPr>
              <w:t>基準案の①により、町全域が特定地域の対象となる見込みが高い。</w:t>
            </w:r>
            <w:r>
              <w:rPr>
                <w:rFonts w:ascii="游ゴシック" w:hAnsi="游ゴシック" w:eastAsia="游ゴシック"/>
                <w:b w:val="0"/>
                <w:i w:val="0"/>
                <w:sz w:val="17"/>
              </w:rPr>
              <w:t xml:space="preserve"> ただし基準は主務省令で定まり、指定は県が町の意向を踏まえて行う</w:t>
            </w:r>
          </w:p>
        </w:tc>
        <w:tc>
          <w:tcPr>
            <w:tcW w:type="dxa" w:w="2154"/>
            <w:vAlign w:val="center"/>
          </w:tcPr>
          <w:p>
            <w:pPr>
              <w:keepNext/>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i w:val="0"/>
                <w:sz w:val="17"/>
              </w:rPr>
              <w:t>別表第五</w:t>
            </w:r>
          </w:p>
        </w:tc>
        <w:tc>
          <w:tcPr>
            <w:tcW w:type="dxa" w:w="5669"/>
            <w:vAlign w:val="center"/>
          </w:tcPr>
          <w:p>
            <w:pPr>
              <w:spacing w:before="20" w:after="20"/>
            </w:pPr>
            <w:r>
              <w:rPr>
                <w:rFonts w:ascii="游ゴシック" w:hAnsi="游ゴシック" w:eastAsia="游ゴシック"/>
                <w:b w:val="0"/>
                <w:i w:val="0"/>
                <w:sz w:val="17"/>
              </w:rPr>
              <w:t>全部過疎市町村は別表第五（地域差の是正）の対象外。</w:t>
            </w:r>
            <w:r>
              <w:rPr>
                <w:rFonts w:ascii="游ゴシック" w:hAnsi="游ゴシック" w:eastAsia="游ゴシック"/>
                <w:b/>
                <w:i w:val="0"/>
                <w:sz w:val="17"/>
              </w:rPr>
              <w:t>本町には適用がない</w:t>
            </w:r>
          </w:p>
        </w:tc>
        <w:tc>
          <w:tcPr>
            <w:tcW w:type="dxa" w:w="2154"/>
            <w:vAlign w:val="center"/>
          </w:tcPr>
          <w:p>
            <w:pPr>
              <w:spacing w:before="20" w:after="20"/>
            </w:pPr>
            <w:r>
              <w:rPr>
                <w:rFonts w:ascii="游ゴシック" w:hAnsi="游ゴシック" w:eastAsia="游ゴシック"/>
                <w:b w:val="0"/>
                <w:i w:val="0"/>
                <w:sz w:val="17"/>
              </w:rPr>
              <w:t>第8期基本指針 別表第五</w:t>
            </w:r>
          </w:p>
        </w:tc>
      </w:tr>
    </w:tbl>
    <w:p>
      <w:pPr>
        <w:spacing w:after="40"/>
      </w:pPr>
    </w:p>
    <w:p>
      <w:pPr>
        <w:spacing w:before="40" w:after="160"/>
        <w:ind w:left="113"/>
      </w:pPr>
      <w:r>
        <w:rPr>
          <w:rFonts w:ascii="游ゴシック" w:hAnsi="游ゴシック" w:eastAsia="游ゴシック"/>
          <w:b w:val="0"/>
          <w:i w:val="0"/>
          <w:sz w:val="17"/>
        </w:rPr>
        <w:t>過疎の分布図は色で区分を示しており、本町が全部過疎の色であることは目視で確かめた。あわせて、福島県「福島県過疎地域持続的発展方針・計画について」（令和8年4月1日更新）が、本町を過疎法第2条第1項の過疎地域市町村に挙げていることを確かめた（25_国資料_審議会に保存）。</w:t>
      </w:r>
    </w:p>
    <w:p>
      <w:pPr>
        <w:pStyle w:val="Heading1"/>
        <w:keepNext/>
        <w:spacing w:before="240" w:after="100"/>
      </w:pPr>
      <w:bookmarkStart w:id="105" w:name="_Toc_005"/>
      <w:r>
        <w:rPr>
          <w:rFonts w:ascii="游ゴシック" w:hAnsi="游ゴシック" w:eastAsia="游ゴシック"/>
          <w:b/>
          <w:i w:val="0"/>
          <w:color w:val="2E74B5"/>
          <w:sz w:val="30"/>
        </w:rPr>
        <w:t>5　論点の整理</w:t>
      </w:r>
      <w:bookmarkEnd w:id="105"/>
    </w:p>
    <w:p>
      <w:pPr>
        <w:keepNext/>
        <w:spacing w:before="200" w:after="40"/>
      </w:pPr>
      <w:r>
        <w:rPr>
          <w:rFonts w:ascii="游ゴシック" w:hAnsi="游ゴシック" w:eastAsia="游ゴシック"/>
          <w:b/>
          <w:i w:val="0"/>
          <w:color w:val="1F4D78"/>
          <w:sz w:val="22"/>
        </w:rPr>
        <w:t>【表4】論点の整理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2041"/>
        <w:gridCol w:w="1134"/>
        <w:gridCol w:w="2835"/>
        <w:gridCol w:w="2721"/>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論点</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小野町の素案の現状</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対応</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spacing w:before="20" w:after="20"/>
            </w:pPr>
            <w:r>
              <w:rPr>
                <w:rFonts w:ascii="游ゴシック" w:hAnsi="游ゴシック" w:eastAsia="游ゴシック"/>
                <w:b w:val="0"/>
                <w:i w:val="0"/>
                <w:sz w:val="17"/>
              </w:rPr>
              <w:t>S1</w:t>
            </w:r>
          </w:p>
        </w:tc>
        <w:tc>
          <w:tcPr>
            <w:tcW w:type="dxa" w:w="2041"/>
            <w:vAlign w:val="center"/>
          </w:tcPr>
          <w:p>
            <w:pPr>
              <w:spacing w:before="20" w:after="20"/>
            </w:pPr>
            <w:r>
              <w:rPr>
                <w:rFonts w:ascii="游ゴシック" w:hAnsi="游ゴシック" w:eastAsia="游ゴシック"/>
                <w:b/>
                <w:i w:val="0"/>
                <w:sz w:val="17"/>
              </w:rPr>
              <w:t>障がい福祉の特定地域（中山間・人口減少地域）と特定地域障害福祉サービス</w:t>
            </w:r>
          </w:p>
        </w:tc>
        <w:tc>
          <w:tcPr>
            <w:tcW w:type="dxa" w:w="1134"/>
            <w:vAlign w:val="center"/>
          </w:tcPr>
          <w:p>
            <w:pPr>
              <w:spacing w:before="20" w:after="20"/>
            </w:pPr>
            <w:r>
              <w:rPr>
                <w:rFonts w:ascii="游ゴシック" w:hAnsi="游ゴシック" w:eastAsia="游ゴシック"/>
                <w:b w:val="0"/>
                <w:i w:val="0"/>
                <w:sz w:val="17"/>
              </w:rPr>
              <w:t>法定（令和9年4月施行）＋基準は案</w:t>
            </w:r>
          </w:p>
        </w:tc>
        <w:tc>
          <w:tcPr>
            <w:tcW w:type="dxa" w:w="2835"/>
            <w:vAlign w:val="center"/>
          </w:tcPr>
          <w:p>
            <w:pPr>
              <w:spacing w:before="20" w:after="20"/>
            </w:pPr>
            <w:r>
              <w:rPr>
                <w:rFonts w:ascii="游ゴシック" w:hAnsi="游ゴシック" w:eastAsia="游ゴシック"/>
                <w:b/>
                <w:i w:val="0"/>
                <w:sz w:val="17"/>
              </w:rPr>
              <w:t>第2版で第3部第3章に反映した。</w:t>
            </w:r>
            <w:r>
              <w:rPr>
                <w:rFonts w:ascii="游ゴシック" w:hAnsi="游ゴシック" w:eastAsia="游ゴシック"/>
                <w:b w:val="0"/>
                <w:i w:val="0"/>
                <w:sz w:val="17"/>
              </w:rPr>
              <w:t xml:space="preserve"> 本町は全部過疎（総務省 過疎関係市町村都道府県別分布図 令和4年4月）で、旧夏井村の区域は振興山村である。いずれも障がい福祉の特別地域加算等の対象地域に当たり、</w:t>
            </w:r>
            <w:r>
              <w:rPr>
                <w:rFonts w:ascii="游ゴシック" w:hAnsi="游ゴシック" w:eastAsia="游ゴシック"/>
                <w:b/>
                <w:i w:val="0"/>
                <w:sz w:val="17"/>
              </w:rPr>
              <w:t>基準案の①により町全域が対象となる見込みが高い</w:t>
            </w:r>
          </w:p>
        </w:tc>
        <w:tc>
          <w:tcPr>
            <w:tcW w:type="dxa" w:w="2721"/>
            <w:vAlign w:val="center"/>
          </w:tcPr>
          <w:p>
            <w:pPr>
              <w:spacing w:before="20" w:after="20"/>
            </w:pPr>
            <w:r>
              <w:rPr>
                <w:rFonts w:ascii="游ゴシック" w:hAnsi="游ゴシック" w:eastAsia="游ゴシック"/>
                <w:b/>
                <w:i w:val="0"/>
                <w:sz w:val="17"/>
              </w:rPr>
              <w:t>反映済み</w:t>
            </w:r>
            <w:r>
              <w:rPr>
                <w:rFonts w:ascii="游ゴシック" w:hAnsi="游ゴシック" w:eastAsia="游ゴシック"/>
                <w:b w:val="0"/>
                <w:i w:val="0"/>
                <w:sz w:val="17"/>
              </w:rPr>
              <w:t>（制度の概要、本町が町全域で対象となる見込み、基準は主務省令で定まり県が町の意向を踏まえて指定すること、案の段階であること）。町に、県から意向を聞かれたときの考え方の検討を依頼する</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S2</w:t>
            </w:r>
          </w:p>
        </w:tc>
        <w:tc>
          <w:tcPr>
            <w:tcW w:type="dxa" w:w="2041"/>
            <w:vAlign w:val="center"/>
          </w:tcPr>
          <w:p>
            <w:pPr>
              <w:spacing w:before="20" w:after="20"/>
            </w:pPr>
            <w:r>
              <w:rPr>
                <w:rFonts w:ascii="游ゴシック" w:hAnsi="游ゴシック" w:eastAsia="游ゴシック"/>
                <w:b/>
                <w:i w:val="0"/>
                <w:sz w:val="17"/>
              </w:rPr>
              <w:t>別表第五（地域差の是正）の適用の判定</w:t>
            </w:r>
          </w:p>
        </w:tc>
        <w:tc>
          <w:tcPr>
            <w:tcW w:type="dxa" w:w="1134"/>
            <w:vAlign w:val="center"/>
          </w:tcPr>
          <w:p>
            <w:pPr>
              <w:spacing w:before="20" w:after="20"/>
            </w:pPr>
            <w:r>
              <w:rPr>
                <w:rFonts w:ascii="游ゴシック" w:hAnsi="游ゴシック" w:eastAsia="游ゴシック"/>
                <w:b w:val="0"/>
                <w:i w:val="0"/>
                <w:sz w:val="17"/>
              </w:rPr>
              <w:t>告示（確定）</w:t>
            </w:r>
          </w:p>
        </w:tc>
        <w:tc>
          <w:tcPr>
            <w:tcW w:type="dxa" w:w="2835"/>
            <w:vAlign w:val="center"/>
          </w:tcPr>
          <w:p>
            <w:pPr>
              <w:spacing w:before="20" w:after="20"/>
            </w:pPr>
            <w:r>
              <w:rPr>
                <w:rFonts w:ascii="游ゴシック" w:hAnsi="游ゴシック" w:eastAsia="游ゴシック"/>
                <w:b/>
                <w:i w:val="0"/>
                <w:sz w:val="17"/>
              </w:rPr>
              <w:t>第2版で第3部第2章の注に反映した。</w:t>
            </w:r>
            <w:r>
              <w:rPr>
                <w:rFonts w:ascii="游ゴシック" w:hAnsi="游ゴシック" w:eastAsia="游ゴシック"/>
                <w:b w:val="0"/>
                <w:i w:val="0"/>
                <w:sz w:val="17"/>
              </w:rPr>
              <w:t xml:space="preserve"> 本町は全部過疎で、別表第五の一の項の要件「全部過疎市町村ではないこと」を満たさないため、</w:t>
            </w:r>
            <w:r>
              <w:rPr>
                <w:rFonts w:ascii="游ゴシック" w:hAnsi="游ゴシック" w:eastAsia="游ゴシック"/>
                <w:b/>
                <w:i w:val="0"/>
                <w:sz w:val="17"/>
              </w:rPr>
              <w:t>適用はない</w:t>
            </w:r>
            <w:r>
              <w:rPr>
                <w:rFonts w:ascii="游ゴシック" w:hAnsi="游ゴシック" w:eastAsia="游ゴシック"/>
                <w:b w:val="0"/>
                <w:i w:val="0"/>
                <w:sz w:val="17"/>
              </w:rPr>
              <w:t>。他素案への反映（№24）の【要確認：本町の過疎区分】も改めた</w:t>
            </w:r>
          </w:p>
        </w:tc>
        <w:tc>
          <w:tcPr>
            <w:tcW w:type="dxa" w:w="2721"/>
            <w:vAlign w:val="center"/>
          </w:tcPr>
          <w:p>
            <w:pPr>
              <w:spacing w:before="20" w:after="20"/>
            </w:pPr>
            <w:r>
              <w:rPr>
                <w:rFonts w:ascii="游ゴシック" w:hAnsi="游ゴシック" w:eastAsia="游ゴシック"/>
                <w:b/>
                <w:i w:val="0"/>
                <w:sz w:val="17"/>
              </w:rPr>
              <w:t>反映済み</w:t>
            </w:r>
            <w:r>
              <w:rPr>
                <w:rFonts w:ascii="游ゴシック" w:hAnsi="游ゴシック" w:eastAsia="游ゴシック"/>
                <w:b w:val="0"/>
                <w:i w:val="0"/>
                <w:sz w:val="17"/>
              </w:rPr>
              <w:t>（当方素案と他素案の両方）</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S3</w:t>
            </w:r>
          </w:p>
        </w:tc>
        <w:tc>
          <w:tcPr>
            <w:tcW w:type="dxa" w:w="2041"/>
            <w:vAlign w:val="center"/>
          </w:tcPr>
          <w:p>
            <w:pPr>
              <w:spacing w:before="20" w:after="20"/>
            </w:pPr>
            <w:r>
              <w:rPr>
                <w:rFonts w:ascii="游ゴシック" w:hAnsi="游ゴシック" w:eastAsia="游ゴシック"/>
                <w:b/>
                <w:i w:val="0"/>
                <w:sz w:val="17"/>
              </w:rPr>
              <w:t>就労選択支援の対象の拡大</w:t>
            </w:r>
            <w:r>
              <w:rPr>
                <w:rFonts w:ascii="游ゴシック" w:hAnsi="游ゴシック" w:eastAsia="游ゴシック"/>
                <w:b w:val="0"/>
                <w:i w:val="0"/>
                <w:sz w:val="17"/>
              </w:rPr>
              <w:t>（令和9年4月から、就労継続支援Ａ型の新規利用者と、就労移行支援の標準利用期間を超える方）</w:t>
            </w:r>
          </w:p>
        </w:tc>
        <w:tc>
          <w:tcPr>
            <w:tcW w:type="dxa" w:w="1134"/>
            <w:vAlign w:val="center"/>
          </w:tcPr>
          <w:p>
            <w:pPr>
              <w:spacing w:before="20" w:after="20"/>
            </w:pPr>
            <w:r>
              <w:rPr>
                <w:rFonts w:ascii="游ゴシック" w:hAnsi="游ゴシック" w:eastAsia="游ゴシック"/>
                <w:b w:val="0"/>
                <w:i w:val="0"/>
                <w:sz w:val="17"/>
              </w:rPr>
              <w:t>予定済み＋運用は審議中</w:t>
            </w:r>
          </w:p>
        </w:tc>
        <w:tc>
          <w:tcPr>
            <w:tcW w:type="dxa" w:w="2835"/>
            <w:vAlign w:val="center"/>
          </w:tcPr>
          <w:p>
            <w:pPr>
              <w:spacing w:before="20" w:after="20"/>
            </w:pPr>
            <w:r>
              <w:rPr>
                <w:rFonts w:ascii="游ゴシック" w:hAnsi="游ゴシック" w:eastAsia="游ゴシック"/>
                <w:b/>
                <w:i w:val="0"/>
                <w:sz w:val="17"/>
              </w:rPr>
              <w:t>第2版で第2部第9章1と第3部第2章の算定方式に反映した。</w:t>
            </w:r>
            <w:r>
              <w:rPr>
                <w:rFonts w:ascii="游ゴシック" w:hAnsi="游ゴシック" w:eastAsia="游ゴシック"/>
                <w:b w:val="0"/>
                <w:i w:val="0"/>
                <w:sz w:val="17"/>
              </w:rPr>
              <w:t xml:space="preserve"> 本町のＡ型は第7期見込みが2〜4人</w:t>
            </w:r>
          </w:p>
        </w:tc>
        <w:tc>
          <w:tcPr>
            <w:tcW w:type="dxa" w:w="2721"/>
            <w:vAlign w:val="center"/>
          </w:tcPr>
          <w:p>
            <w:pPr>
              <w:spacing w:before="20" w:after="20"/>
            </w:pPr>
            <w:r>
              <w:rPr>
                <w:rFonts w:ascii="游ゴシック" w:hAnsi="游ゴシック" w:eastAsia="游ゴシック"/>
                <w:b/>
                <w:i w:val="0"/>
                <w:sz w:val="17"/>
              </w:rPr>
              <w:t>反映済み。</w:t>
            </w:r>
            <w:r>
              <w:rPr>
                <w:rFonts w:ascii="游ゴシック" w:hAnsi="游ゴシック" w:eastAsia="游ゴシック"/>
                <w:b w:val="0"/>
                <w:i w:val="0"/>
                <w:sz w:val="17"/>
              </w:rPr>
              <w:t xml:space="preserve"> Ａ型の新規利用の見込みは町に確かめる</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S4</w:t>
            </w:r>
          </w:p>
        </w:tc>
        <w:tc>
          <w:tcPr>
            <w:tcW w:type="dxa" w:w="2041"/>
            <w:vAlign w:val="center"/>
          </w:tcPr>
          <w:p>
            <w:pPr>
              <w:spacing w:before="20" w:after="20"/>
            </w:pPr>
            <w:r>
              <w:rPr>
                <w:rFonts w:ascii="游ゴシック" w:hAnsi="游ゴシック" w:eastAsia="游ゴシック"/>
                <w:b w:val="0"/>
                <w:i w:val="0"/>
                <w:sz w:val="17"/>
              </w:rPr>
              <w:t>自立支援医療の経過的特例の期限（令和9年3月31日）と延長案（令和12年3月末まで）</w:t>
            </w:r>
          </w:p>
        </w:tc>
        <w:tc>
          <w:tcPr>
            <w:tcW w:type="dxa" w:w="1134"/>
            <w:vAlign w:val="center"/>
          </w:tcPr>
          <w:p>
            <w:pPr>
              <w:spacing w:before="20" w:after="20"/>
            </w:pPr>
            <w:r>
              <w:rPr>
                <w:rFonts w:ascii="游ゴシック" w:hAnsi="游ゴシック" w:eastAsia="游ゴシック"/>
                <w:b w:val="0"/>
                <w:i w:val="0"/>
                <w:sz w:val="17"/>
              </w:rPr>
              <w:t>現行の期限は確定・延長は案</w:t>
            </w:r>
          </w:p>
        </w:tc>
        <w:tc>
          <w:tcPr>
            <w:tcW w:type="dxa" w:w="2835"/>
            <w:vAlign w:val="center"/>
          </w:tcPr>
          <w:p>
            <w:pPr>
              <w:spacing w:before="20" w:after="20"/>
            </w:pPr>
            <w:r>
              <w:rPr>
                <w:rFonts w:ascii="游ゴシック" w:hAnsi="游ゴシック" w:eastAsia="游ゴシック"/>
                <w:b w:val="0"/>
                <w:i w:val="0"/>
                <w:sz w:val="17"/>
              </w:rPr>
              <w:t>第2部に自立支援医療の受給者数の節がある（【町データ待ち】）。期限の記載はない</w:t>
            </w:r>
          </w:p>
        </w:tc>
        <w:tc>
          <w:tcPr>
            <w:tcW w:type="dxa" w:w="2721"/>
            <w:vAlign w:val="center"/>
          </w:tcPr>
          <w:p>
            <w:pPr>
              <w:spacing w:before="20" w:after="20"/>
            </w:pPr>
            <w:r>
              <w:rPr>
                <w:rFonts w:ascii="游ゴシック" w:hAnsi="游ゴシック" w:eastAsia="游ゴシック"/>
                <w:b w:val="0"/>
                <w:i w:val="0"/>
                <w:sz w:val="17"/>
              </w:rPr>
              <w:t>同じ節に、現行の期限と延長案を1文で加える。正式決定の後に改める</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S5</w:t>
            </w:r>
          </w:p>
        </w:tc>
        <w:tc>
          <w:tcPr>
            <w:tcW w:type="dxa" w:w="2041"/>
            <w:vAlign w:val="center"/>
          </w:tcPr>
          <w:p>
            <w:pPr>
              <w:spacing w:before="20" w:after="20"/>
            </w:pPr>
            <w:r>
              <w:rPr>
                <w:rFonts w:ascii="游ゴシック" w:hAnsi="游ゴシック" w:eastAsia="游ゴシック"/>
                <w:b w:val="0"/>
                <w:i w:val="0"/>
                <w:sz w:val="17"/>
              </w:rPr>
              <w:t>訪問系の見直し（同行援護・行動援護の経過措置、同一建物減算、移動の同乗、ピアサポート）</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見込量は個別に積み上げている。報酬の対応案は書いていない（書かないのが正しい）</w:t>
            </w:r>
          </w:p>
        </w:tc>
        <w:tc>
          <w:tcPr>
            <w:tcW w:type="dxa" w:w="2721"/>
            <w:vAlign w:val="center"/>
          </w:tcPr>
          <w:p>
            <w:pPr>
              <w:spacing w:before="20" w:after="20"/>
            </w:pPr>
            <w:r>
              <w:rPr>
                <w:rFonts w:ascii="游ゴシック" w:hAnsi="游ゴシック" w:eastAsia="游ゴシック"/>
                <w:b w:val="0"/>
                <w:i w:val="0"/>
                <w:sz w:val="17"/>
              </w:rPr>
              <w:t>素案には書かない。町に、同行援護・行動援護の従業者で経過措置に当たる方がいるかを事業所に確かめるよう依頼する（経過措置が終わると供給が縮む）</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S6</w:t>
            </w:r>
          </w:p>
        </w:tc>
        <w:tc>
          <w:tcPr>
            <w:tcW w:type="dxa" w:w="2041"/>
            <w:vAlign w:val="center"/>
          </w:tcPr>
          <w:p>
            <w:pPr>
              <w:spacing w:before="20" w:after="20"/>
            </w:pPr>
            <w:r>
              <w:rPr>
                <w:rFonts w:ascii="游ゴシック" w:hAnsi="游ゴシック" w:eastAsia="游ゴシック"/>
                <w:b w:val="0"/>
                <w:i w:val="0"/>
                <w:sz w:val="17"/>
              </w:rPr>
              <w:t>就労継続支援Ａ型・Ｂ型の評価の見直し（スコア・工賃・在宅・施設外就労）</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Ｂ型は実績の利用日数（月17〜18日）が見込み（23.2〜25.9日）を下回ることを分析済み</w:t>
            </w:r>
          </w:p>
        </w:tc>
        <w:tc>
          <w:tcPr>
            <w:tcW w:type="dxa" w:w="2721"/>
            <w:vAlign w:val="center"/>
          </w:tcPr>
          <w:p>
            <w:pPr>
              <w:spacing w:before="20" w:after="20"/>
            </w:pPr>
            <w:r>
              <w:rPr>
                <w:rFonts w:ascii="游ゴシック" w:hAnsi="游ゴシック" w:eastAsia="游ゴシック"/>
                <w:b w:val="0"/>
                <w:i w:val="0"/>
                <w:sz w:val="17"/>
              </w:rPr>
              <w:t>素案には書かない。報酬の告示の後に、見込量の日数の置き方を見直す</w:t>
            </w:r>
          </w:p>
        </w:tc>
        <w:tc>
          <w:tcPr>
            <w:tcW w:type="dxa" w:w="567"/>
            <w:vAlign w:val="center"/>
          </w:tcPr>
          <w:p>
            <w:pPr>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K1</w:t>
            </w:r>
          </w:p>
        </w:tc>
        <w:tc>
          <w:tcPr>
            <w:tcW w:type="dxa" w:w="2041"/>
            <w:vAlign w:val="center"/>
          </w:tcPr>
          <w:p>
            <w:pPr>
              <w:spacing w:before="20" w:after="20"/>
            </w:pPr>
            <w:r>
              <w:rPr>
                <w:rFonts w:ascii="游ゴシック" w:hAnsi="游ゴシック" w:eastAsia="游ゴシック"/>
                <w:b/>
                <w:i w:val="0"/>
                <w:sz w:val="17"/>
              </w:rPr>
              <w:t>訪問介護の供給の維持と事業所間の協働化</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第6章12に事業所間の協働化を記載している。町内事業所の休廃止の兆しを早く知る仕組みも書いてある</w:t>
            </w:r>
          </w:p>
        </w:tc>
        <w:tc>
          <w:tcPr>
            <w:tcW w:type="dxa" w:w="2721"/>
            <w:vAlign w:val="center"/>
          </w:tcPr>
          <w:p>
            <w:pPr>
              <w:spacing w:before="20" w:after="20"/>
            </w:pPr>
            <w:r>
              <w:rPr>
                <w:rFonts w:ascii="游ゴシック" w:hAnsi="游ゴシック" w:eastAsia="游ゴシック"/>
                <w:b w:val="0"/>
                <w:i w:val="0"/>
                <w:sz w:val="17"/>
              </w:rPr>
              <w:t>報酬の対応案は書かない。町内の訪問介護事業所の新規受入の可否と休廃止の予定は、既存の確認事項で引き続きお願いする</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K2</w:t>
            </w:r>
          </w:p>
        </w:tc>
        <w:tc>
          <w:tcPr>
            <w:tcW w:type="dxa" w:w="2041"/>
            <w:vAlign w:val="center"/>
          </w:tcPr>
          <w:p>
            <w:pPr>
              <w:spacing w:before="20" w:after="20"/>
            </w:pPr>
            <w:r>
              <w:rPr>
                <w:rFonts w:ascii="游ゴシック" w:hAnsi="游ゴシック" w:eastAsia="游ゴシック"/>
                <w:b w:val="0"/>
                <w:i w:val="0"/>
                <w:sz w:val="17"/>
              </w:rPr>
              <w:t>訪問看護と医療・介護の連携（24時間対応、看取り、医療保険の訪問看護）</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在宅医療・介護連携（第5章 基本目標2⑦）で、看取りと入退院支援の実績の弱さを記載している。</w:t>
            </w:r>
            <w:r>
              <w:rPr>
                <w:rFonts w:ascii="游ゴシック" w:hAnsi="游ゴシック" w:eastAsia="游ゴシック"/>
                <w:b/>
                <w:i w:val="0"/>
                <w:sz w:val="17"/>
              </w:rPr>
              <w:t>医療保険による訪問看護の利用は扱っていない</w:t>
            </w:r>
          </w:p>
        </w:tc>
        <w:tc>
          <w:tcPr>
            <w:tcW w:type="dxa" w:w="2721"/>
            <w:vAlign w:val="center"/>
          </w:tcPr>
          <w:p>
            <w:pPr>
              <w:spacing w:before="20" w:after="20"/>
            </w:pPr>
            <w:r>
              <w:rPr>
                <w:rFonts w:ascii="游ゴシック" w:hAnsi="游ゴシック" w:eastAsia="游ゴシック"/>
                <w:b w:val="0"/>
                <w:i w:val="0"/>
                <w:sz w:val="17"/>
              </w:rPr>
              <w:t>第5章 基本目標2⑦に、医療保険による訪問看護は介護保険の見込量に含まれないため、在宅医療の需要は両方を合わせて見る旨を1文で加える</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K3</w:t>
            </w:r>
          </w:p>
        </w:tc>
        <w:tc>
          <w:tcPr>
            <w:tcW w:type="dxa" w:w="2041"/>
            <w:vAlign w:val="center"/>
          </w:tcPr>
          <w:p>
            <w:pPr>
              <w:spacing w:before="20" w:after="20"/>
            </w:pPr>
            <w:r>
              <w:rPr>
                <w:rFonts w:ascii="游ゴシック" w:hAnsi="游ゴシック" w:eastAsia="游ゴシック"/>
                <w:b w:val="0"/>
                <w:i w:val="0"/>
                <w:sz w:val="17"/>
              </w:rPr>
              <w:t>居宅介護支援（主任介護支援専門員の管理者要件の見直し案、介護予防支援、障がいのある高齢者の調整）</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居宅介護支援事業所が5か所から3か所に減ったことと、ケアマネジメント基盤の確保は記載がある。管理者要件の見直しは書いていない（審議中のため書かないのが正しい）</w:t>
            </w:r>
          </w:p>
        </w:tc>
        <w:tc>
          <w:tcPr>
            <w:tcW w:type="dxa" w:w="2721"/>
            <w:vAlign w:val="center"/>
          </w:tcPr>
          <w:p>
            <w:pPr>
              <w:spacing w:before="20" w:after="20"/>
            </w:pPr>
            <w:r>
              <w:rPr>
                <w:rFonts w:ascii="游ゴシック" w:hAnsi="游ゴシック" w:eastAsia="游ゴシック"/>
                <w:b w:val="0"/>
                <w:i w:val="0"/>
                <w:sz w:val="17"/>
              </w:rPr>
              <w:t>素案には書かない。町内3事業所の管理者が主任介護支援専門員かどうかを町に確かめる（要件が変わったときの影響を測るため）</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K4</w:t>
            </w:r>
          </w:p>
        </w:tc>
        <w:tc>
          <w:tcPr>
            <w:tcW w:type="dxa" w:w="2041"/>
            <w:vAlign w:val="center"/>
          </w:tcPr>
          <w:p>
            <w:pPr>
              <w:spacing w:before="20" w:after="20"/>
            </w:pPr>
            <w:r>
              <w:rPr>
                <w:rFonts w:ascii="游ゴシック" w:hAnsi="游ゴシック" w:eastAsia="游ゴシック"/>
                <w:b w:val="0"/>
                <w:i w:val="0"/>
                <w:sz w:val="17"/>
              </w:rPr>
              <w:t>訪問入浴・訪問リハビリテーション・居宅療養管理指導</w:t>
            </w:r>
          </w:p>
        </w:tc>
        <w:tc>
          <w:tcPr>
            <w:tcW w:type="dxa" w:w="1134"/>
            <w:vAlign w:val="center"/>
          </w:tcPr>
          <w:p>
            <w:pPr>
              <w:spacing w:before="20" w:after="20"/>
            </w:pPr>
            <w:r>
              <w:rPr>
                <w:rFonts w:ascii="游ゴシック" w:hAnsi="游ゴシック" w:eastAsia="游ゴシック"/>
                <w:b w:val="0"/>
                <w:i w:val="0"/>
                <w:sz w:val="17"/>
              </w:rPr>
              <w:t>審議中</w:t>
            </w:r>
          </w:p>
        </w:tc>
        <w:tc>
          <w:tcPr>
            <w:tcW w:type="dxa" w:w="2835"/>
            <w:vAlign w:val="center"/>
          </w:tcPr>
          <w:p>
            <w:pPr>
              <w:spacing w:before="20" w:after="20"/>
            </w:pPr>
            <w:r>
              <w:rPr>
                <w:rFonts w:ascii="游ゴシック" w:hAnsi="游ゴシック" w:eastAsia="游ゴシック"/>
                <w:b w:val="0"/>
                <w:i w:val="0"/>
                <w:sz w:val="17"/>
              </w:rPr>
              <w:t>見込量は第6章2にある。いずれも利用が少ないサービス</w:t>
            </w:r>
          </w:p>
        </w:tc>
        <w:tc>
          <w:tcPr>
            <w:tcW w:type="dxa" w:w="2721"/>
            <w:vAlign w:val="center"/>
          </w:tcPr>
          <w:p>
            <w:pPr>
              <w:spacing w:before="20" w:after="20"/>
            </w:pPr>
            <w:r>
              <w:rPr>
                <w:rFonts w:ascii="游ゴシック" w:hAnsi="游ゴシック" w:eastAsia="游ゴシック"/>
                <w:b w:val="0"/>
                <w:i w:val="0"/>
                <w:sz w:val="17"/>
              </w:rPr>
              <w:t>報酬の告示の後に見込量を再計算する。それまでは書き足さない</w:t>
            </w:r>
          </w:p>
        </w:tc>
        <w:tc>
          <w:tcPr>
            <w:tcW w:type="dxa" w:w="567"/>
            <w:vAlign w:val="center"/>
          </w:tcPr>
          <w:p>
            <w:pPr>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K5</w:t>
            </w:r>
          </w:p>
        </w:tc>
        <w:tc>
          <w:tcPr>
            <w:tcW w:type="dxa" w:w="2041"/>
            <w:vAlign w:val="center"/>
          </w:tcPr>
          <w:p>
            <w:pPr>
              <w:spacing w:before="20" w:after="20"/>
            </w:pPr>
            <w:r>
              <w:rPr>
                <w:rFonts w:ascii="游ゴシック" w:hAnsi="游ゴシック" w:eastAsia="游ゴシック"/>
                <w:b w:val="0"/>
                <w:i w:val="0"/>
                <w:sz w:val="17"/>
              </w:rPr>
              <w:t>給付費の推計の順序（自然体→供給制約の補正→報酬確定後の再計算）</w:t>
            </w:r>
          </w:p>
        </w:tc>
        <w:tc>
          <w:tcPr>
            <w:tcW w:type="dxa" w:w="1134"/>
            <w:vAlign w:val="center"/>
          </w:tcPr>
          <w:p>
            <w:pPr>
              <w:spacing w:before="20" w:after="20"/>
            </w:pPr>
            <w:r>
              <w:rPr>
                <w:rFonts w:ascii="游ゴシック" w:hAnsi="游ゴシック" w:eastAsia="游ゴシック"/>
                <w:b w:val="0"/>
                <w:i w:val="0"/>
                <w:sz w:val="17"/>
              </w:rPr>
              <w:t>受領資料の提案</w:t>
            </w:r>
          </w:p>
        </w:tc>
        <w:tc>
          <w:tcPr>
            <w:tcW w:type="dxa" w:w="2835"/>
            <w:vAlign w:val="center"/>
          </w:tcPr>
          <w:p>
            <w:pPr>
              <w:spacing w:before="20" w:after="20"/>
            </w:pPr>
            <w:r>
              <w:rPr>
                <w:rFonts w:ascii="游ゴシック" w:hAnsi="游ゴシック" w:eastAsia="游ゴシック"/>
                <w:b/>
                <w:i w:val="0"/>
                <w:sz w:val="17"/>
              </w:rPr>
              <w:t>素案はこの順で組み立て済み。</w:t>
            </w:r>
            <w:r>
              <w:rPr>
                <w:rFonts w:ascii="游ゴシック" w:hAnsi="游ゴシック" w:eastAsia="游ゴシック"/>
                <w:b w:val="0"/>
                <w:i w:val="0"/>
                <w:sz w:val="17"/>
              </w:rPr>
              <w:t xml:space="preserve"> 自然体推計（第6章3）、人材の供給制約からみた妥当性（第6章6）、介護報酬改定率による保険料の感応度（第6章5）がある</w:t>
            </w:r>
          </w:p>
        </w:tc>
        <w:tc>
          <w:tcPr>
            <w:tcW w:type="dxa" w:w="2721"/>
            <w:vAlign w:val="center"/>
          </w:tcPr>
          <w:p>
            <w:pPr>
              <w:spacing w:before="20" w:after="20"/>
            </w:pPr>
            <w:r>
              <w:rPr>
                <w:rFonts w:ascii="游ゴシック" w:hAnsi="游ゴシック" w:eastAsia="游ゴシック"/>
                <w:b w:val="0"/>
                <w:i w:val="0"/>
                <w:sz w:val="17"/>
              </w:rPr>
              <w:t>対応不要。改定率が示された段階（令和8年12月頃）で再計算する</w:t>
            </w:r>
          </w:p>
        </w:tc>
        <w:tc>
          <w:tcPr>
            <w:tcW w:type="dxa" w:w="567"/>
            <w:vAlign w:val="center"/>
          </w:tcPr>
          <w:p>
            <w:pPr>
              <w:spacing w:before="20" w:after="20"/>
            </w:pPr>
            <w:r>
              <w:rPr>
                <w:rFonts w:ascii="游ゴシック" w:hAnsi="游ゴシック" w:eastAsia="游ゴシック"/>
                <w:b w:val="0"/>
                <w:i w:val="0"/>
                <w:sz w:val="17"/>
              </w:rPr>
              <w:t>―</w:t>
            </w:r>
          </w:p>
        </w:tc>
      </w:tr>
      <w:tr>
        <w:tc>
          <w:tcPr>
            <w:tcW w:type="dxa" w:w="454"/>
            <w:vAlign w:val="center"/>
          </w:tcPr>
          <w:p>
            <w:pPr>
              <w:spacing w:before="20" w:after="20"/>
            </w:pPr>
            <w:r>
              <w:rPr>
                <w:rFonts w:ascii="游ゴシック" w:hAnsi="游ゴシック" w:eastAsia="游ゴシック"/>
                <w:b w:val="0"/>
                <w:i w:val="0"/>
                <w:sz w:val="17"/>
              </w:rPr>
              <w:t>X1</w:t>
            </w:r>
          </w:p>
        </w:tc>
        <w:tc>
          <w:tcPr>
            <w:tcW w:type="dxa" w:w="2041"/>
            <w:vAlign w:val="center"/>
          </w:tcPr>
          <w:p>
            <w:pPr>
              <w:spacing w:before="20" w:after="20"/>
            </w:pPr>
            <w:r>
              <w:rPr>
                <w:rFonts w:ascii="游ゴシック" w:hAnsi="游ゴシック" w:eastAsia="游ゴシック"/>
                <w:b w:val="0"/>
                <w:i w:val="0"/>
                <w:sz w:val="17"/>
              </w:rPr>
              <w:t>両制度の境界（65歳での移行、共生型サービス、成年後見・権利擁護）</w:t>
            </w:r>
          </w:p>
        </w:tc>
        <w:tc>
          <w:tcPr>
            <w:tcW w:type="dxa" w:w="1134"/>
            <w:vAlign w:val="center"/>
          </w:tcPr>
          <w:p>
            <w:pPr>
              <w:spacing w:before="20" w:after="20"/>
            </w:pPr>
            <w:r>
              <w:rPr>
                <w:rFonts w:ascii="游ゴシック" w:hAnsi="游ゴシック" w:eastAsia="游ゴシック"/>
                <w:b w:val="0"/>
                <w:i w:val="0"/>
                <w:sz w:val="17"/>
              </w:rPr>
              <w:t>現行制度</w:t>
            </w:r>
          </w:p>
        </w:tc>
        <w:tc>
          <w:tcPr>
            <w:tcW w:type="dxa" w:w="2835"/>
            <w:vAlign w:val="center"/>
          </w:tcPr>
          <w:p>
            <w:pPr>
              <w:spacing w:before="20" w:after="20"/>
            </w:pPr>
            <w:r>
              <w:rPr>
                <w:rFonts w:ascii="游ゴシック" w:hAnsi="游ゴシック" w:eastAsia="游ゴシック"/>
                <w:b w:val="0"/>
                <w:i w:val="0"/>
                <w:sz w:val="17"/>
              </w:rPr>
              <w:t>両計画に記載がある。接点の記述は両計画に同じ文言で入れてあり、点検済み（ono_setten.py）</w:t>
            </w:r>
          </w:p>
        </w:tc>
        <w:tc>
          <w:tcPr>
            <w:tcW w:type="dxa" w:w="2721"/>
            <w:vAlign w:val="center"/>
          </w:tcPr>
          <w:p>
            <w:pPr>
              <w:spacing w:before="20" w:after="20"/>
            </w:pPr>
            <w:r>
              <w:rPr>
                <w:rFonts w:ascii="游ゴシック" w:hAnsi="游ゴシック" w:eastAsia="游ゴシック"/>
                <w:b w:val="0"/>
                <w:i w:val="0"/>
                <w:sz w:val="17"/>
              </w:rPr>
              <w:t>対応不要</w:t>
            </w:r>
          </w:p>
        </w:tc>
        <w:tc>
          <w:tcPr>
            <w:tcW w:type="dxa" w:w="567"/>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【表5】論点の裏づけ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2948"/>
        <w:gridCol w:w="6350"/>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原典の頁</w:t>
            </w:r>
          </w:p>
        </w:tc>
        <w:tc>
          <w:tcPr>
            <w:tcW w:type="dxa" w:w="6350"/>
            <w:shd w:val="clear" w:fill="1F3864"/>
            <w:vAlign w:val="center"/>
          </w:tcPr>
          <w:p>
            <w:pPr>
              <w:spacing w:before="20" w:after="20"/>
              <w:jc w:val="center"/>
            </w:pPr>
            <w:r>
              <w:rPr>
                <w:rFonts w:ascii="游ゴシック" w:hAnsi="游ゴシック" w:eastAsia="游ゴシック"/>
                <w:b/>
                <w:i w:val="0"/>
                <w:color w:val="FFFFFF"/>
                <w:sz w:val="17"/>
              </w:rPr>
              <w:t>素案での語の出現</w:t>
            </w:r>
          </w:p>
        </w:tc>
      </w:tr>
      <w:tr>
        <w:tc>
          <w:tcPr>
            <w:tcW w:type="dxa" w:w="454"/>
            <w:vAlign w:val="center"/>
          </w:tcPr>
          <w:p>
            <w:pPr>
              <w:spacing w:before="20" w:after="20"/>
            </w:pPr>
            <w:r>
              <w:rPr>
                <w:rFonts w:ascii="游ゴシック" w:hAnsi="游ゴシック" w:eastAsia="游ゴシック"/>
                <w:b w:val="0"/>
                <w:i w:val="0"/>
                <w:sz w:val="17"/>
              </w:rPr>
              <w:t>S1</w:t>
            </w:r>
          </w:p>
        </w:tc>
        <w:tc>
          <w:tcPr>
            <w:tcW w:type="dxa" w:w="2948"/>
            <w:vAlign w:val="center"/>
          </w:tcPr>
          <w:p>
            <w:pPr>
              <w:spacing w:before="20" w:after="20"/>
            </w:pPr>
            <w:r>
              <w:rPr>
                <w:rFonts w:ascii="游ゴシック" w:hAnsi="游ゴシック" w:eastAsia="游ゴシック"/>
                <w:b w:val="0"/>
                <w:i w:val="0"/>
                <w:sz w:val="17"/>
              </w:rPr>
              <w:t>障2 6頁、障2 9頁</w:t>
            </w:r>
          </w:p>
        </w:tc>
        <w:tc>
          <w:tcPr>
            <w:tcW w:type="dxa" w:w="6350"/>
            <w:vAlign w:val="center"/>
          </w:tcPr>
          <w:p>
            <w:pPr>
              <w:spacing w:before="20" w:after="20"/>
            </w:pPr>
            <w:r>
              <w:rPr>
                <w:rFonts w:ascii="游ゴシック" w:hAnsi="游ゴシック" w:eastAsia="游ゴシック"/>
                <w:b w:val="0"/>
                <w:i w:val="0"/>
                <w:sz w:val="17"/>
              </w:rPr>
              <w:t>障：特定地域障害福祉サービス 1・振興山村 1</w:t>
            </w:r>
          </w:p>
        </w:tc>
      </w:tr>
      <w:tr>
        <w:tc>
          <w:tcPr>
            <w:tcW w:type="dxa" w:w="454"/>
            <w:vAlign w:val="center"/>
          </w:tcPr>
          <w:p>
            <w:pPr>
              <w:spacing w:before="20" w:after="20"/>
            </w:pPr>
            <w:r>
              <w:rPr>
                <w:rFonts w:ascii="游ゴシック" w:hAnsi="游ゴシック" w:eastAsia="游ゴシック"/>
                <w:b w:val="0"/>
                <w:i w:val="0"/>
                <w:sz w:val="17"/>
              </w:rPr>
              <w:t>S2</w:t>
            </w:r>
          </w:p>
        </w:tc>
        <w:tc>
          <w:tcPr>
            <w:tcW w:type="dxa" w:w="2948"/>
            <w:vAlign w:val="center"/>
          </w:tcPr>
          <w:p>
            <w:pPr>
              <w:spacing w:before="20" w:after="20"/>
            </w:pPr>
            <w:r>
              <w:rPr>
                <w:rFonts w:ascii="游ゴシック" w:hAnsi="游ゴシック" w:eastAsia="游ゴシック"/>
                <w:b w:val="0"/>
                <w:i w:val="0"/>
                <w:sz w:val="17"/>
              </w:rPr>
              <w:t>―</w:t>
            </w:r>
          </w:p>
        </w:tc>
        <w:tc>
          <w:tcPr>
            <w:tcW w:type="dxa" w:w="6350"/>
            <w:vAlign w:val="center"/>
          </w:tcPr>
          <w:p>
            <w:pPr>
              <w:spacing w:before="20" w:after="20"/>
            </w:pPr>
            <w:r>
              <w:rPr>
                <w:rFonts w:ascii="游ゴシック" w:hAnsi="游ゴシック" w:eastAsia="游ゴシック"/>
                <w:b w:val="0"/>
                <w:i w:val="0"/>
                <w:sz w:val="17"/>
              </w:rPr>
              <w:t>障：別表第五 2・全部過疎 2</w:t>
            </w:r>
          </w:p>
        </w:tc>
      </w:tr>
      <w:tr>
        <w:tc>
          <w:tcPr>
            <w:tcW w:type="dxa" w:w="454"/>
            <w:vAlign w:val="center"/>
          </w:tcPr>
          <w:p>
            <w:pPr>
              <w:spacing w:before="20" w:after="20"/>
            </w:pPr>
            <w:r>
              <w:rPr>
                <w:rFonts w:ascii="游ゴシック" w:hAnsi="游ゴシック" w:eastAsia="游ゴシック"/>
                <w:b w:val="0"/>
                <w:i w:val="0"/>
                <w:sz w:val="17"/>
              </w:rPr>
              <w:t>S3</w:t>
            </w:r>
          </w:p>
        </w:tc>
        <w:tc>
          <w:tcPr>
            <w:tcW w:type="dxa" w:w="2948"/>
            <w:vAlign w:val="center"/>
          </w:tcPr>
          <w:p>
            <w:pPr>
              <w:spacing w:before="20" w:after="20"/>
            </w:pPr>
            <w:r>
              <w:rPr>
                <w:rFonts w:ascii="游ゴシック" w:hAnsi="游ゴシック" w:eastAsia="游ゴシック"/>
                <w:b w:val="0"/>
                <w:i w:val="0"/>
                <w:sz w:val="17"/>
              </w:rPr>
              <w:t>障1 39頁、障1 40頁</w:t>
            </w:r>
          </w:p>
        </w:tc>
        <w:tc>
          <w:tcPr>
            <w:tcW w:type="dxa" w:w="6350"/>
            <w:vAlign w:val="center"/>
          </w:tcPr>
          <w:p>
            <w:pPr>
              <w:spacing w:before="20" w:after="20"/>
            </w:pPr>
            <w:r>
              <w:rPr>
                <w:rFonts w:ascii="游ゴシック" w:hAnsi="游ゴシック" w:eastAsia="游ゴシック"/>
                <w:b w:val="0"/>
                <w:i w:val="0"/>
                <w:sz w:val="17"/>
              </w:rPr>
              <w:t>障：就労選択支援 15・Ａ型の新規利用の見込み 3</w:t>
            </w:r>
          </w:p>
        </w:tc>
      </w:tr>
      <w:tr>
        <w:tc>
          <w:tcPr>
            <w:tcW w:type="dxa" w:w="454"/>
            <w:vAlign w:val="center"/>
          </w:tcPr>
          <w:p>
            <w:pPr>
              <w:spacing w:before="20" w:after="20"/>
            </w:pPr>
            <w:r>
              <w:rPr>
                <w:rFonts w:ascii="游ゴシック" w:hAnsi="游ゴシック" w:eastAsia="游ゴシック"/>
                <w:b w:val="0"/>
                <w:i w:val="0"/>
                <w:sz w:val="17"/>
              </w:rPr>
              <w:t>S4</w:t>
            </w:r>
          </w:p>
        </w:tc>
        <w:tc>
          <w:tcPr>
            <w:tcW w:type="dxa" w:w="2948"/>
            <w:vAlign w:val="center"/>
          </w:tcPr>
          <w:p>
            <w:pPr>
              <w:spacing w:before="20" w:after="20"/>
            </w:pPr>
            <w:r>
              <w:rPr>
                <w:rFonts w:ascii="游ゴシック" w:hAnsi="游ゴシック" w:eastAsia="游ゴシック"/>
                <w:b w:val="0"/>
                <w:i w:val="0"/>
                <w:sz w:val="17"/>
              </w:rPr>
              <w:t>障3 4頁、障3 5頁</w:t>
            </w:r>
          </w:p>
        </w:tc>
        <w:tc>
          <w:tcPr>
            <w:tcW w:type="dxa" w:w="6350"/>
            <w:vAlign w:val="center"/>
          </w:tcPr>
          <w:p>
            <w:pPr>
              <w:spacing w:before="20" w:after="20"/>
            </w:pPr>
            <w:r>
              <w:rPr>
                <w:rFonts w:ascii="游ゴシック" w:hAnsi="游ゴシック" w:eastAsia="游ゴシック"/>
                <w:b w:val="0"/>
                <w:i w:val="0"/>
                <w:sz w:val="17"/>
              </w:rPr>
              <w:t>障：自立支援医療 2</w:t>
            </w:r>
          </w:p>
        </w:tc>
      </w:tr>
      <w:tr>
        <w:tc>
          <w:tcPr>
            <w:tcW w:type="dxa" w:w="454"/>
            <w:vAlign w:val="center"/>
          </w:tcPr>
          <w:p>
            <w:pPr>
              <w:spacing w:before="20" w:after="20"/>
            </w:pPr>
            <w:r>
              <w:rPr>
                <w:rFonts w:ascii="游ゴシック" w:hAnsi="游ゴシック" w:eastAsia="游ゴシック"/>
                <w:b w:val="0"/>
                <w:i w:val="0"/>
                <w:sz w:val="17"/>
              </w:rPr>
              <w:t>S5</w:t>
            </w:r>
          </w:p>
        </w:tc>
        <w:tc>
          <w:tcPr>
            <w:tcW w:type="dxa" w:w="2948"/>
            <w:vAlign w:val="center"/>
          </w:tcPr>
          <w:p>
            <w:pPr>
              <w:spacing w:before="20" w:after="20"/>
            </w:pPr>
            <w:r>
              <w:rPr>
                <w:rFonts w:ascii="游ゴシック" w:hAnsi="游ゴシック" w:eastAsia="游ゴシック"/>
                <w:b w:val="0"/>
                <w:i w:val="0"/>
                <w:sz w:val="17"/>
              </w:rPr>
              <w:t>障1 7頁、障1 13頁、障1 15頁</w:t>
            </w:r>
          </w:p>
        </w:tc>
        <w:tc>
          <w:tcPr>
            <w:tcW w:type="dxa" w:w="6350"/>
            <w:vAlign w:val="center"/>
          </w:tcPr>
          <w:p>
            <w:pPr>
              <w:spacing w:before="20" w:after="20"/>
            </w:pPr>
            <w:r>
              <w:rPr>
                <w:rFonts w:ascii="游ゴシック" w:hAnsi="游ゴシック" w:eastAsia="游ゴシック"/>
                <w:b w:val="0"/>
                <w:i w:val="0"/>
                <w:sz w:val="17"/>
              </w:rPr>
              <w:t>障：同行援護 4・行動援護 4</w:t>
            </w:r>
          </w:p>
        </w:tc>
      </w:tr>
      <w:tr>
        <w:tc>
          <w:tcPr>
            <w:tcW w:type="dxa" w:w="454"/>
            <w:vAlign w:val="center"/>
          </w:tcPr>
          <w:p>
            <w:pPr>
              <w:spacing w:before="20" w:after="20"/>
            </w:pPr>
            <w:r>
              <w:rPr>
                <w:rFonts w:ascii="游ゴシック" w:hAnsi="游ゴシック" w:eastAsia="游ゴシック"/>
                <w:b w:val="0"/>
                <w:i w:val="0"/>
                <w:sz w:val="17"/>
              </w:rPr>
              <w:t>S6</w:t>
            </w:r>
          </w:p>
        </w:tc>
        <w:tc>
          <w:tcPr>
            <w:tcW w:type="dxa" w:w="2948"/>
            <w:vAlign w:val="center"/>
          </w:tcPr>
          <w:p>
            <w:pPr>
              <w:spacing w:before="20" w:after="20"/>
            </w:pPr>
            <w:r>
              <w:rPr>
                <w:rFonts w:ascii="游ゴシック" w:hAnsi="游ゴシック" w:eastAsia="游ゴシック"/>
                <w:b w:val="0"/>
                <w:i w:val="0"/>
                <w:sz w:val="17"/>
              </w:rPr>
              <w:t>障1 43頁、障1 28頁</w:t>
            </w:r>
          </w:p>
        </w:tc>
        <w:tc>
          <w:tcPr>
            <w:tcW w:type="dxa" w:w="6350"/>
            <w:vAlign w:val="center"/>
          </w:tcPr>
          <w:p>
            <w:pPr>
              <w:spacing w:before="20" w:after="20"/>
            </w:pPr>
            <w:r>
              <w:rPr>
                <w:rFonts w:ascii="游ゴシック" w:hAnsi="游ゴシック" w:eastAsia="游ゴシック"/>
                <w:b w:val="0"/>
                <w:i w:val="0"/>
                <w:sz w:val="17"/>
              </w:rPr>
              <w:t>障：施設外 0</w:t>
            </w:r>
          </w:p>
        </w:tc>
      </w:tr>
      <w:tr>
        <w:tc>
          <w:tcPr>
            <w:tcW w:type="dxa" w:w="454"/>
            <w:vAlign w:val="center"/>
          </w:tcPr>
          <w:p>
            <w:pPr>
              <w:spacing w:before="20" w:after="20"/>
            </w:pPr>
            <w:r>
              <w:rPr>
                <w:rFonts w:ascii="游ゴシック" w:hAnsi="游ゴシック" w:eastAsia="游ゴシック"/>
                <w:b w:val="0"/>
                <w:i w:val="0"/>
                <w:sz w:val="17"/>
              </w:rPr>
              <w:t>K1</w:t>
            </w:r>
          </w:p>
        </w:tc>
        <w:tc>
          <w:tcPr>
            <w:tcW w:type="dxa" w:w="2948"/>
            <w:vAlign w:val="center"/>
          </w:tcPr>
          <w:p>
            <w:pPr>
              <w:spacing w:before="20" w:after="20"/>
            </w:pPr>
            <w:r>
              <w:rPr>
                <w:rFonts w:ascii="游ゴシック" w:hAnsi="游ゴシック" w:eastAsia="游ゴシック"/>
                <w:b w:val="0"/>
                <w:i w:val="0"/>
                <w:sz w:val="17"/>
              </w:rPr>
              <w:t>介1 22頁、介1 24頁</w:t>
            </w:r>
          </w:p>
        </w:tc>
        <w:tc>
          <w:tcPr>
            <w:tcW w:type="dxa" w:w="6350"/>
            <w:vAlign w:val="center"/>
          </w:tcPr>
          <w:p>
            <w:pPr>
              <w:spacing w:before="20" w:after="20"/>
            </w:pPr>
            <w:r>
              <w:rPr>
                <w:rFonts w:ascii="游ゴシック" w:hAnsi="游ゴシック" w:eastAsia="游ゴシック"/>
                <w:b w:val="0"/>
                <w:i w:val="0"/>
                <w:sz w:val="17"/>
              </w:rPr>
              <w:t>高：協働化 2・訪問介護 18</w:t>
            </w:r>
          </w:p>
        </w:tc>
      </w:tr>
      <w:tr>
        <w:tc>
          <w:tcPr>
            <w:tcW w:type="dxa" w:w="454"/>
            <w:vAlign w:val="center"/>
          </w:tcPr>
          <w:p>
            <w:pPr>
              <w:spacing w:before="20" w:after="20"/>
            </w:pPr>
            <w:r>
              <w:rPr>
                <w:rFonts w:ascii="游ゴシック" w:hAnsi="游ゴシック" w:eastAsia="游ゴシック"/>
                <w:b w:val="0"/>
                <w:i w:val="0"/>
                <w:sz w:val="17"/>
              </w:rPr>
              <w:t>K2</w:t>
            </w:r>
          </w:p>
        </w:tc>
        <w:tc>
          <w:tcPr>
            <w:tcW w:type="dxa" w:w="2948"/>
            <w:vAlign w:val="center"/>
          </w:tcPr>
          <w:p>
            <w:pPr>
              <w:spacing w:before="20" w:after="20"/>
            </w:pPr>
            <w:r>
              <w:rPr>
                <w:rFonts w:ascii="游ゴシック" w:hAnsi="游ゴシック" w:eastAsia="游ゴシック"/>
                <w:b w:val="0"/>
                <w:i w:val="0"/>
                <w:sz w:val="17"/>
              </w:rPr>
              <w:t>介3 6頁、介3 33頁</w:t>
            </w:r>
          </w:p>
        </w:tc>
        <w:tc>
          <w:tcPr>
            <w:tcW w:type="dxa" w:w="6350"/>
            <w:vAlign w:val="center"/>
          </w:tcPr>
          <w:p>
            <w:pPr>
              <w:spacing w:before="20" w:after="20"/>
            </w:pPr>
            <w:r>
              <w:rPr>
                <w:rFonts w:ascii="游ゴシック" w:hAnsi="游ゴシック" w:eastAsia="游ゴシック"/>
                <w:b w:val="0"/>
                <w:i w:val="0"/>
                <w:sz w:val="17"/>
              </w:rPr>
              <w:t>高：訪問看護 17・看取り 9</w:t>
            </w:r>
          </w:p>
        </w:tc>
      </w:tr>
      <w:tr>
        <w:tc>
          <w:tcPr>
            <w:tcW w:type="dxa" w:w="454"/>
            <w:vAlign w:val="center"/>
          </w:tcPr>
          <w:p>
            <w:pPr>
              <w:spacing w:before="20" w:after="20"/>
            </w:pPr>
            <w:r>
              <w:rPr>
                <w:rFonts w:ascii="游ゴシック" w:hAnsi="游ゴシック" w:eastAsia="游ゴシック"/>
                <w:b w:val="0"/>
                <w:i w:val="0"/>
                <w:sz w:val="17"/>
              </w:rPr>
              <w:t>K3</w:t>
            </w:r>
          </w:p>
        </w:tc>
        <w:tc>
          <w:tcPr>
            <w:tcW w:type="dxa" w:w="2948"/>
            <w:vAlign w:val="center"/>
          </w:tcPr>
          <w:p>
            <w:pPr>
              <w:spacing w:before="20" w:after="20"/>
            </w:pPr>
            <w:r>
              <w:rPr>
                <w:rFonts w:ascii="游ゴシック" w:hAnsi="游ゴシック" w:eastAsia="游ゴシック"/>
                <w:b w:val="0"/>
                <w:i w:val="0"/>
                <w:sz w:val="17"/>
              </w:rPr>
              <w:t>介6 27頁、介6 44頁</w:t>
            </w:r>
          </w:p>
        </w:tc>
        <w:tc>
          <w:tcPr>
            <w:tcW w:type="dxa" w:w="6350"/>
            <w:vAlign w:val="center"/>
          </w:tcPr>
          <w:p>
            <w:pPr>
              <w:spacing w:before="20" w:after="20"/>
            </w:pPr>
            <w:r>
              <w:rPr>
                <w:rFonts w:ascii="游ゴシック" w:hAnsi="游ゴシック" w:eastAsia="游ゴシック"/>
                <w:b w:val="0"/>
                <w:i w:val="0"/>
                <w:sz w:val="17"/>
              </w:rPr>
              <w:t>高：主任介護支援専門員 0</w:t>
            </w:r>
          </w:p>
        </w:tc>
      </w:tr>
      <w:tr>
        <w:tc>
          <w:tcPr>
            <w:tcW w:type="dxa" w:w="454"/>
            <w:vAlign w:val="center"/>
          </w:tcPr>
          <w:p>
            <w:pPr>
              <w:spacing w:before="20" w:after="20"/>
            </w:pPr>
            <w:r>
              <w:rPr>
                <w:rFonts w:ascii="游ゴシック" w:hAnsi="游ゴシック" w:eastAsia="游ゴシック"/>
                <w:b w:val="0"/>
                <w:i w:val="0"/>
                <w:sz w:val="17"/>
              </w:rPr>
              <w:t>K4</w:t>
            </w:r>
          </w:p>
        </w:tc>
        <w:tc>
          <w:tcPr>
            <w:tcW w:type="dxa" w:w="2948"/>
            <w:vAlign w:val="center"/>
          </w:tcPr>
          <w:p>
            <w:pPr>
              <w:spacing w:before="20" w:after="20"/>
            </w:pPr>
            <w:r>
              <w:rPr>
                <w:rFonts w:ascii="游ゴシック" w:hAnsi="游ゴシック" w:eastAsia="游ゴシック"/>
                <w:b w:val="0"/>
                <w:i w:val="0"/>
                <w:sz w:val="17"/>
              </w:rPr>
              <w:t>介2 7頁、介4 14頁、介5 21頁</w:t>
            </w:r>
          </w:p>
        </w:tc>
        <w:tc>
          <w:tcPr>
            <w:tcW w:type="dxa" w:w="6350"/>
            <w:vAlign w:val="center"/>
          </w:tcPr>
          <w:p>
            <w:pPr>
              <w:spacing w:before="20" w:after="20"/>
            </w:pPr>
            <w:r>
              <w:rPr>
                <w:rFonts w:ascii="游ゴシック" w:hAnsi="游ゴシック" w:eastAsia="游ゴシック"/>
                <w:b w:val="0"/>
                <w:i w:val="0"/>
                <w:sz w:val="17"/>
              </w:rPr>
              <w:t>高：訪問入浴 4・訪問リハビリ 3・居宅療養管理指導 5</w:t>
            </w:r>
          </w:p>
        </w:tc>
      </w:tr>
      <w:tr>
        <w:tc>
          <w:tcPr>
            <w:tcW w:type="dxa" w:w="454"/>
            <w:vAlign w:val="center"/>
          </w:tcPr>
          <w:p>
            <w:pPr>
              <w:spacing w:before="20" w:after="20"/>
            </w:pPr>
            <w:r>
              <w:rPr>
                <w:rFonts w:ascii="游ゴシック" w:hAnsi="游ゴシック" w:eastAsia="游ゴシック"/>
                <w:b w:val="0"/>
                <w:i w:val="0"/>
                <w:sz w:val="17"/>
              </w:rPr>
              <w:t>K5</w:t>
            </w:r>
          </w:p>
        </w:tc>
        <w:tc>
          <w:tcPr>
            <w:tcW w:type="dxa" w:w="2948"/>
            <w:vAlign w:val="center"/>
          </w:tcPr>
          <w:p>
            <w:pPr>
              <w:spacing w:before="20" w:after="20"/>
            </w:pPr>
            <w:r>
              <w:rPr>
                <w:rFonts w:ascii="游ゴシック" w:hAnsi="游ゴシック" w:eastAsia="游ゴシック"/>
                <w:b w:val="0"/>
                <w:i w:val="0"/>
                <w:sz w:val="17"/>
              </w:rPr>
              <w:t>―</w:t>
            </w:r>
          </w:p>
        </w:tc>
        <w:tc>
          <w:tcPr>
            <w:tcW w:type="dxa" w:w="6350"/>
            <w:vAlign w:val="center"/>
          </w:tcPr>
          <w:p>
            <w:pPr>
              <w:spacing w:before="20" w:after="20"/>
            </w:pPr>
            <w:r>
              <w:rPr>
                <w:rFonts w:ascii="游ゴシック" w:hAnsi="游ゴシック" w:eastAsia="游ゴシック"/>
                <w:b w:val="0"/>
                <w:i w:val="0"/>
                <w:sz w:val="17"/>
              </w:rPr>
              <w:t>高：自然体 9・人材の供給制約 7・介護報酬改定 2</w:t>
            </w:r>
          </w:p>
        </w:tc>
      </w:tr>
      <w:tr>
        <w:tc>
          <w:tcPr>
            <w:tcW w:type="dxa" w:w="454"/>
            <w:vAlign w:val="center"/>
          </w:tcPr>
          <w:p>
            <w:pPr>
              <w:spacing w:before="20" w:after="20"/>
            </w:pPr>
            <w:r>
              <w:rPr>
                <w:rFonts w:ascii="游ゴシック" w:hAnsi="游ゴシック" w:eastAsia="游ゴシック"/>
                <w:b w:val="0"/>
                <w:i w:val="0"/>
                <w:sz w:val="17"/>
              </w:rPr>
              <w:t>X1</w:t>
            </w:r>
          </w:p>
        </w:tc>
        <w:tc>
          <w:tcPr>
            <w:tcW w:type="dxa" w:w="2948"/>
            <w:vAlign w:val="center"/>
          </w:tcPr>
          <w:p>
            <w:pPr>
              <w:spacing w:before="20" w:after="20"/>
            </w:pPr>
            <w:r>
              <w:rPr>
                <w:rFonts w:ascii="游ゴシック" w:hAnsi="游ゴシック" w:eastAsia="游ゴシック"/>
                <w:b w:val="0"/>
                <w:i w:val="0"/>
                <w:sz w:val="17"/>
              </w:rPr>
              <w:t>―</w:t>
            </w:r>
          </w:p>
        </w:tc>
        <w:tc>
          <w:tcPr>
            <w:tcW w:type="dxa" w:w="6350"/>
            <w:vAlign w:val="center"/>
          </w:tcPr>
          <w:p>
            <w:pPr>
              <w:spacing w:before="20" w:after="20"/>
            </w:pPr>
            <w:r>
              <w:rPr>
                <w:rFonts w:ascii="游ゴシック" w:hAnsi="游ゴシック" w:eastAsia="游ゴシック"/>
                <w:b w:val="0"/>
                <w:i w:val="0"/>
                <w:sz w:val="17"/>
              </w:rPr>
              <w:t>高：65歳 21・共生型 4・成年後見 22／障：65歳 21・共生型 7・成年後見 9</w:t>
            </w:r>
          </w:p>
        </w:tc>
      </w:tr>
    </w:tbl>
    <w:p>
      <w:pPr>
        <w:spacing w:after="40"/>
      </w:pPr>
    </w:p>
    <w:p>
      <w:pPr>
        <w:spacing w:before="40" w:after="160"/>
        <w:ind w:left="113"/>
      </w:pPr>
      <w:r>
        <w:rPr>
          <w:rFonts w:ascii="游ゴシック" w:hAnsi="游ゴシック" w:eastAsia="游ゴシック"/>
          <w:b w:val="0"/>
          <w:i w:val="0"/>
          <w:sz w:val="17"/>
        </w:rPr>
        <w:t>素案での語の出現＝高：高齢者計画素案（第12版）、障：障がい計画素案（第3版）の本文と表での出現回数。</w:t>
      </w:r>
    </w:p>
    <w:p>
      <w:pPr>
        <w:pStyle w:val="Heading1"/>
        <w:keepNext/>
        <w:spacing w:before="240" w:after="100"/>
      </w:pPr>
      <w:bookmarkStart w:id="106" w:name="_Toc_006"/>
      <w:r>
        <w:rPr>
          <w:rFonts w:ascii="游ゴシック" w:hAnsi="游ゴシック" w:eastAsia="游ゴシック"/>
          <w:b/>
          <w:i w:val="0"/>
          <w:color w:val="2E74B5"/>
          <w:sz w:val="30"/>
        </w:rPr>
        <w:t>6　町に確かめること</w:t>
      </w:r>
      <w:bookmarkEnd w:id="106"/>
    </w:p>
    <w:p>
      <w:pPr>
        <w:keepNext/>
        <w:spacing w:before="200" w:after="40"/>
      </w:pPr>
      <w:r>
        <w:rPr>
          <w:rFonts w:ascii="游ゴシック" w:hAnsi="游ゴシック" w:eastAsia="游ゴシック"/>
          <w:b/>
          <w:i w:val="0"/>
          <w:color w:val="1F4D78"/>
          <w:sz w:val="22"/>
        </w:rPr>
        <w:t>【表6】町に確かめること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009"/>
        <w:gridCol w:w="907"/>
        <w:gridCol w:w="238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論点</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時期</w:t>
            </w:r>
          </w:p>
        </w:tc>
      </w:tr>
      <w:tr>
        <w:tc>
          <w:tcPr>
            <w:tcW w:type="dxa" w:w="454"/>
            <w:vAlign w:val="center"/>
          </w:tcPr>
          <w:p>
            <w:pPr>
              <w:spacing w:before="20" w:after="20"/>
            </w:pPr>
            <w:r>
              <w:rPr>
                <w:rFonts w:ascii="游ゴシック" w:hAnsi="游ゴシック" w:eastAsia="游ゴシック"/>
                <w:b w:val="0"/>
                <w:i w:val="0"/>
                <w:sz w:val="17"/>
              </w:rPr>
              <w:t>1</w:t>
            </w:r>
          </w:p>
        </w:tc>
        <w:tc>
          <w:tcPr>
            <w:tcW w:type="dxa" w:w="6009"/>
            <w:vAlign w:val="center"/>
          </w:tcPr>
          <w:p>
            <w:pPr>
              <w:spacing w:before="20" w:after="20"/>
            </w:pPr>
            <w:r>
              <w:rPr>
                <w:rFonts w:ascii="游ゴシック" w:hAnsi="游ゴシック" w:eastAsia="游ゴシック"/>
                <w:b w:val="0"/>
                <w:i w:val="0"/>
                <w:sz w:val="17"/>
              </w:rPr>
              <w:t>特定地域（障がい・介護）の指定について、県から意向を聞かれたときの町の考え方</w:t>
            </w:r>
          </w:p>
        </w:tc>
        <w:tc>
          <w:tcPr>
            <w:tcW w:type="dxa" w:w="907"/>
            <w:vAlign w:val="center"/>
          </w:tcPr>
          <w:p>
            <w:pPr>
              <w:spacing w:before="20" w:after="20"/>
            </w:pPr>
            <w:r>
              <w:rPr>
                <w:rFonts w:ascii="游ゴシック" w:hAnsi="游ゴシック" w:eastAsia="游ゴシック"/>
                <w:b w:val="0"/>
                <w:i w:val="0"/>
                <w:sz w:val="17"/>
              </w:rPr>
              <w:t>S1</w:t>
            </w:r>
          </w:p>
        </w:tc>
        <w:tc>
          <w:tcPr>
            <w:tcW w:type="dxa" w:w="2381"/>
            <w:vAlign w:val="center"/>
          </w:tcPr>
          <w:p>
            <w:pPr>
              <w:spacing w:before="20" w:after="20"/>
            </w:pPr>
            <w:r>
              <w:rPr>
                <w:rFonts w:ascii="游ゴシック" w:hAnsi="游ゴシック" w:eastAsia="游ゴシック"/>
                <w:b w:val="0"/>
                <w:i w:val="0"/>
                <w:sz w:val="17"/>
              </w:rPr>
              <w:t>県の照会の時期</w:t>
            </w:r>
          </w:p>
        </w:tc>
      </w:tr>
      <w:tr>
        <w:tc>
          <w:tcPr>
            <w:tcW w:type="dxa" w:w="454"/>
            <w:vAlign w:val="center"/>
          </w:tcPr>
          <w:p>
            <w:pPr>
              <w:spacing w:before="20" w:after="20"/>
            </w:pPr>
            <w:r>
              <w:rPr>
                <w:rFonts w:ascii="游ゴシック" w:hAnsi="游ゴシック" w:eastAsia="游ゴシック"/>
                <w:b w:val="0"/>
                <w:i w:val="0"/>
                <w:sz w:val="17"/>
              </w:rPr>
              <w:t>2</w:t>
            </w:r>
          </w:p>
        </w:tc>
        <w:tc>
          <w:tcPr>
            <w:tcW w:type="dxa" w:w="6009"/>
            <w:vAlign w:val="center"/>
          </w:tcPr>
          <w:p>
            <w:pPr>
              <w:spacing w:before="20" w:after="20"/>
            </w:pPr>
            <w:r>
              <w:rPr>
                <w:rFonts w:ascii="游ゴシック" w:hAnsi="游ゴシック" w:eastAsia="游ゴシック"/>
                <w:b w:val="0"/>
                <w:i w:val="0"/>
                <w:sz w:val="17"/>
              </w:rPr>
              <w:t>就労継続支援Ａ型の新規利用の見込み（令和9年度以降）</w:t>
            </w:r>
          </w:p>
        </w:tc>
        <w:tc>
          <w:tcPr>
            <w:tcW w:type="dxa" w:w="907"/>
            <w:vAlign w:val="center"/>
          </w:tcPr>
          <w:p>
            <w:pPr>
              <w:spacing w:before="20" w:after="20"/>
            </w:pPr>
            <w:r>
              <w:rPr>
                <w:rFonts w:ascii="游ゴシック" w:hAnsi="游ゴシック" w:eastAsia="游ゴシック"/>
                <w:b w:val="0"/>
                <w:i w:val="0"/>
                <w:sz w:val="17"/>
              </w:rPr>
              <w:t>S3</w:t>
            </w:r>
          </w:p>
        </w:tc>
        <w:tc>
          <w:tcPr>
            <w:tcW w:type="dxa" w:w="2381"/>
            <w:vAlign w:val="center"/>
          </w:tcPr>
          <w:p>
            <w:pPr>
              <w:spacing w:before="20" w:after="20"/>
            </w:pPr>
            <w:r>
              <w:rPr>
                <w:rFonts w:ascii="游ゴシック" w:hAnsi="游ゴシック" w:eastAsia="游ゴシック"/>
                <w:b w:val="0"/>
                <w:i w:val="0"/>
                <w:sz w:val="17"/>
              </w:rPr>
              <w:t>見込量の確定まで</w:t>
            </w:r>
          </w:p>
        </w:tc>
      </w:tr>
      <w:tr>
        <w:tc>
          <w:tcPr>
            <w:tcW w:type="dxa" w:w="454"/>
            <w:vAlign w:val="center"/>
          </w:tcPr>
          <w:p>
            <w:pPr>
              <w:spacing w:before="20" w:after="20"/>
            </w:pPr>
            <w:r>
              <w:rPr>
                <w:rFonts w:ascii="游ゴシック" w:hAnsi="游ゴシック" w:eastAsia="游ゴシック"/>
                <w:b w:val="0"/>
                <w:i w:val="0"/>
                <w:sz w:val="17"/>
              </w:rPr>
              <w:t>3</w:t>
            </w:r>
          </w:p>
        </w:tc>
        <w:tc>
          <w:tcPr>
            <w:tcW w:type="dxa" w:w="6009"/>
            <w:vAlign w:val="center"/>
          </w:tcPr>
          <w:p>
            <w:pPr>
              <w:spacing w:before="20" w:after="20"/>
            </w:pPr>
            <w:r>
              <w:rPr>
                <w:rFonts w:ascii="游ゴシック" w:hAnsi="游ゴシック" w:eastAsia="游ゴシック"/>
                <w:b w:val="0"/>
                <w:i w:val="0"/>
                <w:sz w:val="17"/>
              </w:rPr>
              <w:t>同行援護・行動援護の従業者で経過措置に当たる方の有無（町内外の利用事業所）</w:t>
            </w:r>
          </w:p>
        </w:tc>
        <w:tc>
          <w:tcPr>
            <w:tcW w:type="dxa" w:w="907"/>
            <w:vAlign w:val="center"/>
          </w:tcPr>
          <w:p>
            <w:pPr>
              <w:spacing w:before="20" w:after="20"/>
            </w:pPr>
            <w:r>
              <w:rPr>
                <w:rFonts w:ascii="游ゴシック" w:hAnsi="游ゴシック" w:eastAsia="游ゴシック"/>
                <w:b w:val="0"/>
                <w:i w:val="0"/>
                <w:sz w:val="17"/>
              </w:rPr>
              <w:t>S5</w:t>
            </w:r>
          </w:p>
        </w:tc>
        <w:tc>
          <w:tcPr>
            <w:tcW w:type="dxa" w:w="2381"/>
            <w:vAlign w:val="center"/>
          </w:tcPr>
          <w:p>
            <w:pPr>
              <w:spacing w:before="20" w:after="20"/>
            </w:pPr>
            <w:r>
              <w:rPr>
                <w:rFonts w:ascii="游ゴシック" w:hAnsi="游ゴシック" w:eastAsia="游ゴシック"/>
                <w:b w:val="0"/>
                <w:i w:val="0"/>
                <w:sz w:val="17"/>
              </w:rPr>
              <w:t>見込量の確定まで</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6009"/>
            <w:vAlign w:val="center"/>
          </w:tcPr>
          <w:p>
            <w:pPr>
              <w:keepNext/>
              <w:spacing w:before="20" w:after="20"/>
            </w:pPr>
            <w:r>
              <w:rPr>
                <w:rFonts w:ascii="游ゴシック" w:hAnsi="游ゴシック" w:eastAsia="游ゴシック"/>
                <w:b w:val="0"/>
                <w:i w:val="0"/>
                <w:sz w:val="17"/>
              </w:rPr>
              <w:t>町内居宅介護支援事業所3か所の管理者の資格（主任介護支援専門員か）</w:t>
            </w:r>
          </w:p>
        </w:tc>
        <w:tc>
          <w:tcPr>
            <w:tcW w:type="dxa" w:w="907"/>
            <w:vAlign w:val="center"/>
          </w:tcPr>
          <w:p>
            <w:pPr>
              <w:keepNext/>
              <w:spacing w:before="20" w:after="20"/>
            </w:pPr>
            <w:r>
              <w:rPr>
                <w:rFonts w:ascii="游ゴシック" w:hAnsi="游ゴシック" w:eastAsia="游ゴシック"/>
                <w:b w:val="0"/>
                <w:i w:val="0"/>
                <w:sz w:val="17"/>
              </w:rPr>
              <w:t>K3</w:t>
            </w:r>
          </w:p>
        </w:tc>
        <w:tc>
          <w:tcPr>
            <w:tcW w:type="dxa" w:w="2381"/>
            <w:vAlign w:val="center"/>
          </w:tcPr>
          <w:p>
            <w:pPr>
              <w:keepNext/>
              <w:spacing w:before="20" w:after="20"/>
            </w:pPr>
            <w:r>
              <w:rPr>
                <w:rFonts w:ascii="游ゴシック" w:hAnsi="游ゴシック" w:eastAsia="游ゴシック"/>
                <w:b w:val="0"/>
                <w:i w:val="0"/>
                <w:sz w:val="17"/>
              </w:rPr>
              <w:t>報酬の告示まで</w:t>
            </w:r>
          </w:p>
        </w:tc>
      </w:tr>
      <w:tr>
        <w:tc>
          <w:tcPr>
            <w:tcW w:type="dxa" w:w="454"/>
            <w:vAlign w:val="center"/>
          </w:tcPr>
          <w:p>
            <w:pPr>
              <w:spacing w:before="20" w:after="20"/>
            </w:pPr>
            <w:r>
              <w:rPr>
                <w:rFonts w:ascii="游ゴシック" w:hAnsi="游ゴシック" w:eastAsia="游ゴシック"/>
                <w:b w:val="0"/>
                <w:i w:val="0"/>
                <w:sz w:val="17"/>
              </w:rPr>
              <w:t>5</w:t>
            </w:r>
          </w:p>
        </w:tc>
        <w:tc>
          <w:tcPr>
            <w:tcW w:type="dxa" w:w="6009"/>
            <w:vAlign w:val="center"/>
          </w:tcPr>
          <w:p>
            <w:pPr>
              <w:spacing w:before="20" w:after="20"/>
            </w:pPr>
            <w:r>
              <w:rPr>
                <w:rFonts w:ascii="游ゴシック" w:hAnsi="游ゴシック" w:eastAsia="游ゴシック"/>
                <w:b w:val="0"/>
                <w:i w:val="0"/>
                <w:sz w:val="17"/>
              </w:rPr>
              <w:t>自立支援医療（育成医療・更生医療・精神通院医療）の受給者数</w:t>
            </w:r>
          </w:p>
        </w:tc>
        <w:tc>
          <w:tcPr>
            <w:tcW w:type="dxa" w:w="907"/>
            <w:vAlign w:val="center"/>
          </w:tcPr>
          <w:p>
            <w:pPr>
              <w:spacing w:before="20" w:after="20"/>
            </w:pPr>
            <w:r>
              <w:rPr>
                <w:rFonts w:ascii="游ゴシック" w:hAnsi="游ゴシック" w:eastAsia="游ゴシック"/>
                <w:b w:val="0"/>
                <w:i w:val="0"/>
                <w:sz w:val="17"/>
              </w:rPr>
              <w:t>S4</w:t>
            </w:r>
          </w:p>
        </w:tc>
        <w:tc>
          <w:tcPr>
            <w:tcW w:type="dxa" w:w="2381"/>
            <w:vAlign w:val="center"/>
          </w:tcPr>
          <w:p>
            <w:pPr>
              <w:spacing w:before="20" w:after="20"/>
            </w:pPr>
            <w:r>
              <w:rPr>
                <w:rFonts w:ascii="游ゴシック" w:hAnsi="游ゴシック" w:eastAsia="游ゴシック"/>
                <w:b w:val="0"/>
                <w:i w:val="0"/>
                <w:sz w:val="17"/>
              </w:rPr>
              <w:t>素案の確定まで（既存の依頼）</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7　原典</w:t>
      </w:r>
      <w:bookmarkEnd w:id="107"/>
    </w:p>
    <w:p>
      <w:pPr>
        <w:keepNext/>
        <w:spacing w:before="200" w:after="40"/>
      </w:pPr>
      <w:r>
        <w:rPr>
          <w:rFonts w:ascii="游ゴシック" w:hAnsi="游ゴシック" w:eastAsia="游ゴシック"/>
          <w:b/>
          <w:i w:val="0"/>
          <w:color w:val="1F4D78"/>
          <w:sz w:val="22"/>
        </w:rPr>
        <w:t>【表7】照合に用いた原典</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762"/>
        <w:gridCol w:w="419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略称</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ファイル</w:t>
            </w:r>
          </w:p>
        </w:tc>
      </w:tr>
      <w:tr>
        <w:tc>
          <w:tcPr>
            <w:tcW w:type="dxa" w:w="794"/>
            <w:vAlign w:val="center"/>
          </w:tcPr>
          <w:p>
            <w:pPr>
              <w:spacing w:before="20" w:after="20"/>
            </w:pPr>
            <w:r>
              <w:rPr>
                <w:rFonts w:ascii="游ゴシック" w:hAnsi="游ゴシック" w:eastAsia="游ゴシック"/>
                <w:b w:val="0"/>
                <w:i w:val="0"/>
                <w:sz w:val="17"/>
              </w:rPr>
              <w:t>介1</w:t>
            </w:r>
          </w:p>
        </w:tc>
        <w:tc>
          <w:tcPr>
            <w:tcW w:type="dxa" w:w="4762"/>
            <w:vAlign w:val="center"/>
          </w:tcPr>
          <w:p>
            <w:pPr>
              <w:spacing w:before="20" w:after="20"/>
            </w:pPr>
            <w:r>
              <w:rPr>
                <w:rFonts w:ascii="游ゴシック" w:hAnsi="游ゴシック" w:eastAsia="游ゴシック"/>
                <w:b w:val="0"/>
                <w:i w:val="0"/>
                <w:sz w:val="17"/>
              </w:rPr>
              <w:t>第271回介護給付費分科会 資料1 訪問介護</w:t>
            </w:r>
          </w:p>
        </w:tc>
        <w:tc>
          <w:tcPr>
            <w:tcW w:type="dxa" w:w="4195"/>
            <w:vAlign w:val="center"/>
          </w:tcPr>
          <w:p>
            <w:pPr>
              <w:spacing w:before="20" w:after="20"/>
            </w:pPr>
            <w:r>
              <w:rPr>
                <w:rFonts w:ascii="游ゴシック" w:hAnsi="游ゴシック" w:eastAsia="游ゴシック"/>
                <w:b w:val="0"/>
                <w:i w:val="0"/>
                <w:sz w:val="17"/>
              </w:rPr>
              <w:t>介護給付費分科会第271回_資料1_訪問介護.pdf</w:t>
            </w:r>
          </w:p>
        </w:tc>
      </w:tr>
      <w:tr>
        <w:tc>
          <w:tcPr>
            <w:tcW w:type="dxa" w:w="794"/>
            <w:vAlign w:val="center"/>
          </w:tcPr>
          <w:p>
            <w:pPr>
              <w:spacing w:before="20" w:after="20"/>
            </w:pPr>
            <w:r>
              <w:rPr>
                <w:rFonts w:ascii="游ゴシック" w:hAnsi="游ゴシック" w:eastAsia="游ゴシック"/>
                <w:b w:val="0"/>
                <w:i w:val="0"/>
                <w:sz w:val="17"/>
              </w:rPr>
              <w:t>介2</w:t>
            </w:r>
          </w:p>
        </w:tc>
        <w:tc>
          <w:tcPr>
            <w:tcW w:type="dxa" w:w="4762"/>
            <w:vAlign w:val="center"/>
          </w:tcPr>
          <w:p>
            <w:pPr>
              <w:spacing w:before="20" w:after="20"/>
            </w:pPr>
            <w:r>
              <w:rPr>
                <w:rFonts w:ascii="游ゴシック" w:hAnsi="游ゴシック" w:eastAsia="游ゴシック"/>
                <w:b w:val="0"/>
                <w:i w:val="0"/>
                <w:sz w:val="17"/>
              </w:rPr>
              <w:t>同 資料2 訪問入浴介護</w:t>
            </w:r>
          </w:p>
        </w:tc>
        <w:tc>
          <w:tcPr>
            <w:tcW w:type="dxa" w:w="4195"/>
            <w:vAlign w:val="center"/>
          </w:tcPr>
          <w:p>
            <w:pPr>
              <w:spacing w:before="20" w:after="20"/>
            </w:pPr>
            <w:r>
              <w:rPr>
                <w:rFonts w:ascii="游ゴシック" w:hAnsi="游ゴシック" w:eastAsia="游ゴシック"/>
                <w:b w:val="0"/>
                <w:i w:val="0"/>
                <w:sz w:val="17"/>
              </w:rPr>
              <w:t>介護給付費分科会第271回_資料2_訪問入浴介護.pdf</w:t>
            </w:r>
          </w:p>
        </w:tc>
      </w:tr>
      <w:tr>
        <w:tc>
          <w:tcPr>
            <w:tcW w:type="dxa" w:w="794"/>
            <w:vAlign w:val="center"/>
          </w:tcPr>
          <w:p>
            <w:pPr>
              <w:spacing w:before="20" w:after="20"/>
            </w:pPr>
            <w:r>
              <w:rPr>
                <w:rFonts w:ascii="游ゴシック" w:hAnsi="游ゴシック" w:eastAsia="游ゴシック"/>
                <w:b w:val="0"/>
                <w:i w:val="0"/>
                <w:sz w:val="17"/>
              </w:rPr>
              <w:t>介3</w:t>
            </w:r>
          </w:p>
        </w:tc>
        <w:tc>
          <w:tcPr>
            <w:tcW w:type="dxa" w:w="4762"/>
            <w:vAlign w:val="center"/>
          </w:tcPr>
          <w:p>
            <w:pPr>
              <w:spacing w:before="20" w:after="20"/>
            </w:pPr>
            <w:r>
              <w:rPr>
                <w:rFonts w:ascii="游ゴシック" w:hAnsi="游ゴシック" w:eastAsia="游ゴシック"/>
                <w:b w:val="0"/>
                <w:i w:val="0"/>
                <w:sz w:val="17"/>
              </w:rPr>
              <w:t>同 資料3 訪問看護</w:t>
            </w:r>
          </w:p>
        </w:tc>
        <w:tc>
          <w:tcPr>
            <w:tcW w:type="dxa" w:w="4195"/>
            <w:vAlign w:val="center"/>
          </w:tcPr>
          <w:p>
            <w:pPr>
              <w:spacing w:before="20" w:after="20"/>
            </w:pPr>
            <w:r>
              <w:rPr>
                <w:rFonts w:ascii="游ゴシック" w:hAnsi="游ゴシック" w:eastAsia="游ゴシック"/>
                <w:b w:val="0"/>
                <w:i w:val="0"/>
                <w:sz w:val="17"/>
              </w:rPr>
              <w:t>介護給付費分科会第271回_資料3_訪問看護.pdf</w:t>
            </w:r>
          </w:p>
        </w:tc>
      </w:tr>
      <w:tr>
        <w:tc>
          <w:tcPr>
            <w:tcW w:type="dxa" w:w="794"/>
            <w:vAlign w:val="center"/>
          </w:tcPr>
          <w:p>
            <w:pPr>
              <w:spacing w:before="20" w:after="20"/>
            </w:pPr>
            <w:r>
              <w:rPr>
                <w:rFonts w:ascii="游ゴシック" w:hAnsi="游ゴシック" w:eastAsia="游ゴシック"/>
                <w:b w:val="0"/>
                <w:i w:val="0"/>
                <w:sz w:val="17"/>
              </w:rPr>
              <w:t>介4</w:t>
            </w:r>
          </w:p>
        </w:tc>
        <w:tc>
          <w:tcPr>
            <w:tcW w:type="dxa" w:w="4762"/>
            <w:vAlign w:val="center"/>
          </w:tcPr>
          <w:p>
            <w:pPr>
              <w:spacing w:before="20" w:after="20"/>
            </w:pPr>
            <w:r>
              <w:rPr>
                <w:rFonts w:ascii="游ゴシック" w:hAnsi="游ゴシック" w:eastAsia="游ゴシック"/>
                <w:b w:val="0"/>
                <w:i w:val="0"/>
                <w:sz w:val="17"/>
              </w:rPr>
              <w:t>同 資料4 訪問リハビリテーション</w:t>
            </w:r>
          </w:p>
        </w:tc>
        <w:tc>
          <w:tcPr>
            <w:tcW w:type="dxa" w:w="4195"/>
            <w:vAlign w:val="center"/>
          </w:tcPr>
          <w:p>
            <w:pPr>
              <w:spacing w:before="20" w:after="20"/>
            </w:pPr>
            <w:r>
              <w:rPr>
                <w:rFonts w:ascii="游ゴシック" w:hAnsi="游ゴシック" w:eastAsia="游ゴシック"/>
                <w:b w:val="0"/>
                <w:i w:val="0"/>
                <w:sz w:val="17"/>
              </w:rPr>
              <w:t>介護給付費分科会第271回_資料4_訪問リハビリテーション.pdf</w:t>
            </w:r>
          </w:p>
        </w:tc>
      </w:tr>
      <w:tr>
        <w:tc>
          <w:tcPr>
            <w:tcW w:type="dxa" w:w="794"/>
            <w:vAlign w:val="center"/>
          </w:tcPr>
          <w:p>
            <w:pPr>
              <w:spacing w:before="20" w:after="20"/>
            </w:pPr>
            <w:r>
              <w:rPr>
                <w:rFonts w:ascii="游ゴシック" w:hAnsi="游ゴシック" w:eastAsia="游ゴシック"/>
                <w:b w:val="0"/>
                <w:i w:val="0"/>
                <w:sz w:val="17"/>
              </w:rPr>
              <w:t>介5</w:t>
            </w:r>
          </w:p>
        </w:tc>
        <w:tc>
          <w:tcPr>
            <w:tcW w:type="dxa" w:w="4762"/>
            <w:vAlign w:val="center"/>
          </w:tcPr>
          <w:p>
            <w:pPr>
              <w:spacing w:before="20" w:after="20"/>
            </w:pPr>
            <w:r>
              <w:rPr>
                <w:rFonts w:ascii="游ゴシック" w:hAnsi="游ゴシック" w:eastAsia="游ゴシック"/>
                <w:b w:val="0"/>
                <w:i w:val="0"/>
                <w:sz w:val="17"/>
              </w:rPr>
              <w:t>同 資料5 居宅療養管理指導</w:t>
            </w:r>
          </w:p>
        </w:tc>
        <w:tc>
          <w:tcPr>
            <w:tcW w:type="dxa" w:w="4195"/>
            <w:vAlign w:val="center"/>
          </w:tcPr>
          <w:p>
            <w:pPr>
              <w:spacing w:before="20" w:after="20"/>
            </w:pPr>
            <w:r>
              <w:rPr>
                <w:rFonts w:ascii="游ゴシック" w:hAnsi="游ゴシック" w:eastAsia="游ゴシック"/>
                <w:b w:val="0"/>
                <w:i w:val="0"/>
                <w:sz w:val="17"/>
              </w:rPr>
              <w:t>介護給付費分科会第271回_資料5_居宅療養管理指導.pdf</w:t>
            </w:r>
          </w:p>
        </w:tc>
      </w:tr>
      <w:tr>
        <w:tc>
          <w:tcPr>
            <w:tcW w:type="dxa" w:w="794"/>
            <w:vAlign w:val="center"/>
          </w:tcPr>
          <w:p>
            <w:pPr>
              <w:spacing w:before="20" w:after="20"/>
            </w:pPr>
            <w:r>
              <w:rPr>
                <w:rFonts w:ascii="游ゴシック" w:hAnsi="游ゴシック" w:eastAsia="游ゴシック"/>
                <w:b w:val="0"/>
                <w:i w:val="0"/>
                <w:sz w:val="17"/>
              </w:rPr>
              <w:t>介6</w:t>
            </w:r>
          </w:p>
        </w:tc>
        <w:tc>
          <w:tcPr>
            <w:tcW w:type="dxa" w:w="4762"/>
            <w:vAlign w:val="center"/>
          </w:tcPr>
          <w:p>
            <w:pPr>
              <w:spacing w:before="20" w:after="20"/>
            </w:pPr>
            <w:r>
              <w:rPr>
                <w:rFonts w:ascii="游ゴシック" w:hAnsi="游ゴシック" w:eastAsia="游ゴシック"/>
                <w:b w:val="0"/>
                <w:i w:val="0"/>
                <w:sz w:val="17"/>
              </w:rPr>
              <w:t>同 資料6 居宅介護支援</w:t>
            </w:r>
          </w:p>
        </w:tc>
        <w:tc>
          <w:tcPr>
            <w:tcW w:type="dxa" w:w="4195"/>
            <w:vAlign w:val="center"/>
          </w:tcPr>
          <w:p>
            <w:pPr>
              <w:spacing w:before="20" w:after="20"/>
            </w:pPr>
            <w:r>
              <w:rPr>
                <w:rFonts w:ascii="游ゴシック" w:hAnsi="游ゴシック" w:eastAsia="游ゴシック"/>
                <w:b w:val="0"/>
                <w:i w:val="0"/>
                <w:sz w:val="17"/>
              </w:rPr>
              <w:t>介護給付費分科会第271回_資料6_居宅介護支援.pdf</w:t>
            </w:r>
          </w:p>
        </w:tc>
      </w:tr>
      <w:tr>
        <w:tc>
          <w:tcPr>
            <w:tcW w:type="dxa" w:w="794"/>
            <w:vAlign w:val="center"/>
          </w:tcPr>
          <w:p>
            <w:pPr>
              <w:spacing w:before="20" w:after="20"/>
            </w:pPr>
            <w:r>
              <w:rPr>
                <w:rFonts w:ascii="游ゴシック" w:hAnsi="游ゴシック" w:eastAsia="游ゴシック"/>
                <w:b w:val="0"/>
                <w:i w:val="0"/>
                <w:sz w:val="17"/>
              </w:rPr>
              <w:t>障1</w:t>
            </w:r>
          </w:p>
        </w:tc>
        <w:tc>
          <w:tcPr>
            <w:tcW w:type="dxa" w:w="4762"/>
            <w:vAlign w:val="center"/>
          </w:tcPr>
          <w:p>
            <w:pPr>
              <w:spacing w:before="20" w:after="20"/>
            </w:pPr>
            <w:r>
              <w:rPr>
                <w:rFonts w:ascii="游ゴシック" w:hAnsi="游ゴシック" w:eastAsia="游ゴシック"/>
                <w:b w:val="0"/>
                <w:i w:val="0"/>
                <w:sz w:val="17"/>
              </w:rPr>
              <w:t>第160回障害者部会 資料1 障害福祉報酬改定検討チームの議論の状況</w:t>
            </w:r>
          </w:p>
        </w:tc>
        <w:tc>
          <w:tcPr>
            <w:tcW w:type="dxa" w:w="4195"/>
            <w:vAlign w:val="center"/>
          </w:tcPr>
          <w:p>
            <w:pPr>
              <w:spacing w:before="20" w:after="20"/>
            </w:pPr>
            <w:r>
              <w:rPr>
                <w:rFonts w:ascii="游ゴシック" w:hAnsi="游ゴシック" w:eastAsia="游ゴシック"/>
                <w:b w:val="0"/>
                <w:i w:val="0"/>
                <w:sz w:val="17"/>
              </w:rPr>
              <w:t>障害者部会第160回_資料1_報酬改定検討チームの議論の状況.pdf</w:t>
            </w:r>
          </w:p>
        </w:tc>
      </w:tr>
      <w:tr>
        <w:tc>
          <w:tcPr>
            <w:tcW w:type="dxa" w:w="794"/>
            <w:vAlign w:val="center"/>
          </w:tcPr>
          <w:p>
            <w:pPr>
              <w:keepNext/>
              <w:spacing w:before="20" w:after="20"/>
            </w:pPr>
            <w:r>
              <w:rPr>
                <w:rFonts w:ascii="游ゴシック" w:hAnsi="游ゴシック" w:eastAsia="游ゴシック"/>
                <w:b w:val="0"/>
                <w:i w:val="0"/>
                <w:sz w:val="17"/>
              </w:rPr>
              <w:t>障2</w:t>
            </w:r>
          </w:p>
        </w:tc>
        <w:tc>
          <w:tcPr>
            <w:tcW w:type="dxa" w:w="4762"/>
            <w:vAlign w:val="center"/>
          </w:tcPr>
          <w:p>
            <w:pPr>
              <w:keepNext/>
              <w:spacing w:before="20" w:after="20"/>
            </w:pPr>
            <w:r>
              <w:rPr>
                <w:rFonts w:ascii="游ゴシック" w:hAnsi="游ゴシック" w:eastAsia="游ゴシック"/>
                <w:b w:val="0"/>
                <w:i w:val="0"/>
                <w:sz w:val="17"/>
              </w:rPr>
              <w:t>同 資料2 障害福祉分野における特定地域（中山間・人口減少地域）の考え方</w:t>
            </w:r>
          </w:p>
        </w:tc>
        <w:tc>
          <w:tcPr>
            <w:tcW w:type="dxa" w:w="4195"/>
            <w:vAlign w:val="center"/>
          </w:tcPr>
          <w:p>
            <w:pPr>
              <w:keepNext/>
              <w:spacing w:before="20" w:after="20"/>
            </w:pPr>
            <w:r>
              <w:rPr>
                <w:rFonts w:ascii="游ゴシック" w:hAnsi="游ゴシック" w:eastAsia="游ゴシック"/>
                <w:b w:val="0"/>
                <w:i w:val="0"/>
                <w:sz w:val="17"/>
              </w:rPr>
              <w:t>障害者部会第160回_資料2_特定地域の考え方.pdf</w:t>
            </w:r>
          </w:p>
        </w:tc>
      </w:tr>
      <w:tr>
        <w:tc>
          <w:tcPr>
            <w:tcW w:type="dxa" w:w="794"/>
            <w:vAlign w:val="center"/>
          </w:tcPr>
          <w:p>
            <w:pPr>
              <w:spacing w:before="20" w:after="20"/>
            </w:pPr>
            <w:r>
              <w:rPr>
                <w:rFonts w:ascii="游ゴシック" w:hAnsi="游ゴシック" w:eastAsia="游ゴシック"/>
                <w:b w:val="0"/>
                <w:i w:val="0"/>
                <w:sz w:val="17"/>
              </w:rPr>
              <w:t>障3</w:t>
            </w:r>
          </w:p>
        </w:tc>
        <w:tc>
          <w:tcPr>
            <w:tcW w:type="dxa" w:w="4762"/>
            <w:vAlign w:val="center"/>
          </w:tcPr>
          <w:p>
            <w:pPr>
              <w:spacing w:before="20" w:after="20"/>
            </w:pPr>
            <w:r>
              <w:rPr>
                <w:rFonts w:ascii="游ゴシック" w:hAnsi="游ゴシック" w:eastAsia="游ゴシック"/>
                <w:b w:val="0"/>
                <w:i w:val="0"/>
                <w:sz w:val="17"/>
              </w:rPr>
              <w:t>同 資料3 自立支援医療の経過的特例措置</w:t>
            </w:r>
          </w:p>
        </w:tc>
        <w:tc>
          <w:tcPr>
            <w:tcW w:type="dxa" w:w="4195"/>
            <w:vAlign w:val="center"/>
          </w:tcPr>
          <w:p>
            <w:pPr>
              <w:spacing w:before="20" w:after="20"/>
            </w:pPr>
            <w:r>
              <w:rPr>
                <w:rFonts w:ascii="游ゴシック" w:hAnsi="游ゴシック" w:eastAsia="游ゴシック"/>
                <w:b w:val="0"/>
                <w:i w:val="0"/>
                <w:sz w:val="17"/>
              </w:rPr>
              <w:t>障害者部会第160回_資料3_自立支援医療の経過的特例措置.pdf</w:t>
            </w:r>
          </w:p>
        </w:tc>
      </w:tr>
    </w:tbl>
    <w:p>
      <w:pPr>
        <w:spacing w:after="40"/>
      </w:pPr>
    </w:p>
    <w:p>
      <w:pPr>
        <w:spacing w:before="40" w:after="160"/>
        <w:ind w:left="113"/>
      </w:pPr>
      <w:r>
        <w:rPr>
          <w:rFonts w:ascii="游ゴシック" w:hAnsi="游ゴシック" w:eastAsia="游ゴシック"/>
          <w:b w:val="0"/>
          <w:i w:val="0"/>
          <w:sz w:val="17"/>
        </w:rPr>
        <w:t>いずれも厚生労働省の公表資料（令和8年10月20日取得）。25_国資料_審議会 に収め、入手元を同フォルダの README に記した。</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審議会論点の整理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審議会論点の整理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審議会論点の整理</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