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小野町高齢者福祉サービス推進協議会（第2回）</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計画の骨子・サービス見込量・保険料・成果指標</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令和8年12月（予定）</w:t>
      </w:r>
    </w:p>
    <w:p>
      <w:pPr>
        <w:spacing w:after="120"/>
        <w:jc w:val="center"/>
      </w:pPr>
      <w:r>
        <w:rPr>
          <w:rFonts w:ascii="游ゴシック" w:hAnsi="游ゴシック" w:eastAsia="游ゴシック"/>
          <w:b w:val="0"/>
          <w:i w:val="0"/>
          <w:sz w:val="26"/>
        </w:rPr>
        <w:t>小　野　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本資料について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1　計画の骨子</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（1）第9期からの主な変更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2　サービス見込量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（1）推計の置き方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（2）要介護認定者数の見込み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（3）給付費の見込み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3　保険料基準額</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（1）算定の結果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（2）お諮りする2案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（3）保険料が動きうる要因</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4　成果指標の目標値</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3">
        <w:r>
          <w:rPr>
            <w:rFonts w:ascii="游ゴシック" w:hAnsi="游ゴシック" w:eastAsia="游ゴシック"/>
            <w:b/>
            <w:sz w:val="22"/>
          </w:rPr>
          <w:t xml:space="preserve">5　本日お決めいただく事項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4">
        <w:r>
          <w:rPr>
            <w:rFonts w:ascii="游ゴシック" w:hAnsi="游ゴシック" w:eastAsia="游ゴシック"/>
            <w:b/>
            <w:sz w:val="22"/>
          </w:rPr>
          <w:t xml:space="preserve">6　今後の進め方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（1）次回までの流れ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6">
        <w:r>
          <w:rPr>
            <w:rFonts w:ascii="游ゴシック" w:hAnsi="游ゴシック" w:eastAsia="游ゴシック"/>
            <w:b/>
            <w:sz w:val="22"/>
          </w:rPr>
          <w:t xml:space="preserve">7　自己点検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本資料について</w:t>
      </w:r>
      <w:bookmarkEnd w:id="101"/>
    </w:p>
    <w:p>
      <w:pPr>
        <w:spacing w:before="60" w:after="60"/>
      </w:pPr>
      <w:r>
        <w:rPr>
          <w:rFonts w:ascii="游ゴシック" w:hAnsi="游ゴシック" w:eastAsia="游ゴシック"/>
          <w:b/>
          <w:i w:val="0"/>
          <w:sz w:val="21"/>
        </w:rPr>
        <w:t>第1回でご確認いただいた第9期計画の評価と令和7年度調査結果を踏まえ、第10期計画の骨子・サービス見込量・保険料・成果指標をお示しします。</w:t>
      </w:r>
    </w:p>
    <w:p>
      <w:pPr>
        <w:spacing w:before="60" w:after="60"/>
      </w:pPr>
      <w:r>
        <w:rPr>
          <w:rFonts w:ascii="游ゴシック" w:hAnsi="游ゴシック" w:eastAsia="游ゴシック"/>
          <w:b/>
          <w:i w:val="0"/>
          <w:sz w:val="21"/>
        </w:rPr>
        <w:t>本日お諮りいただきたいのは次の4点です。</w:t>
      </w:r>
    </w:p>
    <w:p>
      <w:pPr>
        <w:keepNext/>
        <w:spacing w:before="200" w:after="40"/>
      </w:pPr>
      <w:r>
        <w:rPr>
          <w:rFonts w:ascii="游ゴシック" w:hAnsi="游ゴシック" w:eastAsia="游ゴシック"/>
          <w:b/>
          <w:i w:val="0"/>
          <w:color w:val="1F4D78"/>
          <w:sz w:val="22"/>
        </w:rPr>
        <w:t>【表1】本日お諮りすること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2268"/>
        <w:gridCol w:w="3969"/>
        <w:gridCol w:w="2948"/>
      </w:tblGrid>
      <w:tr>
        <w:tc>
          <w:tcPr>
            <w:tcW w:type="dxa" w:w="567"/>
            <w:shd w:val="clear" w:fill="1F3864"/>
            <w:vAlign w:val="center"/>
          </w:tcPr>
          <w:p>
            <w:pPr>
              <w:spacing w:before="20" w:after="20"/>
              <w:jc w:val="center"/>
            </w:pP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お諮りすること</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お決めいただく内容</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決まらない場合</w:t>
            </w:r>
          </w:p>
        </w:tc>
      </w:tr>
      <w:tr>
        <w:tc>
          <w:tcPr>
            <w:tcW w:type="dxa" w:w="567"/>
            <w:vAlign w:val="center"/>
          </w:tcPr>
          <w:p>
            <w:pPr>
              <w:spacing w:before="20" w:after="20"/>
            </w:pPr>
            <w:r>
              <w:rPr>
                <w:rFonts w:ascii="游ゴシック" w:hAnsi="游ゴシック" w:eastAsia="游ゴシック"/>
                <w:b w:val="0"/>
                <w:i w:val="0"/>
                <w:sz w:val="17"/>
              </w:rPr>
              <w:t>1</w:t>
            </w:r>
          </w:p>
        </w:tc>
        <w:tc>
          <w:tcPr>
            <w:tcW w:type="dxa" w:w="2268"/>
            <w:vAlign w:val="center"/>
          </w:tcPr>
          <w:p>
            <w:pPr>
              <w:spacing w:before="20" w:after="20"/>
            </w:pPr>
            <w:r>
              <w:rPr>
                <w:rFonts w:ascii="游ゴシック" w:hAnsi="游ゴシック" w:eastAsia="游ゴシック"/>
                <w:b/>
                <w:i w:val="0"/>
                <w:sz w:val="17"/>
              </w:rPr>
              <w:t>計画の骨子</w:t>
            </w:r>
          </w:p>
        </w:tc>
        <w:tc>
          <w:tcPr>
            <w:tcW w:type="dxa" w:w="3969"/>
            <w:vAlign w:val="center"/>
          </w:tcPr>
          <w:p>
            <w:pPr>
              <w:spacing w:before="20" w:after="20"/>
            </w:pPr>
            <w:r>
              <w:rPr>
                <w:rFonts w:ascii="游ゴシック" w:hAnsi="游ゴシック" w:eastAsia="游ゴシック"/>
                <w:b w:val="0"/>
                <w:i w:val="0"/>
                <w:sz w:val="17"/>
              </w:rPr>
              <w:t>章立てと施策体系をこの形で進めてよいか</w:t>
            </w:r>
          </w:p>
        </w:tc>
        <w:tc>
          <w:tcPr>
            <w:tcW w:type="dxa" w:w="2948"/>
            <w:vAlign w:val="center"/>
          </w:tcPr>
          <w:p>
            <w:pPr>
              <w:spacing w:before="20" w:after="20"/>
            </w:pPr>
            <w:r>
              <w:rPr>
                <w:rFonts w:ascii="游ゴシック" w:hAnsi="游ゴシック" w:eastAsia="游ゴシック"/>
                <w:b w:val="0"/>
                <w:i w:val="0"/>
                <w:sz w:val="17"/>
              </w:rPr>
              <w:t>素案の作成に進めません</w:t>
            </w:r>
          </w:p>
        </w:tc>
      </w:tr>
      <w:tr>
        <w:tc>
          <w:tcPr>
            <w:tcW w:type="dxa" w:w="567"/>
            <w:vAlign w:val="center"/>
          </w:tcPr>
          <w:p>
            <w:pPr>
              <w:spacing w:before="20" w:after="20"/>
            </w:pPr>
            <w:r>
              <w:rPr>
                <w:rFonts w:ascii="游ゴシック" w:hAnsi="游ゴシック" w:eastAsia="游ゴシック"/>
                <w:b w:val="0"/>
                <w:i w:val="0"/>
                <w:sz w:val="17"/>
              </w:rPr>
              <w:t>2</w:t>
            </w:r>
          </w:p>
        </w:tc>
        <w:tc>
          <w:tcPr>
            <w:tcW w:type="dxa" w:w="2268"/>
            <w:vAlign w:val="center"/>
          </w:tcPr>
          <w:p>
            <w:pPr>
              <w:spacing w:before="20" w:after="20"/>
            </w:pPr>
            <w:r>
              <w:rPr>
                <w:rFonts w:ascii="游ゴシック" w:hAnsi="游ゴシック" w:eastAsia="游ゴシック"/>
                <w:b/>
                <w:i w:val="0"/>
                <w:sz w:val="17"/>
              </w:rPr>
              <w:t>サービス見込量</w:t>
            </w:r>
          </w:p>
        </w:tc>
        <w:tc>
          <w:tcPr>
            <w:tcW w:type="dxa" w:w="3969"/>
            <w:vAlign w:val="center"/>
          </w:tcPr>
          <w:p>
            <w:pPr>
              <w:spacing w:before="20" w:after="20"/>
            </w:pPr>
            <w:r>
              <w:rPr>
                <w:rFonts w:ascii="游ゴシック" w:hAnsi="游ゴシック" w:eastAsia="游ゴシック"/>
                <w:b w:val="0"/>
                <w:i w:val="0"/>
                <w:sz w:val="17"/>
              </w:rPr>
              <w:t>推計の置き方（自然体推計）でよいか</w:t>
            </w:r>
          </w:p>
        </w:tc>
        <w:tc>
          <w:tcPr>
            <w:tcW w:type="dxa" w:w="2948"/>
            <w:vAlign w:val="center"/>
          </w:tcPr>
          <w:p>
            <w:pPr>
              <w:spacing w:before="20" w:after="20"/>
            </w:pPr>
            <w:r>
              <w:rPr>
                <w:rFonts w:ascii="游ゴシック" w:hAnsi="游ゴシック" w:eastAsia="游ゴシック"/>
                <w:b w:val="0"/>
                <w:i w:val="0"/>
                <w:sz w:val="17"/>
              </w:rPr>
              <w:t>保険料の算定が確定しません</w:t>
            </w:r>
          </w:p>
        </w:tc>
      </w:tr>
      <w:tr>
        <w:tc>
          <w:tcPr>
            <w:tcW w:type="dxa" w:w="567"/>
            <w:vAlign w:val="center"/>
          </w:tcPr>
          <w:p>
            <w:pPr>
              <w:keepNext/>
              <w:spacing w:before="20" w:after="20"/>
            </w:pPr>
            <w:r>
              <w:rPr>
                <w:rFonts w:ascii="游ゴシック" w:hAnsi="游ゴシック" w:eastAsia="游ゴシック"/>
                <w:b w:val="0"/>
                <w:i w:val="0"/>
                <w:sz w:val="17"/>
              </w:rPr>
              <w:t>3</w:t>
            </w:r>
          </w:p>
        </w:tc>
        <w:tc>
          <w:tcPr>
            <w:tcW w:type="dxa" w:w="2268"/>
            <w:vAlign w:val="center"/>
          </w:tcPr>
          <w:p>
            <w:pPr>
              <w:keepNext/>
              <w:spacing w:before="20" w:after="20"/>
            </w:pPr>
            <w:r>
              <w:rPr>
                <w:rFonts w:ascii="游ゴシック" w:hAnsi="游ゴシック" w:eastAsia="游ゴシック"/>
                <w:b/>
                <w:i w:val="0"/>
                <w:sz w:val="17"/>
              </w:rPr>
              <w:t>保険料基準額</w:t>
            </w:r>
          </w:p>
        </w:tc>
        <w:tc>
          <w:tcPr>
            <w:tcW w:type="dxa" w:w="3969"/>
            <w:vAlign w:val="center"/>
          </w:tcPr>
          <w:p>
            <w:pPr>
              <w:keepNext/>
              <w:spacing w:before="20" w:after="20"/>
            </w:pPr>
            <w:r>
              <w:rPr>
                <w:rFonts w:ascii="游ゴシック" w:hAnsi="游ゴシック" w:eastAsia="游ゴシック"/>
                <w:b w:val="0"/>
                <w:i w:val="0"/>
                <w:sz w:val="17"/>
              </w:rPr>
              <w:t>案1（引き下げる）・案2（据え置く）</w:t>
            </w:r>
          </w:p>
        </w:tc>
        <w:tc>
          <w:tcPr>
            <w:tcW w:type="dxa" w:w="2948"/>
            <w:vAlign w:val="center"/>
          </w:tcPr>
          <w:p>
            <w:pPr>
              <w:keepNext/>
              <w:spacing w:before="20" w:after="20"/>
            </w:pPr>
            <w:r>
              <w:rPr>
                <w:rFonts w:ascii="游ゴシック" w:hAnsi="游ゴシック" w:eastAsia="游ゴシック"/>
                <w:b/>
                <w:i w:val="0"/>
                <w:sz w:val="17"/>
              </w:rPr>
              <w:t>素案に保険料を載せられません</w:t>
            </w:r>
          </w:p>
        </w:tc>
      </w:tr>
      <w:tr>
        <w:tc>
          <w:tcPr>
            <w:tcW w:type="dxa" w:w="567"/>
            <w:vAlign w:val="center"/>
          </w:tcPr>
          <w:p>
            <w:pPr>
              <w:spacing w:before="20" w:after="20"/>
            </w:pPr>
            <w:r>
              <w:rPr>
                <w:rFonts w:ascii="游ゴシック" w:hAnsi="游ゴシック" w:eastAsia="游ゴシック"/>
                <w:b w:val="0"/>
                <w:i w:val="0"/>
                <w:sz w:val="17"/>
              </w:rPr>
              <w:t>4</w:t>
            </w:r>
          </w:p>
        </w:tc>
        <w:tc>
          <w:tcPr>
            <w:tcW w:type="dxa" w:w="2268"/>
            <w:vAlign w:val="center"/>
          </w:tcPr>
          <w:p>
            <w:pPr>
              <w:spacing w:before="20" w:after="20"/>
            </w:pPr>
            <w:r>
              <w:rPr>
                <w:rFonts w:ascii="游ゴシック" w:hAnsi="游ゴシック" w:eastAsia="游ゴシック"/>
                <w:b/>
                <w:i w:val="0"/>
                <w:sz w:val="17"/>
              </w:rPr>
              <w:t>成果指標の目標値</w:t>
            </w:r>
          </w:p>
        </w:tc>
        <w:tc>
          <w:tcPr>
            <w:tcW w:type="dxa" w:w="3969"/>
            <w:vAlign w:val="center"/>
          </w:tcPr>
          <w:p>
            <w:pPr>
              <w:spacing w:before="20" w:after="20"/>
            </w:pPr>
            <w:r>
              <w:rPr>
                <w:rFonts w:ascii="游ゴシック" w:hAnsi="游ゴシック" w:eastAsia="游ゴシック"/>
                <w:b w:val="0"/>
                <w:i w:val="0"/>
                <w:sz w:val="17"/>
              </w:rPr>
              <w:t>各施策の指標について、3年後に目指す水準</w:t>
            </w:r>
          </w:p>
        </w:tc>
        <w:tc>
          <w:tcPr>
            <w:tcW w:type="dxa" w:w="2948"/>
            <w:vAlign w:val="center"/>
          </w:tcPr>
          <w:p>
            <w:pPr>
              <w:spacing w:before="20" w:after="20"/>
            </w:pPr>
            <w:r>
              <w:rPr>
                <w:rFonts w:ascii="游ゴシック" w:hAnsi="游ゴシック" w:eastAsia="游ゴシック"/>
                <w:b w:val="0"/>
                <w:i w:val="0"/>
                <w:sz w:val="17"/>
              </w:rPr>
              <w:t>計画の評価ができません</w:t>
            </w:r>
          </w:p>
        </w:tc>
      </w:tr>
    </w:tbl>
    <w:p>
      <w:pPr>
        <w:spacing w:after="40"/>
      </w:pPr>
    </w:p>
    <w:p>
      <w:pPr>
        <w:spacing w:before="40" w:after="160"/>
        <w:ind w:left="113"/>
      </w:pPr>
      <w:r>
        <w:rPr>
          <w:rFonts w:ascii="游ゴシック" w:hAnsi="游ゴシック" w:eastAsia="游ゴシック"/>
          <w:b w:val="0"/>
          <w:i w:val="0"/>
          <w:sz w:val="17"/>
        </w:rPr>
        <w:t>※ 本資料の数値は令和8年10月6日時点の算定によります。介護報酬改定率と第1号被保険者負担割合は国から示されていないため、</w:t>
      </w:r>
      <w:r>
        <w:rPr>
          <w:rFonts w:ascii="游ゴシック" w:hAnsi="游ゴシック" w:eastAsia="游ゴシック"/>
          <w:b/>
          <w:i w:val="0"/>
          <w:sz w:val="17"/>
        </w:rPr>
        <w:t>改定率0％・負担割合23％を置いています。</w:t>
      </w:r>
      <w:r>
        <w:rPr>
          <w:rFonts w:ascii="游ゴシック" w:hAnsi="游ゴシック" w:eastAsia="游ゴシック"/>
          <w:b w:val="0"/>
          <w:i w:val="0"/>
          <w:sz w:val="17"/>
        </w:rPr>
        <w:t>示された時点で算定し直します。</w:t>
      </w:r>
    </w:p>
    <w:p>
      <w:pPr>
        <w:pStyle w:val="Heading1"/>
        <w:keepNext/>
        <w:spacing w:before="240" w:after="100"/>
      </w:pPr>
      <w:bookmarkStart w:id="102" w:name="_Toc_002"/>
      <w:r>
        <w:rPr>
          <w:rFonts w:ascii="游ゴシック" w:hAnsi="游ゴシック" w:eastAsia="游ゴシック"/>
          <w:b/>
          <w:i w:val="0"/>
          <w:color w:val="2E74B5"/>
          <w:sz w:val="30"/>
        </w:rPr>
        <w:t>1　計画の骨子</w:t>
      </w:r>
      <w:bookmarkEnd w:id="102"/>
    </w:p>
    <w:p>
      <w:pPr>
        <w:spacing w:before="60" w:after="60"/>
      </w:pPr>
      <w:r>
        <w:rPr>
          <w:rFonts w:ascii="游ゴシック" w:hAnsi="游ゴシック" w:eastAsia="游ゴシック"/>
          <w:b/>
          <w:i w:val="0"/>
          <w:sz w:val="21"/>
        </w:rPr>
        <w:t>第10期計画は6章構成とします。</w:t>
      </w:r>
      <w:r>
        <w:rPr>
          <w:rFonts w:ascii="游ゴシック" w:hAnsi="游ゴシック" w:eastAsia="游ゴシック"/>
          <w:b w:val="0"/>
          <w:i w:val="0"/>
          <w:sz w:val="21"/>
        </w:rPr>
        <w:t>第9期計画は5章構成でしたが、第9期の実施状況と評価を独立した章とし、介護保険事業等の見込みを独立した章としました。</w:t>
      </w:r>
    </w:p>
    <w:p>
      <w:pPr>
        <w:keepNext/>
        <w:spacing w:before="200" w:after="40"/>
      </w:pPr>
      <w:r>
        <w:rPr>
          <w:rFonts w:ascii="游ゴシック" w:hAnsi="游ゴシック" w:eastAsia="游ゴシック"/>
          <w:b/>
          <w:i w:val="0"/>
          <w:color w:val="1F4D78"/>
          <w:sz w:val="22"/>
        </w:rPr>
        <w:t>【表2】第10期計画の章立て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7483"/>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7483"/>
            <w:shd w:val="clear" w:fill="1F3864"/>
            <w:vAlign w:val="center"/>
          </w:tcPr>
          <w:p>
            <w:pPr>
              <w:spacing w:before="20" w:after="20"/>
              <w:jc w:val="center"/>
            </w:pPr>
            <w:r>
              <w:rPr>
                <w:rFonts w:ascii="游ゴシック" w:hAnsi="游ゴシック" w:eastAsia="游ゴシック"/>
                <w:b/>
                <w:i w:val="0"/>
                <w:color w:val="FFFFFF"/>
                <w:sz w:val="17"/>
              </w:rPr>
              <w:t>節</w:t>
            </w:r>
          </w:p>
        </w:tc>
      </w:tr>
      <w:tr>
        <w:tc>
          <w:tcPr>
            <w:tcW w:type="dxa" w:w="2268"/>
            <w:vAlign w:val="center"/>
          </w:tcPr>
          <w:p>
            <w:pPr>
              <w:spacing w:before="20" w:after="20"/>
            </w:pPr>
            <w:r>
              <w:rPr>
                <w:rFonts w:ascii="游ゴシック" w:hAnsi="游ゴシック" w:eastAsia="游ゴシック"/>
                <w:b w:val="0"/>
                <w:i w:val="0"/>
                <w:sz w:val="17"/>
              </w:rPr>
              <w:t>第1章</w:t>
            </w:r>
          </w:p>
        </w:tc>
        <w:tc>
          <w:tcPr>
            <w:tcW w:type="dxa" w:w="7483"/>
            <w:vAlign w:val="center"/>
          </w:tcPr>
          <w:p>
            <w:pPr>
              <w:spacing w:before="20" w:after="20"/>
            </w:pPr>
            <w:r>
              <w:rPr>
                <w:rFonts w:ascii="游ゴシック" w:hAnsi="游ゴシック" w:eastAsia="游ゴシック"/>
                <w:b w:val="0"/>
                <w:i w:val="0"/>
                <w:sz w:val="17"/>
              </w:rPr>
              <w:t>1　計画策定の趣旨／2　第10期計画の基本指針／3　計画の位置づけと期間／4　計画策定の視点／5　日常生活圏域の設定／6　計画の進行管理・推進体制／7　計画の策定体制</w:t>
            </w:r>
          </w:p>
        </w:tc>
      </w:tr>
      <w:tr>
        <w:tc>
          <w:tcPr>
            <w:tcW w:type="dxa" w:w="2268"/>
            <w:vAlign w:val="center"/>
          </w:tcPr>
          <w:p>
            <w:pPr>
              <w:spacing w:before="20" w:after="20"/>
            </w:pPr>
            <w:r>
              <w:rPr>
                <w:rFonts w:ascii="游ゴシック" w:hAnsi="游ゴシック" w:eastAsia="游ゴシック"/>
                <w:b w:val="0"/>
                <w:i w:val="0"/>
                <w:sz w:val="17"/>
              </w:rPr>
              <w:t>第2章</w:t>
            </w:r>
          </w:p>
        </w:tc>
        <w:tc>
          <w:tcPr>
            <w:tcW w:type="dxa" w:w="7483"/>
            <w:vAlign w:val="center"/>
          </w:tcPr>
          <w:p>
            <w:pPr>
              <w:spacing w:before="20" w:after="20"/>
            </w:pPr>
            <w:r>
              <w:rPr>
                <w:rFonts w:ascii="游ゴシック" w:hAnsi="游ゴシック" w:eastAsia="游ゴシック"/>
                <w:b w:val="0"/>
                <w:i w:val="0"/>
                <w:sz w:val="17"/>
              </w:rPr>
              <w:t>1　人口と世帯の状況／2　令和7年度調査のまとめ／3　小野町の介護保険事業の状況／4　介護保険財政の状況／5　サービス提供体制の状況／6　高齢者数等の将来推計／7　第10期計画における課題の整理</w:t>
            </w:r>
          </w:p>
        </w:tc>
      </w:tr>
      <w:tr>
        <w:tc>
          <w:tcPr>
            <w:tcW w:type="dxa" w:w="2268"/>
            <w:vAlign w:val="center"/>
          </w:tcPr>
          <w:p>
            <w:pPr>
              <w:spacing w:before="20" w:after="20"/>
            </w:pPr>
            <w:r>
              <w:rPr>
                <w:rFonts w:ascii="游ゴシック" w:hAnsi="游ゴシック" w:eastAsia="游ゴシック"/>
                <w:b w:val="0"/>
                <w:i w:val="0"/>
                <w:sz w:val="17"/>
              </w:rPr>
              <w:t>第3章</w:t>
            </w:r>
          </w:p>
        </w:tc>
        <w:tc>
          <w:tcPr>
            <w:tcW w:type="dxa" w:w="7483"/>
            <w:vAlign w:val="center"/>
          </w:tcPr>
          <w:p>
            <w:pPr>
              <w:spacing w:before="20" w:after="20"/>
            </w:pPr>
            <w:r>
              <w:rPr>
                <w:rFonts w:ascii="游ゴシック" w:hAnsi="游ゴシック" w:eastAsia="游ゴシック"/>
                <w:b w:val="0"/>
                <w:i w:val="0"/>
                <w:sz w:val="17"/>
              </w:rPr>
              <w:t>1　第9期計画の基本目標と達成状況／2　地域支援事業の実績／3　介護保険事業の実績／4　第9期の評価と第10期への課題</w:t>
            </w:r>
          </w:p>
        </w:tc>
      </w:tr>
      <w:tr>
        <w:tc>
          <w:tcPr>
            <w:tcW w:type="dxa" w:w="2268"/>
            <w:vAlign w:val="center"/>
          </w:tcPr>
          <w:p>
            <w:pPr>
              <w:spacing w:before="20" w:after="20"/>
            </w:pPr>
            <w:r>
              <w:rPr>
                <w:rFonts w:ascii="游ゴシック" w:hAnsi="游ゴシック" w:eastAsia="游ゴシック"/>
                <w:b w:val="0"/>
                <w:i w:val="0"/>
                <w:sz w:val="17"/>
              </w:rPr>
              <w:t>第4章</w:t>
            </w:r>
          </w:p>
        </w:tc>
        <w:tc>
          <w:tcPr>
            <w:tcW w:type="dxa" w:w="7483"/>
            <w:vAlign w:val="center"/>
          </w:tcPr>
          <w:p>
            <w:pPr>
              <w:spacing w:before="20" w:after="20"/>
            </w:pPr>
            <w:r>
              <w:rPr>
                <w:rFonts w:ascii="游ゴシック" w:hAnsi="游ゴシック" w:eastAsia="游ゴシック"/>
                <w:b w:val="0"/>
                <w:i w:val="0"/>
                <w:sz w:val="17"/>
              </w:rPr>
              <w:t>1　計画の基本理念と目標／2　計画の体系／3　関連計画との役割分担／4　障がい福祉計画との接点</w:t>
            </w:r>
          </w:p>
        </w:tc>
      </w:tr>
      <w:tr>
        <w:tc>
          <w:tcPr>
            <w:tcW w:type="dxa" w:w="2268"/>
            <w:vAlign w:val="center"/>
          </w:tcPr>
          <w:p>
            <w:pPr>
              <w:keepNext/>
              <w:spacing w:before="20" w:after="20"/>
            </w:pPr>
            <w:r>
              <w:rPr>
                <w:rFonts w:ascii="游ゴシック" w:hAnsi="游ゴシック" w:eastAsia="游ゴシック"/>
                <w:b w:val="0"/>
                <w:i w:val="0"/>
                <w:sz w:val="17"/>
              </w:rPr>
              <w:t>第5章</w:t>
            </w:r>
          </w:p>
        </w:tc>
        <w:tc>
          <w:tcPr>
            <w:tcW w:type="dxa" w:w="7483"/>
            <w:vAlign w:val="center"/>
          </w:tcPr>
          <w:p>
            <w:pPr>
              <w:keepNext/>
              <w:spacing w:before="20" w:after="20"/>
            </w:pPr>
            <w:r>
              <w:rPr>
                <w:rFonts w:ascii="游ゴシック" w:hAnsi="游ゴシック" w:eastAsia="游ゴシック"/>
                <w:b w:val="0"/>
                <w:i w:val="0"/>
                <w:sz w:val="17"/>
              </w:rPr>
              <w:t>基本目標1　介護予防と生きがいづくりの推進／基本目標2　安全・安心な暮らしの確保／基本目標3　介護サービスの充実</w:t>
            </w:r>
          </w:p>
        </w:tc>
      </w:tr>
      <w:tr>
        <w:tc>
          <w:tcPr>
            <w:tcW w:type="dxa" w:w="2268"/>
            <w:vAlign w:val="center"/>
          </w:tcPr>
          <w:p>
            <w:pPr>
              <w:spacing w:before="20" w:after="20"/>
            </w:pPr>
            <w:r>
              <w:rPr>
                <w:rFonts w:ascii="游ゴシック" w:hAnsi="游ゴシック" w:eastAsia="游ゴシック"/>
                <w:b w:val="0"/>
                <w:i w:val="0"/>
                <w:sz w:val="17"/>
              </w:rPr>
              <w:t>第6章</w:t>
            </w:r>
          </w:p>
        </w:tc>
        <w:tc>
          <w:tcPr>
            <w:tcW w:type="dxa" w:w="7483"/>
            <w:vAlign w:val="center"/>
          </w:tcPr>
          <w:p>
            <w:pPr>
              <w:spacing w:before="20" w:after="20"/>
            </w:pPr>
            <w:r>
              <w:rPr>
                <w:rFonts w:ascii="游ゴシック" w:hAnsi="游ゴシック" w:eastAsia="游ゴシック"/>
                <w:b w:val="0"/>
                <w:i w:val="0"/>
                <w:sz w:val="17"/>
              </w:rPr>
              <w:t>1　要介護認定者数の見込み／2　介護給付等サービスの見込量／3　介護保険サービス事業費の見込み／4　地域支援事業の見込量と事業費／5　第1号被保険者の保険料／6　人材の供給制約からみた見込量の妥当性／7　見える化システムによる算定との突合／8　介護施設等の整備の基本方針と必要利用定員総数／9　老人福祉事業の量の目標／10　低所得者支援／11　中長期の見通し（令和22年・令和32年）／12　将来に向けたサービス提供体制の確保に関する施策</w:t>
            </w:r>
          </w:p>
        </w:tc>
      </w:tr>
    </w:tbl>
    <w:p>
      <w:pPr>
        <w:spacing w:after="40"/>
      </w:pPr>
    </w:p>
    <w:p>
      <w:pPr>
        <w:spacing w:before="40" w:after="160"/>
        <w:ind w:left="113"/>
      </w:pPr>
      <w:r>
        <w:rPr>
          <w:rFonts w:ascii="游ゴシック" w:hAnsi="游ゴシック" w:eastAsia="游ゴシック"/>
          <w:b w:val="0"/>
          <w:i w:val="0"/>
          <w:sz w:val="17"/>
        </w:rPr>
        <w:t>資料：小野町高齢者保健福祉計画_第10期介護保険事業計画_素案_第15版_20261021.docx。</w:t>
      </w:r>
      <w:r>
        <w:rPr>
          <w:rFonts w:ascii="游ゴシック" w:hAnsi="游ゴシック" w:eastAsia="游ゴシック"/>
          <w:b/>
          <w:i w:val="0"/>
          <w:sz w:val="17"/>
        </w:rPr>
        <w:t>本表は計画素案の見出しから機械で読み出しています。</w:t>
      </w:r>
      <w:r>
        <w:rPr>
          <w:rFonts w:ascii="游ゴシック" w:hAnsi="游ゴシック" w:eastAsia="游ゴシック"/>
          <w:b w:val="0"/>
          <w:i w:val="0"/>
          <w:sz w:val="17"/>
        </w:rPr>
        <w:t>素案を直せば本表も変わるため、両者がずれることはありません。</w:t>
      </w:r>
    </w:p>
    <w:p>
      <w:pPr>
        <w:pStyle w:val="Heading2"/>
        <w:keepNext/>
        <w:spacing w:before="180" w:after="100"/>
      </w:pPr>
      <w:bookmarkStart w:id="103" w:name="_Toc_003"/>
      <w:r>
        <w:rPr>
          <w:rFonts w:ascii="游ゴシック" w:hAnsi="游ゴシック" w:eastAsia="游ゴシック"/>
          <w:b/>
          <w:i w:val="0"/>
          <w:color w:val="2E74B5"/>
          <w:sz w:val="25"/>
        </w:rPr>
        <w:t>（1）第9期からの主な変更</w:t>
      </w:r>
      <w:bookmarkEnd w:id="103"/>
    </w:p>
    <w:p>
      <w:pPr>
        <w:keepNext/>
        <w:spacing w:before="200" w:after="40"/>
      </w:pPr>
      <w:r>
        <w:rPr>
          <w:rFonts w:ascii="游ゴシック" w:hAnsi="游ゴシック" w:eastAsia="游ゴシック"/>
          <w:b/>
          <w:i w:val="0"/>
          <w:color w:val="1F4D78"/>
          <w:sz w:val="22"/>
        </w:rPr>
        <w:t>【表3】第9期計画からの主な変更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61"/>
        <w:gridCol w:w="1814"/>
        <w:gridCol w:w="2268"/>
        <w:gridCol w:w="4309"/>
      </w:tblGrid>
      <w:tr>
        <w:tc>
          <w:tcPr>
            <w:tcW w:type="dxa" w:w="136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第9期</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第10期（案）</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変更の理由</w:t>
            </w:r>
          </w:p>
        </w:tc>
      </w:tr>
      <w:tr>
        <w:tc>
          <w:tcPr>
            <w:tcW w:type="dxa" w:w="1361"/>
            <w:vAlign w:val="center"/>
          </w:tcPr>
          <w:p>
            <w:pPr>
              <w:spacing w:before="20" w:after="20"/>
            </w:pPr>
            <w:r>
              <w:rPr>
                <w:rFonts w:ascii="游ゴシック" w:hAnsi="游ゴシック" w:eastAsia="游ゴシック"/>
                <w:b w:val="0"/>
                <w:i w:val="0"/>
                <w:sz w:val="17"/>
              </w:rPr>
              <w:t>章の数</w:t>
            </w:r>
          </w:p>
        </w:tc>
        <w:tc>
          <w:tcPr>
            <w:tcW w:type="dxa" w:w="1814"/>
            <w:vAlign w:val="center"/>
          </w:tcPr>
          <w:p>
            <w:pPr>
              <w:spacing w:before="20" w:after="20"/>
            </w:pPr>
            <w:r>
              <w:rPr>
                <w:rFonts w:ascii="游ゴシック" w:hAnsi="游ゴシック" w:eastAsia="游ゴシック"/>
                <w:b w:val="0"/>
                <w:i w:val="0"/>
                <w:sz w:val="17"/>
              </w:rPr>
              <w:t>5章</w:t>
            </w:r>
          </w:p>
        </w:tc>
        <w:tc>
          <w:tcPr>
            <w:tcW w:type="dxa" w:w="2268"/>
            <w:vAlign w:val="center"/>
          </w:tcPr>
          <w:p>
            <w:pPr>
              <w:spacing w:before="20" w:after="20"/>
            </w:pPr>
            <w:r>
              <w:rPr>
                <w:rFonts w:ascii="游ゴシック" w:hAnsi="游ゴシック" w:eastAsia="游ゴシック"/>
                <w:b/>
                <w:i w:val="0"/>
                <w:sz w:val="17"/>
              </w:rPr>
              <w:t>6章</w:t>
            </w:r>
          </w:p>
        </w:tc>
        <w:tc>
          <w:tcPr>
            <w:tcW w:type="dxa" w:w="4309"/>
            <w:vAlign w:val="center"/>
          </w:tcPr>
          <w:p>
            <w:pPr>
              <w:spacing w:before="20" w:after="20"/>
            </w:pPr>
            <w:r>
              <w:rPr>
                <w:rFonts w:ascii="游ゴシック" w:hAnsi="游ゴシック" w:eastAsia="游ゴシック"/>
                <w:b/>
                <w:i w:val="0"/>
                <w:sz w:val="17"/>
              </w:rPr>
              <w:t>第9期の評価と、事業等の見込みを独立させた</w:t>
            </w:r>
          </w:p>
        </w:tc>
      </w:tr>
      <w:tr>
        <w:tc>
          <w:tcPr>
            <w:tcW w:type="dxa" w:w="1361"/>
            <w:vAlign w:val="center"/>
          </w:tcPr>
          <w:p>
            <w:pPr>
              <w:spacing w:before="20" w:after="20"/>
            </w:pPr>
            <w:r>
              <w:rPr>
                <w:rFonts w:ascii="游ゴシック" w:hAnsi="游ゴシック" w:eastAsia="游ゴシック"/>
                <w:b w:val="0"/>
                <w:i w:val="0"/>
                <w:sz w:val="17"/>
              </w:rPr>
              <w:t>第9期の評価</w:t>
            </w:r>
          </w:p>
        </w:tc>
        <w:tc>
          <w:tcPr>
            <w:tcW w:type="dxa" w:w="1814"/>
            <w:vAlign w:val="center"/>
          </w:tcPr>
          <w:p>
            <w:pPr>
              <w:spacing w:before="20" w:after="20"/>
            </w:pPr>
            <w:r>
              <w:rPr>
                <w:rFonts w:ascii="游ゴシック" w:hAnsi="游ゴシック" w:eastAsia="游ゴシック"/>
                <w:b w:val="0"/>
                <w:i w:val="0"/>
                <w:sz w:val="17"/>
              </w:rPr>
              <w:t>記載なし</w:t>
            </w:r>
          </w:p>
        </w:tc>
        <w:tc>
          <w:tcPr>
            <w:tcW w:type="dxa" w:w="2268"/>
            <w:vAlign w:val="center"/>
          </w:tcPr>
          <w:p>
            <w:pPr>
              <w:spacing w:before="20" w:after="20"/>
            </w:pPr>
            <w:r>
              <w:rPr>
                <w:rFonts w:ascii="游ゴシック" w:hAnsi="游ゴシック" w:eastAsia="游ゴシック"/>
                <w:b/>
                <w:i w:val="0"/>
                <w:sz w:val="17"/>
              </w:rPr>
              <w:t>第3章として新設</w:t>
            </w:r>
          </w:p>
        </w:tc>
        <w:tc>
          <w:tcPr>
            <w:tcW w:type="dxa" w:w="4309"/>
            <w:vAlign w:val="center"/>
          </w:tcPr>
          <w:p>
            <w:pPr>
              <w:spacing w:before="20" w:after="20"/>
            </w:pPr>
            <w:r>
              <w:rPr>
                <w:rFonts w:ascii="游ゴシック" w:hAnsi="游ゴシック" w:eastAsia="游ゴシック"/>
                <w:b/>
                <w:i w:val="0"/>
                <w:sz w:val="17"/>
              </w:rPr>
              <w:t>計画の評価は次期計画の出発点である。</w:t>
            </w:r>
            <w:r>
              <w:rPr>
                <w:rFonts w:ascii="游ゴシック" w:hAnsi="游ゴシック" w:eastAsia="游ゴシック"/>
                <w:b w:val="0"/>
                <w:i w:val="0"/>
                <w:sz w:val="17"/>
              </w:rPr>
              <w:t>第9期計画自身が第5章2(2)で4つの点検項目を定めている</w:t>
            </w:r>
          </w:p>
        </w:tc>
      </w:tr>
      <w:tr>
        <w:tc>
          <w:tcPr>
            <w:tcW w:type="dxa" w:w="1361"/>
            <w:vAlign w:val="center"/>
          </w:tcPr>
          <w:p>
            <w:pPr>
              <w:spacing w:before="20" w:after="20"/>
            </w:pPr>
            <w:r>
              <w:rPr>
                <w:rFonts w:ascii="游ゴシック" w:hAnsi="游ゴシック" w:eastAsia="游ゴシック"/>
                <w:b w:val="0"/>
                <w:i w:val="0"/>
                <w:sz w:val="17"/>
              </w:rPr>
              <w:t>日常生活圏域</w:t>
            </w:r>
          </w:p>
        </w:tc>
        <w:tc>
          <w:tcPr>
            <w:tcW w:type="dxa" w:w="1814"/>
            <w:vAlign w:val="center"/>
          </w:tcPr>
          <w:p>
            <w:pPr>
              <w:spacing w:before="20" w:after="20"/>
            </w:pPr>
            <w:r>
              <w:rPr>
                <w:rFonts w:ascii="游ゴシック" w:hAnsi="游ゴシック" w:eastAsia="游ゴシック"/>
                <w:b w:val="0"/>
                <w:i w:val="0"/>
                <w:sz w:val="17"/>
              </w:rPr>
              <w:t>表の1行</w:t>
            </w:r>
          </w:p>
        </w:tc>
        <w:tc>
          <w:tcPr>
            <w:tcW w:type="dxa" w:w="2268"/>
            <w:vAlign w:val="center"/>
          </w:tcPr>
          <w:p>
            <w:pPr>
              <w:spacing w:before="20" w:after="20"/>
            </w:pPr>
            <w:r>
              <w:rPr>
                <w:rFonts w:ascii="游ゴシック" w:hAnsi="游ゴシック" w:eastAsia="游ゴシック"/>
                <w:b/>
                <w:i w:val="0"/>
                <w:sz w:val="17"/>
              </w:rPr>
              <w:t>第1章5として独立</w:t>
            </w:r>
          </w:p>
        </w:tc>
        <w:tc>
          <w:tcPr>
            <w:tcW w:type="dxa" w:w="4309"/>
            <w:vAlign w:val="center"/>
          </w:tcPr>
          <w:p>
            <w:pPr>
              <w:spacing w:before="20" w:after="20"/>
            </w:pPr>
            <w:r>
              <w:rPr>
                <w:rFonts w:ascii="游ゴシック" w:hAnsi="游ゴシック" w:eastAsia="游ゴシック"/>
                <w:b/>
                <w:i w:val="0"/>
                <w:sz w:val="17"/>
              </w:rPr>
              <w:t>介護保険法117条2項1号が定めを求める事項</w:t>
            </w:r>
          </w:p>
        </w:tc>
      </w:tr>
      <w:tr>
        <w:tc>
          <w:tcPr>
            <w:tcW w:type="dxa" w:w="1361"/>
            <w:vAlign w:val="center"/>
          </w:tcPr>
          <w:p>
            <w:pPr>
              <w:spacing w:before="20" w:after="20"/>
            </w:pPr>
            <w:r>
              <w:rPr>
                <w:rFonts w:ascii="游ゴシック" w:hAnsi="游ゴシック" w:eastAsia="游ゴシック"/>
                <w:b w:val="0"/>
                <w:i w:val="0"/>
                <w:sz w:val="17"/>
              </w:rPr>
              <w:t>進行管理</w:t>
            </w:r>
          </w:p>
        </w:tc>
        <w:tc>
          <w:tcPr>
            <w:tcW w:type="dxa" w:w="1814"/>
            <w:vAlign w:val="center"/>
          </w:tcPr>
          <w:p>
            <w:pPr>
              <w:spacing w:before="20" w:after="20"/>
            </w:pPr>
            <w:r>
              <w:rPr>
                <w:rFonts w:ascii="游ゴシック" w:hAnsi="游ゴシック" w:eastAsia="游ゴシック"/>
                <w:b w:val="0"/>
                <w:i w:val="0"/>
                <w:sz w:val="17"/>
              </w:rPr>
              <w:t>最終章</w:t>
            </w:r>
          </w:p>
        </w:tc>
        <w:tc>
          <w:tcPr>
            <w:tcW w:type="dxa" w:w="2268"/>
            <w:vAlign w:val="center"/>
          </w:tcPr>
          <w:p>
            <w:pPr>
              <w:spacing w:before="20" w:after="20"/>
            </w:pPr>
            <w:r>
              <w:rPr>
                <w:rFonts w:ascii="游ゴシック" w:hAnsi="游ゴシック" w:eastAsia="游ゴシック"/>
                <w:b/>
                <w:i w:val="0"/>
                <w:sz w:val="17"/>
              </w:rPr>
              <w:t>第1章6</w:t>
            </w:r>
          </w:p>
        </w:tc>
        <w:tc>
          <w:tcPr>
            <w:tcW w:type="dxa" w:w="4309"/>
            <w:vAlign w:val="center"/>
          </w:tcPr>
          <w:p>
            <w:pPr>
              <w:spacing w:before="20" w:after="20"/>
            </w:pPr>
            <w:r>
              <w:rPr>
                <w:rFonts w:ascii="游ゴシック" w:hAnsi="游ゴシック" w:eastAsia="游ゴシック"/>
                <w:b/>
                <w:i w:val="0"/>
                <w:sz w:val="17"/>
              </w:rPr>
              <w:t>何をどう測るかを先に示す。</w:t>
            </w:r>
            <w:r>
              <w:rPr>
                <w:rFonts w:ascii="游ゴシック" w:hAnsi="游ゴシック" w:eastAsia="游ゴシック"/>
                <w:b w:val="0"/>
                <w:i w:val="0"/>
                <w:sz w:val="17"/>
              </w:rPr>
              <w:t>成果指標・施策管理指標・需給と財政の3層で点検する</w:t>
            </w:r>
          </w:p>
        </w:tc>
      </w:tr>
      <w:tr>
        <w:tc>
          <w:tcPr>
            <w:tcW w:type="dxa" w:w="1361"/>
            <w:vAlign w:val="center"/>
          </w:tcPr>
          <w:p>
            <w:pPr>
              <w:keepNext/>
              <w:spacing w:before="20" w:after="20"/>
            </w:pPr>
            <w:r>
              <w:rPr>
                <w:rFonts w:ascii="游ゴシック" w:hAnsi="游ゴシック" w:eastAsia="游ゴシック"/>
                <w:b w:val="0"/>
                <w:i w:val="0"/>
                <w:sz w:val="17"/>
              </w:rPr>
              <w:t>見込みと保険料</w:t>
            </w:r>
          </w:p>
        </w:tc>
        <w:tc>
          <w:tcPr>
            <w:tcW w:type="dxa" w:w="1814"/>
            <w:vAlign w:val="center"/>
          </w:tcPr>
          <w:p>
            <w:pPr>
              <w:keepNext/>
              <w:spacing w:before="20" w:after="20"/>
            </w:pPr>
            <w:r>
              <w:rPr>
                <w:rFonts w:ascii="游ゴシック" w:hAnsi="游ゴシック" w:eastAsia="游ゴシック"/>
                <w:b w:val="0"/>
                <w:i w:val="0"/>
                <w:sz w:val="17"/>
              </w:rPr>
              <w:t>施策の章の一部</w:t>
            </w:r>
          </w:p>
        </w:tc>
        <w:tc>
          <w:tcPr>
            <w:tcW w:type="dxa" w:w="2268"/>
            <w:vAlign w:val="center"/>
          </w:tcPr>
          <w:p>
            <w:pPr>
              <w:keepNext/>
              <w:spacing w:before="20" w:after="20"/>
            </w:pPr>
            <w:r>
              <w:rPr>
                <w:rFonts w:ascii="游ゴシック" w:hAnsi="游ゴシック" w:eastAsia="游ゴシック"/>
                <w:b/>
                <w:i w:val="0"/>
                <w:sz w:val="17"/>
              </w:rPr>
              <w:t>第6章として独立（10節）</w:t>
            </w:r>
          </w:p>
        </w:tc>
        <w:tc>
          <w:tcPr>
            <w:tcW w:type="dxa" w:w="4309"/>
            <w:vAlign w:val="center"/>
          </w:tcPr>
          <w:p>
            <w:pPr>
              <w:keepNext/>
              <w:spacing w:before="20" w:after="20"/>
            </w:pPr>
            <w:r>
              <w:rPr>
                <w:rFonts w:ascii="游ゴシック" w:hAnsi="游ゴシック" w:eastAsia="游ゴシック"/>
                <w:b w:val="0"/>
                <w:i w:val="0"/>
                <w:sz w:val="17"/>
              </w:rPr>
              <w:t>認定者数・見込量・事業費・地域支援事業・保険料・人材の制約・見える化との突合・施設整備・低所得者支援・中長期の見通し</w:t>
            </w:r>
          </w:p>
        </w:tc>
      </w:tr>
      <w:tr>
        <w:tc>
          <w:tcPr>
            <w:tcW w:type="dxa" w:w="1361"/>
            <w:vAlign w:val="center"/>
          </w:tcPr>
          <w:p>
            <w:pPr>
              <w:spacing w:before="20" w:after="20"/>
            </w:pPr>
            <w:r>
              <w:rPr>
                <w:rFonts w:ascii="游ゴシック" w:hAnsi="游ゴシック" w:eastAsia="游ゴシック"/>
                <w:b w:val="0"/>
                <w:i w:val="0"/>
                <w:sz w:val="17"/>
              </w:rPr>
              <w:t>資料編</w:t>
            </w:r>
          </w:p>
        </w:tc>
        <w:tc>
          <w:tcPr>
            <w:tcW w:type="dxa" w:w="1814"/>
            <w:vAlign w:val="center"/>
          </w:tcPr>
          <w:p>
            <w:pPr>
              <w:spacing w:before="20" w:after="20"/>
            </w:pPr>
            <w:r>
              <w:rPr>
                <w:rFonts w:ascii="游ゴシック" w:hAnsi="游ゴシック" w:eastAsia="游ゴシック"/>
                <w:b w:val="0"/>
                <w:i w:val="0"/>
                <w:sz w:val="17"/>
              </w:rPr>
              <w:t>7項目（うち5項目は作成予定）</w:t>
            </w:r>
          </w:p>
        </w:tc>
        <w:tc>
          <w:tcPr>
            <w:tcW w:type="dxa" w:w="2268"/>
            <w:vAlign w:val="center"/>
          </w:tcPr>
          <w:p>
            <w:pPr>
              <w:spacing w:before="20" w:after="20"/>
            </w:pPr>
            <w:r>
              <w:rPr>
                <w:rFonts w:ascii="游ゴシック" w:hAnsi="游ゴシック" w:eastAsia="游ゴシック"/>
                <w:b/>
                <w:i w:val="0"/>
                <w:sz w:val="17"/>
              </w:rPr>
              <w:t>12項目（8〜12は作成済み）</w:t>
            </w:r>
          </w:p>
        </w:tc>
        <w:tc>
          <w:tcPr>
            <w:tcW w:type="dxa" w:w="4309"/>
            <w:vAlign w:val="center"/>
          </w:tcPr>
          <w:p>
            <w:pPr>
              <w:spacing w:before="20" w:after="20"/>
            </w:pPr>
            <w:r>
              <w:rPr>
                <w:rFonts w:ascii="游ゴシック" w:hAnsi="游ゴシック" w:eastAsia="游ゴシック"/>
                <w:b/>
                <w:i w:val="0"/>
                <w:sz w:val="17"/>
              </w:rPr>
              <w:t>成果指標の定義・年次評価の様式・見直しの基準を資料編に固定する。</w:t>
            </w:r>
            <w:r>
              <w:rPr>
                <w:rFonts w:ascii="游ゴシック" w:hAnsi="游ゴシック" w:eastAsia="游ゴシック"/>
                <w:b w:val="0"/>
                <w:i w:val="0"/>
                <w:sz w:val="17"/>
              </w:rPr>
              <w:t>定義が動くと年次評価が成り立たない</w:t>
            </w:r>
          </w:p>
        </w:tc>
      </w:tr>
    </w:tbl>
    <w:p>
      <w:pPr>
        <w:spacing w:after="40"/>
      </w:pPr>
    </w:p>
    <w:p>
      <w:pPr>
        <w:pStyle w:val="Heading1"/>
        <w:keepNext/>
        <w:spacing w:before="240" w:after="100"/>
      </w:pPr>
      <w:bookmarkStart w:id="104" w:name="_Toc_004"/>
      <w:r>
        <w:rPr>
          <w:rFonts w:ascii="游ゴシック" w:hAnsi="游ゴシック" w:eastAsia="游ゴシック"/>
          <w:b/>
          <w:i w:val="0"/>
          <w:color w:val="2E74B5"/>
          <w:sz w:val="30"/>
        </w:rPr>
        <w:t>2　サービス見込量</w:t>
      </w:r>
      <w:bookmarkEnd w:id="104"/>
    </w:p>
    <w:p>
      <w:pPr>
        <w:pStyle w:val="Heading2"/>
        <w:keepNext/>
        <w:spacing w:before="180" w:after="100"/>
      </w:pPr>
      <w:bookmarkStart w:id="105" w:name="_Toc_005"/>
      <w:r>
        <w:rPr>
          <w:rFonts w:ascii="游ゴシック" w:hAnsi="游ゴシック" w:eastAsia="游ゴシック"/>
          <w:b/>
          <w:i w:val="0"/>
          <w:color w:val="2E74B5"/>
          <w:sz w:val="25"/>
        </w:rPr>
        <w:t>（1）推計の置き方</w:t>
      </w:r>
      <w:bookmarkEnd w:id="105"/>
    </w:p>
    <w:p>
      <w:pPr>
        <w:spacing w:before="60" w:after="60"/>
      </w:pPr>
      <w:r>
        <w:rPr>
          <w:rFonts w:ascii="游ゴシック" w:hAnsi="游ゴシック" w:eastAsia="游ゴシック"/>
          <w:b/>
          <w:i w:val="0"/>
          <w:sz w:val="21"/>
        </w:rPr>
        <w:t>サービス見込量は自然体推計によります。</w:t>
      </w:r>
      <w:r>
        <w:rPr>
          <w:rFonts w:ascii="游ゴシック" w:hAnsi="游ゴシック" w:eastAsia="游ゴシック"/>
          <w:b w:val="0"/>
          <w:i w:val="0"/>
          <w:sz w:val="21"/>
        </w:rPr>
        <w:t>令和8年度を国民健康保険団体連合会業務統計表（月報）の実績で置き、第1号被保険者1人当たりの給付費を据え置いて第10期将来推計用推計人口で延ばしたものです。</w:t>
      </w:r>
    </w:p>
    <w:p>
      <w:pPr>
        <w:keepNext/>
        <w:spacing w:before="200" w:after="40"/>
      </w:pPr>
      <w:r>
        <w:rPr>
          <w:rFonts w:ascii="游ゴシック" w:hAnsi="游ゴシック" w:eastAsia="游ゴシック"/>
          <w:b/>
          <w:i w:val="0"/>
          <w:color w:val="1F4D78"/>
          <w:sz w:val="22"/>
        </w:rPr>
        <w:t>【表4】サービス見込量の推計の置き方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2381"/>
        <w:gridCol w:w="5669"/>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論点</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当方の置き方</w:t>
            </w:r>
          </w:p>
        </w:tc>
        <w:tc>
          <w:tcPr>
            <w:tcW w:type="dxa" w:w="5669"/>
            <w:shd w:val="clear" w:fill="1F3864"/>
            <w:vAlign w:val="center"/>
          </w:tcPr>
          <w:p>
            <w:pPr>
              <w:spacing w:before="20" w:after="20"/>
              <w:jc w:val="center"/>
            </w:pPr>
            <w:r>
              <w:rPr>
                <w:rFonts w:ascii="游ゴシック" w:hAnsi="游ゴシック" w:eastAsia="游ゴシック"/>
                <w:b/>
                <w:i w:val="0"/>
                <w:color w:val="FFFFFF"/>
                <w:sz w:val="17"/>
              </w:rPr>
              <w:t>理由</w:t>
            </w:r>
          </w:p>
        </w:tc>
      </w:tr>
      <w:tr>
        <w:tc>
          <w:tcPr>
            <w:tcW w:type="dxa" w:w="1701"/>
            <w:vAlign w:val="center"/>
          </w:tcPr>
          <w:p>
            <w:pPr>
              <w:spacing w:before="20" w:after="20"/>
            </w:pPr>
            <w:r>
              <w:rPr>
                <w:rFonts w:ascii="游ゴシック" w:hAnsi="游ゴシック" w:eastAsia="游ゴシック"/>
                <w:b/>
                <w:i w:val="0"/>
                <w:sz w:val="17"/>
              </w:rPr>
              <w:t>基準年度</w:t>
            </w:r>
          </w:p>
        </w:tc>
        <w:tc>
          <w:tcPr>
            <w:tcW w:type="dxa" w:w="2381"/>
            <w:vAlign w:val="center"/>
          </w:tcPr>
          <w:p>
            <w:pPr>
              <w:spacing w:before="20" w:after="20"/>
            </w:pPr>
            <w:r>
              <w:rPr>
                <w:rFonts w:ascii="游ゴシック" w:hAnsi="游ゴシック" w:eastAsia="游ゴシック"/>
                <w:b/>
                <w:i w:val="0"/>
                <w:sz w:val="17"/>
              </w:rPr>
              <w:t>令和8年度</w:t>
            </w:r>
          </w:p>
        </w:tc>
        <w:tc>
          <w:tcPr>
            <w:tcW w:type="dxa" w:w="5669"/>
            <w:vAlign w:val="center"/>
          </w:tcPr>
          <w:p>
            <w:pPr>
              <w:spacing w:before="20" w:after="20"/>
            </w:pPr>
            <w:r>
              <w:rPr>
                <w:rFonts w:ascii="游ゴシック" w:hAnsi="游ゴシック" w:eastAsia="游ゴシック"/>
                <w:b/>
                <w:i w:val="0"/>
                <w:sz w:val="17"/>
              </w:rPr>
              <w:t>直近の実績を基準にするのが原則。</w:t>
            </w:r>
            <w:r>
              <w:rPr>
                <w:rFonts w:ascii="游ゴシック" w:hAnsi="游ゴシック" w:eastAsia="游ゴシック"/>
                <w:b w:val="0"/>
                <w:i w:val="0"/>
                <w:sz w:val="17"/>
              </w:rPr>
              <w:t>令和8年度は国保連月報で4〜6月提供分の実績が取れる</w:t>
            </w:r>
          </w:p>
        </w:tc>
      </w:tr>
      <w:tr>
        <w:tc>
          <w:tcPr>
            <w:tcW w:type="dxa" w:w="1701"/>
            <w:vAlign w:val="center"/>
          </w:tcPr>
          <w:p>
            <w:pPr>
              <w:spacing w:before="20" w:after="20"/>
            </w:pPr>
            <w:r>
              <w:rPr>
                <w:rFonts w:ascii="游ゴシック" w:hAnsi="游ゴシック" w:eastAsia="游ゴシック"/>
                <w:b/>
                <w:i w:val="0"/>
                <w:sz w:val="17"/>
              </w:rPr>
              <w:t>令和8年度の置き方</w:t>
            </w:r>
          </w:p>
        </w:tc>
        <w:tc>
          <w:tcPr>
            <w:tcW w:type="dxa" w:w="2381"/>
            <w:vAlign w:val="center"/>
          </w:tcPr>
          <w:p>
            <w:pPr>
              <w:spacing w:before="20" w:after="20"/>
            </w:pPr>
            <w:r>
              <w:rPr>
                <w:rFonts w:ascii="游ゴシック" w:hAnsi="游ゴシック" w:eastAsia="游ゴシック"/>
                <w:b/>
                <w:i w:val="0"/>
                <w:sz w:val="17"/>
              </w:rPr>
              <w:t>国保連月報の4〜6月提供分が前年同月の96.0％</w:t>
            </w:r>
          </w:p>
        </w:tc>
        <w:tc>
          <w:tcPr>
            <w:tcW w:type="dxa" w:w="5669"/>
            <w:vAlign w:val="center"/>
          </w:tcPr>
          <w:p>
            <w:pPr>
              <w:spacing w:before="20" w:after="20"/>
            </w:pPr>
            <w:r>
              <w:rPr>
                <w:rFonts w:ascii="游ゴシック" w:hAnsi="游ゴシック" w:eastAsia="游ゴシック"/>
                <w:b/>
                <w:i w:val="0"/>
                <w:sz w:val="17"/>
              </w:rPr>
              <w:t>見える化システムのワークシートは1か月分を年換算しているが、1か月では年度の水準を代表できない。</w:t>
            </w:r>
            <w:r>
              <w:rPr>
                <w:rFonts w:ascii="游ゴシック" w:hAnsi="游ゴシック" w:eastAsia="游ゴシック"/>
                <w:b w:val="0"/>
                <w:i w:val="0"/>
                <w:sz w:val="17"/>
              </w:rPr>
              <w:t>月報は3か月分あり、前年の同じ提供月と比べられる</w:t>
            </w:r>
          </w:p>
        </w:tc>
      </w:tr>
      <w:tr>
        <w:tc>
          <w:tcPr>
            <w:tcW w:type="dxa" w:w="1701"/>
            <w:vAlign w:val="center"/>
          </w:tcPr>
          <w:p>
            <w:pPr>
              <w:spacing w:before="20" w:after="20"/>
            </w:pPr>
            <w:r>
              <w:rPr>
                <w:rFonts w:ascii="游ゴシック" w:hAnsi="游ゴシック" w:eastAsia="游ゴシック"/>
                <w:b/>
                <w:i w:val="0"/>
                <w:sz w:val="17"/>
              </w:rPr>
              <w:t>伸ばし方</w:t>
            </w:r>
          </w:p>
        </w:tc>
        <w:tc>
          <w:tcPr>
            <w:tcW w:type="dxa" w:w="2381"/>
            <w:vAlign w:val="center"/>
          </w:tcPr>
          <w:p>
            <w:pPr>
              <w:spacing w:before="20" w:after="20"/>
            </w:pPr>
            <w:r>
              <w:rPr>
                <w:rFonts w:ascii="游ゴシック" w:hAnsi="游ゴシック" w:eastAsia="游ゴシック"/>
                <w:b w:val="0"/>
                <w:i w:val="0"/>
                <w:sz w:val="17"/>
              </w:rPr>
              <w:t>第1号被保険者1人当たり給付費を据え置く</w:t>
            </w:r>
          </w:p>
        </w:tc>
        <w:tc>
          <w:tcPr>
            <w:tcW w:type="dxa" w:w="5669"/>
            <w:vAlign w:val="center"/>
          </w:tcPr>
          <w:p>
            <w:pPr>
              <w:spacing w:before="20" w:after="20"/>
            </w:pPr>
            <w:r>
              <w:rPr>
                <w:rFonts w:ascii="游ゴシック" w:hAnsi="游ゴシック" w:eastAsia="游ゴシック"/>
                <w:b/>
                <w:i w:val="0"/>
                <w:sz w:val="17"/>
              </w:rPr>
              <w:t>利用率・1人1月あたり給付費の変化を0とする置き方で、見える化システムの自然体推計と同じ考え方</w:t>
            </w:r>
          </w:p>
        </w:tc>
      </w:tr>
      <w:tr>
        <w:tc>
          <w:tcPr>
            <w:tcW w:type="dxa" w:w="1701"/>
            <w:vAlign w:val="center"/>
          </w:tcPr>
          <w:p>
            <w:pPr>
              <w:keepNext/>
              <w:spacing w:before="20" w:after="20"/>
            </w:pPr>
            <w:r>
              <w:rPr>
                <w:rFonts w:ascii="游ゴシック" w:hAnsi="游ゴシック" w:eastAsia="游ゴシック"/>
                <w:b/>
                <w:i w:val="0"/>
                <w:sz w:val="17"/>
              </w:rPr>
              <w:t>認定者数を基礎としない理由</w:t>
            </w:r>
          </w:p>
        </w:tc>
        <w:tc>
          <w:tcPr>
            <w:tcW w:type="dxa" w:w="2381"/>
            <w:vAlign w:val="center"/>
          </w:tcPr>
          <w:p>
            <w:pPr>
              <w:keepNext/>
              <w:spacing w:before="20" w:after="20"/>
            </w:pPr>
            <w:r>
              <w:rPr>
                <w:rFonts w:ascii="游ゴシック" w:hAnsi="游ゴシック" w:eastAsia="游ゴシック"/>
                <w:b/>
                <w:i w:val="0"/>
                <w:sz w:val="17"/>
              </w:rPr>
              <w:t>令和7年9月審査分に認定者数の断層がある</w:t>
            </w:r>
          </w:p>
        </w:tc>
        <w:tc>
          <w:tcPr>
            <w:tcW w:type="dxa" w:w="5669"/>
            <w:vAlign w:val="center"/>
          </w:tcPr>
          <w:p>
            <w:pPr>
              <w:keepNext/>
              <w:spacing w:before="20" w:after="20"/>
            </w:pPr>
            <w:r>
              <w:rPr>
                <w:rFonts w:ascii="游ゴシック" w:hAnsi="游ゴシック" w:eastAsia="游ゴシック"/>
                <w:b w:val="0"/>
                <w:i w:val="0"/>
                <w:sz w:val="17"/>
              </w:rPr>
              <w:t>961人から862人へ99人減る一方、同じ月の給付件数は1,303件から1,365件へ増えている。</w:t>
            </w:r>
            <w:r>
              <w:rPr>
                <w:rFonts w:ascii="游ゴシック" w:hAnsi="游ゴシック" w:eastAsia="游ゴシック"/>
                <w:b/>
                <w:i w:val="0"/>
                <w:sz w:val="17"/>
              </w:rPr>
              <w:t>計上方法の変更である可能性が高く、【町データ待ち】</w:t>
            </w:r>
          </w:p>
        </w:tc>
      </w:tr>
      <w:tr>
        <w:tc>
          <w:tcPr>
            <w:tcW w:type="dxa" w:w="1701"/>
            <w:vAlign w:val="center"/>
          </w:tcPr>
          <w:p>
            <w:pPr>
              <w:spacing w:before="20" w:after="20"/>
            </w:pPr>
            <w:r>
              <w:rPr>
                <w:rFonts w:ascii="游ゴシック" w:hAnsi="游ゴシック" w:eastAsia="游ゴシック"/>
                <w:b/>
                <w:i w:val="0"/>
                <w:sz w:val="17"/>
              </w:rPr>
              <w:t>単価</w:t>
            </w:r>
          </w:p>
        </w:tc>
        <w:tc>
          <w:tcPr>
            <w:tcW w:type="dxa" w:w="2381"/>
            <w:vAlign w:val="center"/>
          </w:tcPr>
          <w:p>
            <w:pPr>
              <w:spacing w:before="20" w:after="20"/>
            </w:pPr>
            <w:r>
              <w:rPr>
                <w:rFonts w:ascii="游ゴシック" w:hAnsi="游ゴシック" w:eastAsia="游ゴシック"/>
                <w:b/>
                <w:i w:val="0"/>
                <w:sz w:val="17"/>
              </w:rPr>
              <w:t>令和7年度で固定（伸びを見込まない）</w:t>
            </w:r>
          </w:p>
        </w:tc>
        <w:tc>
          <w:tcPr>
            <w:tcW w:type="dxa" w:w="5669"/>
            <w:vAlign w:val="center"/>
          </w:tcPr>
          <w:p>
            <w:pPr>
              <w:spacing w:before="20" w:after="20"/>
            </w:pPr>
            <w:r>
              <w:rPr>
                <w:rFonts w:ascii="游ゴシック" w:hAnsi="游ゴシック" w:eastAsia="游ゴシック"/>
                <w:b/>
                <w:i w:val="0"/>
                <w:sz w:val="17"/>
              </w:rPr>
              <w:t>報酬改定率が示されていない。</w:t>
            </w:r>
            <w:r>
              <w:rPr>
                <w:rFonts w:ascii="游ゴシック" w:hAnsi="游ゴシック" w:eastAsia="游ゴシック"/>
                <w:b w:val="0"/>
                <w:i w:val="0"/>
                <w:sz w:val="17"/>
              </w:rPr>
              <w:t>実績の趨勢（年率＋1.13％）で置くと保険料は月額+195円変わる</w:t>
            </w:r>
          </w:p>
        </w:tc>
      </w:tr>
    </w:tbl>
    <w:p>
      <w:pPr>
        <w:spacing w:after="40"/>
      </w:pPr>
    </w:p>
    <w:p>
      <w:pPr>
        <w:pStyle w:val="Heading2"/>
        <w:keepNext/>
        <w:spacing w:before="180" w:after="100"/>
      </w:pPr>
      <w:bookmarkStart w:id="106" w:name="_Toc_006"/>
      <w:r>
        <w:rPr>
          <w:rFonts w:ascii="游ゴシック" w:hAnsi="游ゴシック" w:eastAsia="游ゴシック"/>
          <w:b/>
          <w:i w:val="0"/>
          <w:color w:val="2E74B5"/>
          <w:sz w:val="25"/>
        </w:rPr>
        <w:t>（2）要介護認定者数の見込み</w:t>
      </w:r>
      <w:bookmarkEnd w:id="106"/>
    </w:p>
    <w:p>
      <w:pPr>
        <w:keepNext/>
        <w:spacing w:before="200" w:after="40"/>
      </w:pPr>
      <w:r>
        <w:rPr>
          <w:rFonts w:ascii="游ゴシック" w:hAnsi="游ゴシック" w:eastAsia="游ゴシック"/>
          <w:b/>
          <w:i w:val="0"/>
          <w:color w:val="1F4D78"/>
          <w:sz w:val="22"/>
        </w:rPr>
        <w:t>【表5】要介護認定者数の見込み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48"/>
        <w:gridCol w:w="2268"/>
        <w:gridCol w:w="2268"/>
        <w:gridCol w:w="2268"/>
      </w:tblGrid>
      <w:tr>
        <w:tc>
          <w:tcPr>
            <w:tcW w:type="dxa" w:w="294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948"/>
            <w:vAlign w:val="center"/>
          </w:tcPr>
          <w:p>
            <w:pPr>
              <w:spacing w:before="20" w:after="20"/>
            </w:pPr>
            <w:r>
              <w:rPr>
                <w:rFonts w:ascii="游ゴシック" w:hAnsi="游ゴシック" w:eastAsia="游ゴシック"/>
                <w:b w:val="0"/>
                <w:i w:val="0"/>
                <w:sz w:val="17"/>
              </w:rPr>
              <w:t>第1号被保険者数（人）</w:t>
            </w:r>
          </w:p>
        </w:tc>
        <w:tc>
          <w:tcPr>
            <w:tcW w:type="dxa" w:w="2268"/>
            <w:vAlign w:val="center"/>
          </w:tcPr>
          <w:p>
            <w:pPr>
              <w:spacing w:before="20" w:after="20"/>
              <w:jc w:val="right"/>
            </w:pPr>
            <w:r>
              <w:rPr>
                <w:rFonts w:ascii="游ゴシック" w:hAnsi="游ゴシック" w:eastAsia="游ゴシック"/>
                <w:b w:val="0"/>
                <w:i w:val="0"/>
                <w:sz w:val="17"/>
              </w:rPr>
              <w:t>3,438</w:t>
            </w:r>
          </w:p>
        </w:tc>
        <w:tc>
          <w:tcPr>
            <w:tcW w:type="dxa" w:w="2268"/>
            <w:vAlign w:val="center"/>
          </w:tcPr>
          <w:p>
            <w:pPr>
              <w:spacing w:before="20" w:after="20"/>
              <w:jc w:val="right"/>
            </w:pPr>
            <w:r>
              <w:rPr>
                <w:rFonts w:ascii="游ゴシック" w:hAnsi="游ゴシック" w:eastAsia="游ゴシック"/>
                <w:b w:val="0"/>
                <w:i w:val="0"/>
                <w:sz w:val="17"/>
              </w:rPr>
              <w:t>3,428</w:t>
            </w:r>
          </w:p>
        </w:tc>
        <w:tc>
          <w:tcPr>
            <w:tcW w:type="dxa" w:w="2268"/>
            <w:vAlign w:val="center"/>
          </w:tcPr>
          <w:p>
            <w:pPr>
              <w:spacing w:before="20" w:after="20"/>
              <w:jc w:val="right"/>
            </w:pPr>
            <w:r>
              <w:rPr>
                <w:rFonts w:ascii="游ゴシック" w:hAnsi="游ゴシック" w:eastAsia="游ゴシック"/>
                <w:b w:val="0"/>
                <w:i w:val="0"/>
                <w:sz w:val="17"/>
              </w:rPr>
              <w:t>3,418</w:t>
            </w:r>
          </w:p>
        </w:tc>
      </w:tr>
      <w:tr>
        <w:tc>
          <w:tcPr>
            <w:tcW w:type="dxa" w:w="2948"/>
            <w:vAlign w:val="center"/>
          </w:tcPr>
          <w:p>
            <w:pPr>
              <w:keepNext/>
              <w:spacing w:before="20" w:after="20"/>
            </w:pPr>
            <w:r>
              <w:rPr>
                <w:rFonts w:ascii="游ゴシック" w:hAnsi="游ゴシック" w:eastAsia="游ゴシック"/>
                <w:b w:val="0"/>
                <w:i w:val="0"/>
                <w:sz w:val="17"/>
              </w:rPr>
              <w:t>認定者数（人）</w:t>
            </w:r>
          </w:p>
        </w:tc>
        <w:tc>
          <w:tcPr>
            <w:tcW w:type="dxa" w:w="2268"/>
            <w:vAlign w:val="center"/>
          </w:tcPr>
          <w:p>
            <w:pPr>
              <w:keepNext/>
              <w:spacing w:before="20" w:after="20"/>
              <w:jc w:val="right"/>
            </w:pPr>
            <w:r>
              <w:rPr>
                <w:rFonts w:ascii="游ゴシック" w:hAnsi="游ゴシック" w:eastAsia="游ゴシック"/>
                <w:b w:val="0"/>
                <w:i w:val="0"/>
                <w:sz w:val="17"/>
              </w:rPr>
              <w:t>782</w:t>
            </w:r>
          </w:p>
        </w:tc>
        <w:tc>
          <w:tcPr>
            <w:tcW w:type="dxa" w:w="2268"/>
            <w:vAlign w:val="center"/>
          </w:tcPr>
          <w:p>
            <w:pPr>
              <w:keepNext/>
              <w:spacing w:before="20" w:after="20"/>
              <w:jc w:val="right"/>
            </w:pPr>
            <w:r>
              <w:rPr>
                <w:rFonts w:ascii="游ゴシック" w:hAnsi="游ゴシック" w:eastAsia="游ゴシック"/>
                <w:b w:val="0"/>
                <w:i w:val="0"/>
                <w:sz w:val="17"/>
              </w:rPr>
              <w:t>777</w:t>
            </w:r>
          </w:p>
        </w:tc>
        <w:tc>
          <w:tcPr>
            <w:tcW w:type="dxa" w:w="2268"/>
            <w:vAlign w:val="center"/>
          </w:tcPr>
          <w:p>
            <w:pPr>
              <w:keepNext/>
              <w:spacing w:before="20" w:after="20"/>
              <w:jc w:val="right"/>
            </w:pPr>
            <w:r>
              <w:rPr>
                <w:rFonts w:ascii="游ゴシック" w:hAnsi="游ゴシック" w:eastAsia="游ゴシック"/>
                <w:b w:val="0"/>
                <w:i w:val="0"/>
                <w:sz w:val="17"/>
              </w:rPr>
              <w:t>772</w:t>
            </w:r>
          </w:p>
        </w:tc>
      </w:tr>
      <w:tr>
        <w:tc>
          <w:tcPr>
            <w:tcW w:type="dxa" w:w="2948"/>
            <w:vAlign w:val="center"/>
          </w:tcPr>
          <w:p>
            <w:pPr>
              <w:spacing w:before="20" w:after="20"/>
            </w:pPr>
            <w:r>
              <w:rPr>
                <w:rFonts w:ascii="游ゴシック" w:hAnsi="游ゴシック" w:eastAsia="游ゴシック"/>
                <w:b w:val="0"/>
                <w:i w:val="0"/>
                <w:sz w:val="17"/>
              </w:rPr>
              <w:t>認定率（％）</w:t>
            </w:r>
          </w:p>
        </w:tc>
        <w:tc>
          <w:tcPr>
            <w:tcW w:type="dxa" w:w="2268"/>
            <w:vAlign w:val="center"/>
          </w:tcPr>
          <w:p>
            <w:pPr>
              <w:spacing w:before="20" w:after="20"/>
              <w:jc w:val="right"/>
            </w:pPr>
            <w:r>
              <w:rPr>
                <w:rFonts w:ascii="游ゴシック" w:hAnsi="游ゴシック" w:eastAsia="游ゴシック"/>
                <w:b w:val="0"/>
                <w:i w:val="0"/>
                <w:sz w:val="17"/>
              </w:rPr>
              <w:t>22.75</w:t>
            </w:r>
          </w:p>
        </w:tc>
        <w:tc>
          <w:tcPr>
            <w:tcW w:type="dxa" w:w="2268"/>
            <w:vAlign w:val="center"/>
          </w:tcPr>
          <w:p>
            <w:pPr>
              <w:spacing w:before="20" w:after="20"/>
              <w:jc w:val="right"/>
            </w:pPr>
            <w:r>
              <w:rPr>
                <w:rFonts w:ascii="游ゴシック" w:hAnsi="游ゴシック" w:eastAsia="游ゴシック"/>
                <w:b w:val="0"/>
                <w:i w:val="0"/>
                <w:sz w:val="17"/>
              </w:rPr>
              <w:t>22.67</w:t>
            </w:r>
          </w:p>
        </w:tc>
        <w:tc>
          <w:tcPr>
            <w:tcW w:type="dxa" w:w="2268"/>
            <w:vAlign w:val="center"/>
          </w:tcPr>
          <w:p>
            <w:pPr>
              <w:spacing w:before="20" w:after="20"/>
              <w:jc w:val="right"/>
            </w:pPr>
            <w:r>
              <w:rPr>
                <w:rFonts w:ascii="游ゴシック" w:hAnsi="游ゴシック" w:eastAsia="游ゴシック"/>
                <w:b w:val="0"/>
                <w:i w:val="0"/>
                <w:sz w:val="17"/>
              </w:rPr>
              <w:t>22.59</w:t>
            </w:r>
          </w:p>
        </w:tc>
      </w:tr>
    </w:tbl>
    <w:p>
      <w:pPr>
        <w:spacing w:after="40"/>
      </w:pPr>
    </w:p>
    <w:p>
      <w:pPr>
        <w:spacing w:before="40" w:after="160"/>
        <w:ind w:left="113"/>
      </w:pPr>
      <w:r>
        <w:rPr>
          <w:rFonts w:ascii="游ゴシック" w:hAnsi="游ゴシック" w:eastAsia="游ゴシック"/>
          <w:b w:val="0"/>
          <w:i w:val="0"/>
          <w:sz w:val="17"/>
        </w:rPr>
        <w:t>※ 年齢階層別の認定率を令和7年度で据え置き、第10期将来推計用推計人口に乗じたものです。</w:t>
      </w:r>
    </w:p>
    <w:p>
      <w:pPr>
        <w:pStyle w:val="Heading2"/>
        <w:keepNext/>
        <w:spacing w:before="180" w:after="100"/>
      </w:pPr>
      <w:bookmarkStart w:id="107" w:name="_Toc_007"/>
      <w:r>
        <w:rPr>
          <w:rFonts w:ascii="游ゴシック" w:hAnsi="游ゴシック" w:eastAsia="游ゴシック"/>
          <w:b/>
          <w:i w:val="0"/>
          <w:color w:val="2E74B5"/>
          <w:sz w:val="25"/>
        </w:rPr>
        <w:t>（3）給付費の見込み</w:t>
      </w:r>
      <w:bookmarkEnd w:id="107"/>
    </w:p>
    <w:p>
      <w:pPr>
        <w:keepNext/>
        <w:spacing w:before="200" w:after="40"/>
      </w:pPr>
      <w:r>
        <w:rPr>
          <w:rFonts w:ascii="游ゴシック" w:hAnsi="游ゴシック" w:eastAsia="游ゴシック"/>
          <w:b/>
          <w:i w:val="0"/>
          <w:color w:val="1F4D78"/>
          <w:sz w:val="22"/>
        </w:rPr>
        <w:t>【表6】給付費と地域支援事業費の見込み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48"/>
        <w:gridCol w:w="1701"/>
        <w:gridCol w:w="1701"/>
        <w:gridCol w:w="1701"/>
        <w:gridCol w:w="1701"/>
      </w:tblGrid>
      <w:tr>
        <w:tc>
          <w:tcPr>
            <w:tcW w:type="dxa" w:w="294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948"/>
            <w:vAlign w:val="center"/>
          </w:tcPr>
          <w:p>
            <w:pPr>
              <w:spacing w:before="20" w:after="20"/>
            </w:pPr>
            <w:r>
              <w:rPr>
                <w:rFonts w:ascii="游ゴシック" w:hAnsi="游ゴシック" w:eastAsia="游ゴシック"/>
                <w:b w:val="0"/>
                <w:i w:val="0"/>
                <w:sz w:val="17"/>
              </w:rPr>
              <w:t>総給付費（千円）</w:t>
            </w:r>
          </w:p>
        </w:tc>
        <w:tc>
          <w:tcPr>
            <w:tcW w:type="dxa" w:w="1701"/>
            <w:vAlign w:val="center"/>
          </w:tcPr>
          <w:p>
            <w:pPr>
              <w:spacing w:before="20" w:after="20"/>
              <w:jc w:val="right"/>
            </w:pPr>
            <w:r>
              <w:rPr>
                <w:rFonts w:ascii="游ゴシック" w:hAnsi="游ゴシック" w:eastAsia="游ゴシック"/>
                <w:b w:val="0"/>
                <w:i w:val="0"/>
                <w:sz w:val="17"/>
              </w:rPr>
              <w:t>960,695</w:t>
            </w:r>
          </w:p>
        </w:tc>
        <w:tc>
          <w:tcPr>
            <w:tcW w:type="dxa" w:w="1701"/>
            <w:vAlign w:val="center"/>
          </w:tcPr>
          <w:p>
            <w:pPr>
              <w:spacing w:before="20" w:after="20"/>
              <w:jc w:val="right"/>
            </w:pPr>
            <w:r>
              <w:rPr>
                <w:rFonts w:ascii="游ゴシック" w:hAnsi="游ゴシック" w:eastAsia="游ゴシック"/>
                <w:b w:val="0"/>
                <w:i w:val="0"/>
                <w:sz w:val="17"/>
              </w:rPr>
              <w:t>956,645</w:t>
            </w:r>
          </w:p>
        </w:tc>
        <w:tc>
          <w:tcPr>
            <w:tcW w:type="dxa" w:w="1701"/>
            <w:vAlign w:val="center"/>
          </w:tcPr>
          <w:p>
            <w:pPr>
              <w:spacing w:before="20" w:after="20"/>
              <w:jc w:val="right"/>
            </w:pPr>
            <w:r>
              <w:rPr>
                <w:rFonts w:ascii="游ゴシック" w:hAnsi="游ゴシック" w:eastAsia="游ゴシック"/>
                <w:b w:val="0"/>
                <w:i w:val="0"/>
                <w:sz w:val="17"/>
              </w:rPr>
              <w:t>952,595</w:t>
            </w:r>
          </w:p>
        </w:tc>
        <w:tc>
          <w:tcPr>
            <w:tcW w:type="dxa" w:w="1701"/>
            <w:vAlign w:val="center"/>
          </w:tcPr>
          <w:p>
            <w:pPr>
              <w:spacing w:before="20" w:after="20"/>
              <w:jc w:val="right"/>
            </w:pPr>
            <w:r>
              <w:rPr>
                <w:rFonts w:ascii="游ゴシック" w:hAnsi="游ゴシック" w:eastAsia="游ゴシック"/>
                <w:b w:val="0"/>
                <w:i w:val="0"/>
                <w:sz w:val="17"/>
              </w:rPr>
              <w:t>2,869,936</w:t>
            </w:r>
          </w:p>
        </w:tc>
      </w:tr>
      <w:tr>
        <w:tc>
          <w:tcPr>
            <w:tcW w:type="dxa" w:w="2948"/>
            <w:vAlign w:val="center"/>
          </w:tcPr>
          <w:p>
            <w:pPr>
              <w:spacing w:before="20" w:after="20"/>
            </w:pPr>
            <w:r>
              <w:rPr>
                <w:rFonts w:ascii="游ゴシック" w:hAnsi="游ゴシック" w:eastAsia="游ゴシック"/>
                <w:b w:val="0"/>
                <w:i w:val="0"/>
                <w:sz w:val="17"/>
              </w:rPr>
              <w:t>標準給付費見込額（千円）</w:t>
            </w:r>
          </w:p>
        </w:tc>
        <w:tc>
          <w:tcPr>
            <w:tcW w:type="dxa" w:w="1701"/>
            <w:vAlign w:val="center"/>
          </w:tcPr>
          <w:p>
            <w:pPr>
              <w:spacing w:before="20" w:after="20"/>
              <w:jc w:val="right"/>
            </w:pPr>
            <w:r>
              <w:rPr>
                <w:rFonts w:ascii="游ゴシック" w:hAnsi="游ゴシック" w:eastAsia="游ゴシック"/>
                <w:b w:val="0"/>
                <w:i w:val="0"/>
                <w:sz w:val="17"/>
              </w:rPr>
              <w:t>1,035,684</w:t>
            </w:r>
          </w:p>
        </w:tc>
        <w:tc>
          <w:tcPr>
            <w:tcW w:type="dxa" w:w="1701"/>
            <w:vAlign w:val="center"/>
          </w:tcPr>
          <w:p>
            <w:pPr>
              <w:spacing w:before="20" w:after="20"/>
              <w:jc w:val="right"/>
            </w:pPr>
            <w:r>
              <w:rPr>
                <w:rFonts w:ascii="游ゴシック" w:hAnsi="游ゴシック" w:eastAsia="游ゴシック"/>
                <w:b w:val="0"/>
                <w:i w:val="0"/>
                <w:sz w:val="17"/>
              </w:rPr>
              <w:t>1,031,316</w:t>
            </w:r>
          </w:p>
        </w:tc>
        <w:tc>
          <w:tcPr>
            <w:tcW w:type="dxa" w:w="1701"/>
            <w:vAlign w:val="center"/>
          </w:tcPr>
          <w:p>
            <w:pPr>
              <w:spacing w:before="20" w:after="20"/>
              <w:jc w:val="right"/>
            </w:pPr>
            <w:r>
              <w:rPr>
                <w:rFonts w:ascii="游ゴシック" w:hAnsi="游ゴシック" w:eastAsia="游ゴシック"/>
                <w:b w:val="0"/>
                <w:i w:val="0"/>
                <w:sz w:val="17"/>
              </w:rPr>
              <w:t>1,026,948</w:t>
            </w:r>
          </w:p>
        </w:tc>
        <w:tc>
          <w:tcPr>
            <w:tcW w:type="dxa" w:w="1701"/>
            <w:vAlign w:val="center"/>
          </w:tcPr>
          <w:p>
            <w:pPr>
              <w:spacing w:before="20" w:after="20"/>
              <w:jc w:val="right"/>
            </w:pPr>
            <w:r>
              <w:rPr>
                <w:rFonts w:ascii="游ゴシック" w:hAnsi="游ゴシック" w:eastAsia="游ゴシック"/>
                <w:b w:val="0"/>
                <w:i w:val="0"/>
                <w:sz w:val="17"/>
              </w:rPr>
              <w:t>3,093,948</w:t>
            </w:r>
          </w:p>
        </w:tc>
      </w:tr>
      <w:tr>
        <w:tc>
          <w:tcPr>
            <w:tcW w:type="dxa" w:w="2948"/>
            <w:vAlign w:val="center"/>
          </w:tcPr>
          <w:p>
            <w:pPr>
              <w:keepNext/>
              <w:spacing w:before="20" w:after="20"/>
            </w:pPr>
            <w:r>
              <w:rPr>
                <w:rFonts w:ascii="游ゴシック" w:hAnsi="游ゴシック" w:eastAsia="游ゴシック"/>
                <w:b w:val="0"/>
                <w:i w:val="0"/>
                <w:sz w:val="17"/>
              </w:rPr>
              <w:t>地域支援事業費（千円）</w:t>
            </w:r>
          </w:p>
        </w:tc>
        <w:tc>
          <w:tcPr>
            <w:tcW w:type="dxa" w:w="1701"/>
            <w:vAlign w:val="center"/>
          </w:tcPr>
          <w:p>
            <w:pPr>
              <w:keepNext/>
              <w:spacing w:before="20" w:after="20"/>
              <w:jc w:val="right"/>
            </w:pPr>
            <w:r>
              <w:rPr>
                <w:rFonts w:ascii="游ゴシック" w:hAnsi="游ゴシック" w:eastAsia="游ゴシック"/>
                <w:b w:val="0"/>
                <w:i w:val="0"/>
                <w:sz w:val="17"/>
              </w:rPr>
              <w:t>63,916</w:t>
            </w:r>
          </w:p>
        </w:tc>
        <w:tc>
          <w:tcPr>
            <w:tcW w:type="dxa" w:w="1701"/>
            <w:vAlign w:val="center"/>
          </w:tcPr>
          <w:p>
            <w:pPr>
              <w:keepNext/>
              <w:spacing w:before="20" w:after="20"/>
              <w:jc w:val="right"/>
            </w:pPr>
            <w:r>
              <w:rPr>
                <w:rFonts w:ascii="游ゴシック" w:hAnsi="游ゴシック" w:eastAsia="游ゴシック"/>
                <w:b w:val="0"/>
                <w:i w:val="0"/>
                <w:sz w:val="17"/>
              </w:rPr>
              <w:t>63,916</w:t>
            </w:r>
          </w:p>
        </w:tc>
        <w:tc>
          <w:tcPr>
            <w:tcW w:type="dxa" w:w="1701"/>
            <w:vAlign w:val="center"/>
          </w:tcPr>
          <w:p>
            <w:pPr>
              <w:keepNext/>
              <w:spacing w:before="20" w:after="20"/>
              <w:jc w:val="right"/>
            </w:pPr>
            <w:r>
              <w:rPr>
                <w:rFonts w:ascii="游ゴシック" w:hAnsi="游ゴシック" w:eastAsia="游ゴシック"/>
                <w:b w:val="0"/>
                <w:i w:val="0"/>
                <w:sz w:val="17"/>
              </w:rPr>
              <w:t>63,916</w:t>
            </w:r>
          </w:p>
        </w:tc>
        <w:tc>
          <w:tcPr>
            <w:tcW w:type="dxa" w:w="1701"/>
            <w:vAlign w:val="center"/>
          </w:tcPr>
          <w:p>
            <w:pPr>
              <w:keepNext/>
              <w:spacing w:before="20" w:after="20"/>
              <w:jc w:val="right"/>
            </w:pPr>
            <w:r>
              <w:rPr>
                <w:rFonts w:ascii="游ゴシック" w:hAnsi="游ゴシック" w:eastAsia="游ゴシック"/>
                <w:b w:val="0"/>
                <w:i w:val="0"/>
                <w:sz w:val="17"/>
              </w:rPr>
              <w:t>191,749</w:t>
            </w:r>
          </w:p>
        </w:tc>
      </w:tr>
      <w:tr>
        <w:tc>
          <w:tcPr>
            <w:tcW w:type="dxa" w:w="2948"/>
            <w:vAlign w:val="center"/>
          </w:tcPr>
          <w:p>
            <w:pPr>
              <w:spacing w:before="20" w:after="20"/>
            </w:pPr>
            <w:r>
              <w:rPr>
                <w:rFonts w:ascii="游ゴシック" w:hAnsi="游ゴシック" w:eastAsia="游ゴシック"/>
                <w:b w:val="0"/>
                <w:i w:val="0"/>
                <w:sz w:val="17"/>
              </w:rPr>
              <w:t xml:space="preserve">　うち総合事業費（千円）</w:t>
            </w:r>
          </w:p>
        </w:tc>
        <w:tc>
          <w:tcPr>
            <w:tcW w:type="dxa" w:w="1701"/>
            <w:vAlign w:val="center"/>
          </w:tcPr>
          <w:p>
            <w:pPr>
              <w:spacing w:before="20" w:after="20"/>
              <w:jc w:val="right"/>
            </w:pPr>
            <w:r>
              <w:rPr>
                <w:rFonts w:ascii="游ゴシック" w:hAnsi="游ゴシック" w:eastAsia="游ゴシック"/>
                <w:b w:val="0"/>
                <w:i w:val="0"/>
                <w:sz w:val="17"/>
              </w:rPr>
              <w:t>34,581</w:t>
            </w:r>
          </w:p>
        </w:tc>
        <w:tc>
          <w:tcPr>
            <w:tcW w:type="dxa" w:w="1701"/>
            <w:vAlign w:val="center"/>
          </w:tcPr>
          <w:p>
            <w:pPr>
              <w:spacing w:before="20" w:after="20"/>
              <w:jc w:val="right"/>
            </w:pPr>
            <w:r>
              <w:rPr>
                <w:rFonts w:ascii="游ゴシック" w:hAnsi="游ゴシック" w:eastAsia="游ゴシック"/>
                <w:b w:val="0"/>
                <w:i w:val="0"/>
                <w:sz w:val="17"/>
              </w:rPr>
              <w:t>34,581</w:t>
            </w:r>
          </w:p>
        </w:tc>
        <w:tc>
          <w:tcPr>
            <w:tcW w:type="dxa" w:w="1701"/>
            <w:vAlign w:val="center"/>
          </w:tcPr>
          <w:p>
            <w:pPr>
              <w:spacing w:before="20" w:after="20"/>
              <w:jc w:val="right"/>
            </w:pPr>
            <w:r>
              <w:rPr>
                <w:rFonts w:ascii="游ゴシック" w:hAnsi="游ゴシック" w:eastAsia="游ゴシック"/>
                <w:b w:val="0"/>
                <w:i w:val="0"/>
                <w:sz w:val="17"/>
              </w:rPr>
              <w:t>34,581</w:t>
            </w:r>
          </w:p>
        </w:tc>
        <w:tc>
          <w:tcPr>
            <w:tcW w:type="dxa" w:w="1701"/>
            <w:vAlign w:val="center"/>
          </w:tcPr>
          <w:p>
            <w:pPr>
              <w:spacing w:before="20" w:after="20"/>
              <w:jc w:val="right"/>
            </w:pPr>
            <w:r>
              <w:rPr>
                <w:rFonts w:ascii="游ゴシック" w:hAnsi="游ゴシック" w:eastAsia="游ゴシック"/>
                <w:b w:val="0"/>
                <w:i w:val="0"/>
                <w:sz w:val="17"/>
              </w:rPr>
              <w:t>103,743</w:t>
            </w:r>
          </w:p>
        </w:tc>
      </w:tr>
    </w:tbl>
    <w:p>
      <w:pPr>
        <w:spacing w:after="40"/>
      </w:pPr>
    </w:p>
    <w:p>
      <w:pPr>
        <w:spacing w:before="40" w:after="160"/>
        <w:ind w:left="113"/>
      </w:pPr>
      <w:r>
        <w:rPr>
          <w:rFonts w:ascii="游ゴシック" w:hAnsi="游ゴシック" w:eastAsia="游ゴシック"/>
          <w:b w:val="0"/>
          <w:i w:val="0"/>
          <w:sz w:val="17"/>
        </w:rPr>
        <w:t>※ 地域支援事業費は令和6年度の実績を3年度とも据え置いています。</w:t>
      </w:r>
    </w:p>
    <w:p>
      <w:pPr>
        <w:pStyle w:val="Heading1"/>
        <w:keepNext/>
        <w:spacing w:before="240" w:after="100"/>
      </w:pPr>
      <w:bookmarkStart w:id="108" w:name="_Toc_008"/>
      <w:r>
        <w:rPr>
          <w:rFonts w:ascii="游ゴシック" w:hAnsi="游ゴシック" w:eastAsia="游ゴシック"/>
          <w:b/>
          <w:i w:val="0"/>
          <w:color w:val="2E74B5"/>
          <w:sz w:val="30"/>
        </w:rPr>
        <w:t>3　保険料基準額</w:t>
      </w:r>
      <w:bookmarkEnd w:id="108"/>
    </w:p>
    <w:p>
      <w:pPr>
        <w:pStyle w:val="Heading2"/>
        <w:keepNext/>
        <w:spacing w:before="180" w:after="100"/>
      </w:pPr>
      <w:bookmarkStart w:id="109" w:name="_Toc_009"/>
      <w:r>
        <w:rPr>
          <w:rFonts w:ascii="游ゴシック" w:hAnsi="游ゴシック" w:eastAsia="游ゴシック"/>
          <w:b/>
          <w:i w:val="0"/>
          <w:color w:val="2E74B5"/>
          <w:sz w:val="25"/>
        </w:rPr>
        <w:t>（1）算定の結果</w:t>
      </w:r>
      <w:bookmarkEnd w:id="109"/>
    </w:p>
    <w:p>
      <w:pPr>
        <w:spacing w:before="60" w:after="60"/>
      </w:pPr>
      <w:r>
        <w:rPr>
          <w:rFonts w:ascii="游ゴシック" w:hAnsi="游ゴシック" w:eastAsia="游ゴシック"/>
          <w:b/>
          <w:i w:val="0"/>
          <w:sz w:val="21"/>
        </w:rPr>
        <w:t>準備基金を取り崩さない場合の保険料基準額は、月額6,048円となります。</w:t>
      </w:r>
      <w:r>
        <w:rPr>
          <w:rFonts w:ascii="游ゴシック" w:hAnsi="游ゴシック" w:eastAsia="游ゴシック"/>
          <w:b w:val="0"/>
          <w:i w:val="0"/>
          <w:sz w:val="21"/>
        </w:rPr>
        <w:t>第9期の6,600円に対し-552円（-8.4％）です。</w:t>
      </w:r>
    </w:p>
    <w:p>
      <w:pPr>
        <w:keepNext/>
        <w:spacing w:before="200" w:after="40"/>
      </w:pPr>
      <w:r>
        <w:rPr>
          <w:rFonts w:ascii="游ゴシック" w:hAnsi="游ゴシック" w:eastAsia="游ゴシック"/>
          <w:b/>
          <w:i w:val="0"/>
          <w:color w:val="1F4D78"/>
          <w:sz w:val="22"/>
        </w:rPr>
        <w:t>【表7】保険料基準額の算定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628"/>
        <w:gridCol w:w="3061"/>
        <w:gridCol w:w="3061"/>
      </w:tblGrid>
      <w:tr>
        <w:tc>
          <w:tcPr>
            <w:tcW w:type="dxa" w:w="36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第10期（算定）</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参考：第9期</w:t>
            </w:r>
          </w:p>
        </w:tc>
      </w:tr>
      <w:tr>
        <w:tc>
          <w:tcPr>
            <w:tcW w:type="dxa" w:w="3628"/>
            <w:vAlign w:val="center"/>
          </w:tcPr>
          <w:p>
            <w:pPr>
              <w:spacing w:before="20" w:after="20"/>
            </w:pPr>
            <w:r>
              <w:rPr>
                <w:rFonts w:ascii="游ゴシック" w:hAnsi="游ゴシック" w:eastAsia="游ゴシック"/>
                <w:b w:val="0"/>
                <w:i w:val="0"/>
                <w:sz w:val="17"/>
              </w:rPr>
              <w:t>標準給付費見込額（3年計）</w:t>
            </w:r>
          </w:p>
        </w:tc>
        <w:tc>
          <w:tcPr>
            <w:tcW w:type="dxa" w:w="3061"/>
            <w:vAlign w:val="center"/>
          </w:tcPr>
          <w:p>
            <w:pPr>
              <w:spacing w:before="20" w:after="20"/>
              <w:jc w:val="right"/>
            </w:pPr>
            <w:r>
              <w:rPr>
                <w:rFonts w:ascii="游ゴシック" w:hAnsi="游ゴシック" w:eastAsia="游ゴシック"/>
                <w:b w:val="0"/>
                <w:i w:val="0"/>
                <w:sz w:val="17"/>
              </w:rPr>
              <w:t>3,093,948千円</w:t>
            </w:r>
          </w:p>
        </w:tc>
        <w:tc>
          <w:tcPr>
            <w:tcW w:type="dxa" w:w="3061"/>
            <w:vAlign w:val="center"/>
          </w:tcPr>
          <w:p>
            <w:pPr>
              <w:spacing w:before="20" w:after="20"/>
              <w:jc w:val="right"/>
            </w:pPr>
            <w:r>
              <w:rPr>
                <w:rFonts w:ascii="游ゴシック" w:hAnsi="游ゴシック" w:eastAsia="游ゴシック"/>
                <w:b w:val="0"/>
                <w:i w:val="0"/>
                <w:sz w:val="17"/>
              </w:rPr>
              <w:t>3,566,486千円</w:t>
            </w:r>
          </w:p>
        </w:tc>
      </w:tr>
      <w:tr>
        <w:tc>
          <w:tcPr>
            <w:tcW w:type="dxa" w:w="3628"/>
            <w:vAlign w:val="center"/>
          </w:tcPr>
          <w:p>
            <w:pPr>
              <w:spacing w:before="20" w:after="20"/>
            </w:pPr>
            <w:r>
              <w:rPr>
                <w:rFonts w:ascii="游ゴシック" w:hAnsi="游ゴシック" w:eastAsia="游ゴシック"/>
                <w:b w:val="0"/>
                <w:i w:val="0"/>
                <w:sz w:val="17"/>
              </w:rPr>
              <w:t>地域支援事業費（3年計）</w:t>
            </w:r>
          </w:p>
        </w:tc>
        <w:tc>
          <w:tcPr>
            <w:tcW w:type="dxa" w:w="3061"/>
            <w:vAlign w:val="center"/>
          </w:tcPr>
          <w:p>
            <w:pPr>
              <w:spacing w:before="20" w:after="20"/>
              <w:jc w:val="right"/>
            </w:pPr>
            <w:r>
              <w:rPr>
                <w:rFonts w:ascii="游ゴシック" w:hAnsi="游ゴシック" w:eastAsia="游ゴシック"/>
                <w:b w:val="0"/>
                <w:i w:val="0"/>
                <w:sz w:val="17"/>
              </w:rPr>
              <w:t>191,749千円</w:t>
            </w:r>
          </w:p>
        </w:tc>
        <w:tc>
          <w:tcPr>
            <w:tcW w:type="dxa" w:w="3061"/>
            <w:vAlign w:val="center"/>
          </w:tcPr>
          <w:p>
            <w:pPr>
              <w:spacing w:before="20" w:after="20"/>
              <w:jc w:val="right"/>
            </w:pPr>
            <w:r>
              <w:rPr>
                <w:rFonts w:ascii="游ゴシック" w:hAnsi="游ゴシック" w:eastAsia="游ゴシック"/>
                <w:b w:val="0"/>
                <w:i w:val="0"/>
                <w:sz w:val="17"/>
              </w:rPr>
              <w:t>207,260千円</w:t>
            </w:r>
          </w:p>
        </w:tc>
      </w:tr>
      <w:tr>
        <w:tc>
          <w:tcPr>
            <w:tcW w:type="dxa" w:w="3628"/>
            <w:vAlign w:val="center"/>
          </w:tcPr>
          <w:p>
            <w:pPr>
              <w:spacing w:before="20" w:after="20"/>
            </w:pPr>
            <w:r>
              <w:rPr>
                <w:rFonts w:ascii="游ゴシック" w:hAnsi="游ゴシック" w:eastAsia="游ゴシック"/>
                <w:b w:val="0"/>
                <w:i w:val="0"/>
                <w:sz w:val="17"/>
              </w:rPr>
              <w:t>第1号被保険者負担割合</w:t>
            </w:r>
          </w:p>
        </w:tc>
        <w:tc>
          <w:tcPr>
            <w:tcW w:type="dxa" w:w="3061"/>
            <w:vAlign w:val="center"/>
          </w:tcPr>
          <w:p>
            <w:pPr>
              <w:spacing w:before="20" w:after="20"/>
              <w:jc w:val="right"/>
            </w:pPr>
            <w:r>
              <w:rPr>
                <w:rFonts w:ascii="游ゴシック" w:hAnsi="游ゴシック" w:eastAsia="游ゴシック"/>
                <w:b w:val="0"/>
                <w:i w:val="0"/>
                <w:sz w:val="17"/>
              </w:rPr>
              <w:t>23％</w:t>
            </w:r>
          </w:p>
        </w:tc>
        <w:tc>
          <w:tcPr>
            <w:tcW w:type="dxa" w:w="3061"/>
            <w:vAlign w:val="center"/>
          </w:tcPr>
          <w:p>
            <w:pPr>
              <w:spacing w:before="20" w:after="20"/>
              <w:jc w:val="right"/>
            </w:pPr>
            <w:r>
              <w:rPr>
                <w:rFonts w:ascii="游ゴシック" w:hAnsi="游ゴシック" w:eastAsia="游ゴシック"/>
                <w:b w:val="0"/>
                <w:i w:val="0"/>
                <w:sz w:val="17"/>
              </w:rPr>
              <w:t>23％</w:t>
            </w:r>
          </w:p>
        </w:tc>
      </w:tr>
      <w:tr>
        <w:tc>
          <w:tcPr>
            <w:tcW w:type="dxa" w:w="3628"/>
            <w:vAlign w:val="center"/>
          </w:tcPr>
          <w:p>
            <w:pPr>
              <w:spacing w:before="20" w:after="20"/>
            </w:pPr>
            <w:r>
              <w:rPr>
                <w:rFonts w:ascii="游ゴシック" w:hAnsi="游ゴシック" w:eastAsia="游ゴシック"/>
                <w:b w:val="0"/>
                <w:i w:val="0"/>
                <w:sz w:val="17"/>
              </w:rPr>
              <w:t>調整交付金見込交付割合</w:t>
            </w:r>
          </w:p>
        </w:tc>
        <w:tc>
          <w:tcPr>
            <w:tcW w:type="dxa" w:w="3061"/>
            <w:vAlign w:val="center"/>
          </w:tcPr>
          <w:p>
            <w:pPr>
              <w:spacing w:before="20" w:after="20"/>
              <w:jc w:val="right"/>
            </w:pPr>
            <w:r>
              <w:rPr>
                <w:rFonts w:ascii="游ゴシック" w:hAnsi="游ゴシック" w:eastAsia="游ゴシック"/>
                <w:b w:val="0"/>
                <w:i w:val="0"/>
                <w:sz w:val="17"/>
              </w:rPr>
              <w:t>5.533％（算式）</w:t>
            </w:r>
          </w:p>
        </w:tc>
        <w:tc>
          <w:tcPr>
            <w:tcW w:type="dxa" w:w="3061"/>
            <w:vAlign w:val="center"/>
          </w:tcPr>
          <w:p>
            <w:pPr>
              <w:spacing w:before="20" w:after="20"/>
              <w:jc w:val="right"/>
            </w:pPr>
            <w:r>
              <w:rPr>
                <w:rFonts w:ascii="游ゴシック" w:hAnsi="游ゴシック" w:eastAsia="游ゴシック"/>
                <w:b w:val="0"/>
                <w:i w:val="0"/>
                <w:sz w:val="17"/>
              </w:rPr>
              <w:t>6.058％（公表値）</w:t>
            </w:r>
          </w:p>
        </w:tc>
      </w:tr>
      <w:tr>
        <w:tc>
          <w:tcPr>
            <w:tcW w:type="dxa" w:w="3628"/>
            <w:vAlign w:val="center"/>
          </w:tcPr>
          <w:p>
            <w:pPr>
              <w:spacing w:before="20" w:after="20"/>
            </w:pPr>
            <w:r>
              <w:rPr>
                <w:rFonts w:ascii="游ゴシック" w:hAnsi="游ゴシック" w:eastAsia="游ゴシック"/>
                <w:b w:val="0"/>
                <w:i w:val="0"/>
                <w:sz w:val="17"/>
              </w:rPr>
              <w:t>保険料収納必要額</w:t>
            </w:r>
          </w:p>
        </w:tc>
        <w:tc>
          <w:tcPr>
            <w:tcW w:type="dxa" w:w="3061"/>
            <w:vAlign w:val="center"/>
          </w:tcPr>
          <w:p>
            <w:pPr>
              <w:spacing w:before="20" w:after="20"/>
              <w:jc w:val="right"/>
            </w:pPr>
            <w:r>
              <w:rPr>
                <w:rFonts w:ascii="游ゴシック" w:hAnsi="游ゴシック" w:eastAsia="游ゴシック"/>
                <w:b w:val="0"/>
                <w:i w:val="0"/>
                <w:sz w:val="17"/>
              </w:rPr>
              <w:t>738,660千円</w:t>
            </w:r>
          </w:p>
        </w:tc>
        <w:tc>
          <w:tcPr>
            <w:tcW w:type="dxa" w:w="3061"/>
            <w:vAlign w:val="center"/>
          </w:tcPr>
          <w:p>
            <w:pPr>
              <w:spacing w:before="20" w:after="20"/>
              <w:jc w:val="right"/>
            </w:pPr>
            <w:r>
              <w:rPr>
                <w:rFonts w:ascii="游ゴシック" w:hAnsi="游ゴシック" w:eastAsia="游ゴシック"/>
                <w:b w:val="0"/>
                <w:i w:val="0"/>
                <w:sz w:val="17"/>
              </w:rPr>
              <w:t>832,562千円</w:t>
            </w:r>
          </w:p>
        </w:tc>
      </w:tr>
      <w:tr>
        <w:tc>
          <w:tcPr>
            <w:tcW w:type="dxa" w:w="3628"/>
            <w:vAlign w:val="center"/>
          </w:tcPr>
          <w:p>
            <w:pPr>
              <w:spacing w:before="20" w:after="20"/>
            </w:pPr>
            <w:r>
              <w:rPr>
                <w:rFonts w:ascii="游ゴシック" w:hAnsi="游ゴシック" w:eastAsia="游ゴシック"/>
                <w:b w:val="0"/>
                <w:i w:val="0"/>
                <w:sz w:val="17"/>
              </w:rPr>
              <w:t>介護給付費準備基金取崩額</w:t>
            </w:r>
          </w:p>
        </w:tc>
        <w:tc>
          <w:tcPr>
            <w:tcW w:type="dxa" w:w="3061"/>
            <w:vAlign w:val="center"/>
          </w:tcPr>
          <w:p>
            <w:pPr>
              <w:spacing w:before="20" w:after="20"/>
              <w:jc w:val="right"/>
            </w:pPr>
            <w:r>
              <w:rPr>
                <w:rFonts w:ascii="游ゴシック" w:hAnsi="游ゴシック" w:eastAsia="游ゴシック"/>
                <w:b w:val="0"/>
                <w:i w:val="0"/>
                <w:sz w:val="17"/>
              </w:rPr>
              <w:t>0千円（【町データ待ち】）</w:t>
            </w:r>
          </w:p>
        </w:tc>
        <w:tc>
          <w:tcPr>
            <w:tcW w:type="dxa" w:w="3061"/>
            <w:vAlign w:val="center"/>
          </w:tcPr>
          <w:p>
            <w:pPr>
              <w:spacing w:before="20" w:after="20"/>
              <w:jc w:val="right"/>
            </w:pPr>
            <w:r>
              <w:rPr>
                <w:rFonts w:ascii="游ゴシック" w:hAnsi="游ゴシック" w:eastAsia="游ゴシック"/>
                <w:b w:val="0"/>
                <w:i w:val="0"/>
                <w:sz w:val="17"/>
              </w:rPr>
              <w:t>35,000千円</w:t>
            </w:r>
          </w:p>
        </w:tc>
      </w:tr>
      <w:tr>
        <w:tc>
          <w:tcPr>
            <w:tcW w:type="dxa" w:w="3628"/>
            <w:vAlign w:val="center"/>
          </w:tcPr>
          <w:p>
            <w:pPr>
              <w:keepNext/>
              <w:spacing w:before="20" w:after="20"/>
            </w:pPr>
            <w:r>
              <w:rPr>
                <w:rFonts w:ascii="游ゴシック" w:hAnsi="游ゴシック" w:eastAsia="游ゴシック"/>
                <w:b w:val="0"/>
                <w:i w:val="0"/>
                <w:sz w:val="17"/>
              </w:rPr>
              <w:t>予定保険料収納率</w:t>
            </w:r>
          </w:p>
        </w:tc>
        <w:tc>
          <w:tcPr>
            <w:tcW w:type="dxa" w:w="3061"/>
            <w:vAlign w:val="center"/>
          </w:tcPr>
          <w:p>
            <w:pPr>
              <w:keepNext/>
              <w:spacing w:before="20" w:after="20"/>
              <w:jc w:val="right"/>
            </w:pPr>
            <w:r>
              <w:rPr>
                <w:rFonts w:ascii="游ゴシック" w:hAnsi="游ゴシック" w:eastAsia="游ゴシック"/>
                <w:b w:val="0"/>
                <w:i w:val="0"/>
                <w:sz w:val="17"/>
              </w:rPr>
              <w:t>99.35％</w:t>
            </w:r>
          </w:p>
        </w:tc>
        <w:tc>
          <w:tcPr>
            <w:tcW w:type="dxa" w:w="3061"/>
            <w:vAlign w:val="center"/>
          </w:tcPr>
          <w:p>
            <w:pPr>
              <w:keepNext/>
              <w:spacing w:before="20" w:after="20"/>
              <w:jc w:val="right"/>
            </w:pPr>
            <w:r>
              <w:rPr>
                <w:rFonts w:ascii="游ゴシック" w:hAnsi="游ゴシック" w:eastAsia="游ゴシック"/>
                <w:b w:val="0"/>
                <w:i w:val="0"/>
                <w:sz w:val="17"/>
              </w:rPr>
              <w:t>99.40％</w:t>
            </w:r>
          </w:p>
        </w:tc>
      </w:tr>
      <w:tr>
        <w:tc>
          <w:tcPr>
            <w:tcW w:type="dxa" w:w="3628"/>
            <w:vAlign w:val="center"/>
          </w:tcPr>
          <w:p>
            <w:pPr>
              <w:spacing w:before="20" w:after="20"/>
            </w:pPr>
            <w:r>
              <w:rPr>
                <w:rFonts w:ascii="游ゴシック" w:hAnsi="游ゴシック" w:eastAsia="游ゴシック"/>
                <w:b/>
                <w:i w:val="0"/>
                <w:sz w:val="17"/>
              </w:rPr>
              <w:t>保険料基準額（月額）</w:t>
            </w:r>
          </w:p>
        </w:tc>
        <w:tc>
          <w:tcPr>
            <w:tcW w:type="dxa" w:w="3061"/>
            <w:vAlign w:val="center"/>
          </w:tcPr>
          <w:p>
            <w:pPr>
              <w:spacing w:before="20" w:after="20"/>
              <w:jc w:val="right"/>
            </w:pPr>
            <w:r>
              <w:rPr>
                <w:rFonts w:ascii="游ゴシック" w:hAnsi="游ゴシック" w:eastAsia="游ゴシック"/>
                <w:b/>
                <w:i w:val="0"/>
                <w:sz w:val="17"/>
              </w:rPr>
              <w:t>6,048円</w:t>
            </w:r>
          </w:p>
        </w:tc>
        <w:tc>
          <w:tcPr>
            <w:tcW w:type="dxa" w:w="3061"/>
            <w:vAlign w:val="center"/>
          </w:tcPr>
          <w:p>
            <w:pPr>
              <w:spacing w:before="20" w:after="20"/>
              <w:jc w:val="right"/>
            </w:pPr>
            <w:r>
              <w:rPr>
                <w:rFonts w:ascii="游ゴシック" w:hAnsi="游ゴシック" w:eastAsia="游ゴシック"/>
                <w:b/>
                <w:i w:val="0"/>
                <w:sz w:val="17"/>
              </w:rPr>
              <w:t>6,600円</w:t>
            </w:r>
          </w:p>
        </w:tc>
      </w:tr>
    </w:tbl>
    <w:p>
      <w:pPr>
        <w:spacing w:after="40"/>
      </w:pPr>
    </w:p>
    <w:p>
      <w:pPr>
        <w:pStyle w:val="Heading2"/>
        <w:keepNext/>
        <w:spacing w:before="180" w:after="100"/>
      </w:pPr>
      <w:bookmarkStart w:id="110" w:name="_Toc_010"/>
      <w:r>
        <w:rPr>
          <w:rFonts w:ascii="游ゴシック" w:hAnsi="游ゴシック" w:eastAsia="游ゴシック"/>
          <w:b/>
          <w:i w:val="0"/>
          <w:color w:val="2E74B5"/>
          <w:sz w:val="25"/>
        </w:rPr>
        <w:t>（2）お諮りする2案</w:t>
      </w:r>
      <w:bookmarkEnd w:id="110"/>
    </w:p>
    <w:p>
      <w:pPr>
        <w:spacing w:before="60" w:after="60"/>
      </w:pPr>
      <w:r>
        <w:rPr>
          <w:rFonts w:ascii="游ゴシック" w:hAnsi="游ゴシック" w:eastAsia="游ゴシック"/>
          <w:b/>
          <w:i w:val="0"/>
          <w:sz w:val="21"/>
        </w:rPr>
        <w:t>保険料は100円未満を切り上げてお示しするのが通例です。</w:t>
      </w:r>
      <w:r>
        <w:rPr>
          <w:rFonts w:ascii="游ゴシック" w:hAnsi="游ゴシック" w:eastAsia="游ゴシック"/>
          <w:b w:val="0"/>
          <w:i w:val="0"/>
          <w:sz w:val="21"/>
        </w:rPr>
        <w:t>算定値をそのまま採る案と、第9期の水準を据え置く案を並べます。</w:t>
      </w:r>
    </w:p>
    <w:p>
      <w:pPr>
        <w:keepNext/>
        <w:spacing w:before="200" w:after="40"/>
      </w:pPr>
      <w:r>
        <w:rPr>
          <w:rFonts w:ascii="游ゴシック" w:hAnsi="游ゴシック" w:eastAsia="游ゴシック"/>
          <w:b/>
          <w:i w:val="0"/>
          <w:color w:val="1F4D78"/>
          <w:sz w:val="22"/>
        </w:rPr>
        <w:t>【表8】保険料基準額の2案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47"/>
        <w:gridCol w:w="1020"/>
        <w:gridCol w:w="1134"/>
        <w:gridCol w:w="2494"/>
        <w:gridCol w:w="1928"/>
        <w:gridCol w:w="1928"/>
      </w:tblGrid>
      <w:tr>
        <w:tc>
          <w:tcPr>
            <w:tcW w:type="dxa" w:w="1247"/>
            <w:shd w:val="clear" w:fill="1F3864"/>
            <w:vAlign w:val="center"/>
          </w:tcPr>
          <w:p>
            <w:pPr>
              <w:spacing w:before="20" w:after="20"/>
              <w:jc w:val="center"/>
            </w:pPr>
            <w:r>
              <w:rPr>
                <w:rFonts w:ascii="游ゴシック" w:hAnsi="游ゴシック" w:eastAsia="游ゴシック"/>
                <w:b/>
                <w:i w:val="0"/>
                <w:color w:val="FFFFFF"/>
                <w:sz w:val="17"/>
              </w:rPr>
              <w:t>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月額</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第9期との差</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長所</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短所</w:t>
            </w:r>
          </w:p>
        </w:tc>
      </w:tr>
      <w:tr>
        <w:tc>
          <w:tcPr>
            <w:tcW w:type="dxa" w:w="1247"/>
            <w:vAlign w:val="center"/>
          </w:tcPr>
          <w:p>
            <w:pPr>
              <w:keepNext/>
              <w:spacing w:before="20" w:after="20"/>
            </w:pPr>
            <w:r>
              <w:rPr>
                <w:rFonts w:ascii="游ゴシック" w:hAnsi="游ゴシック" w:eastAsia="游ゴシック"/>
                <w:b/>
                <w:i w:val="0"/>
                <w:sz w:val="17"/>
              </w:rPr>
              <w:t>案1　引き下げる</w:t>
            </w:r>
          </w:p>
        </w:tc>
        <w:tc>
          <w:tcPr>
            <w:tcW w:type="dxa" w:w="1020"/>
            <w:vAlign w:val="center"/>
          </w:tcPr>
          <w:p>
            <w:pPr>
              <w:keepNext/>
              <w:spacing w:before="20" w:after="20"/>
            </w:pPr>
            <w:r>
              <w:rPr>
                <w:rFonts w:ascii="游ゴシック" w:hAnsi="游ゴシック" w:eastAsia="游ゴシック"/>
                <w:b/>
                <w:i w:val="0"/>
                <w:sz w:val="17"/>
              </w:rPr>
              <w:t>6,100円</w:t>
            </w:r>
          </w:p>
        </w:tc>
        <w:tc>
          <w:tcPr>
            <w:tcW w:type="dxa" w:w="1134"/>
            <w:vAlign w:val="center"/>
          </w:tcPr>
          <w:p>
            <w:pPr>
              <w:keepNext/>
              <w:spacing w:before="20" w:after="20"/>
            </w:pPr>
            <w:r>
              <w:rPr>
                <w:rFonts w:ascii="游ゴシック" w:hAnsi="游ゴシック" w:eastAsia="游ゴシック"/>
                <w:b w:val="0"/>
                <w:i w:val="0"/>
                <w:sz w:val="17"/>
              </w:rPr>
              <w:t>-500円</w:t>
            </w:r>
          </w:p>
        </w:tc>
        <w:tc>
          <w:tcPr>
            <w:tcW w:type="dxa" w:w="2494"/>
            <w:vAlign w:val="center"/>
          </w:tcPr>
          <w:p>
            <w:pPr>
              <w:keepNext/>
              <w:spacing w:before="20" w:after="20"/>
            </w:pPr>
            <w:r>
              <w:rPr>
                <w:rFonts w:ascii="游ゴシック" w:hAnsi="游ゴシック" w:eastAsia="游ゴシック"/>
                <w:b/>
                <w:i w:val="0"/>
                <w:sz w:val="17"/>
              </w:rPr>
              <w:t>当方の算定による標準ケースをそのまま採る案。</w:t>
            </w:r>
            <w:r>
              <w:rPr>
                <w:rFonts w:ascii="游ゴシック" w:hAnsi="游ゴシック" w:eastAsia="游ゴシック"/>
                <w:b w:val="0"/>
                <w:i w:val="0"/>
                <w:sz w:val="17"/>
              </w:rPr>
              <w:t>算定値は月額6,048円で、100円未満を切り上げた額</w:t>
            </w:r>
          </w:p>
        </w:tc>
        <w:tc>
          <w:tcPr>
            <w:tcW w:type="dxa" w:w="1928"/>
            <w:vAlign w:val="center"/>
          </w:tcPr>
          <w:p>
            <w:pPr>
              <w:keepNext/>
              <w:spacing w:before="20" w:after="20"/>
            </w:pPr>
            <w:r>
              <w:rPr>
                <w:rFonts w:ascii="游ゴシック" w:hAnsi="游ゴシック" w:eastAsia="游ゴシック"/>
                <w:b/>
                <w:i w:val="0"/>
                <w:sz w:val="17"/>
              </w:rPr>
              <w:t>給付費の見込みに忠実。</w:t>
            </w:r>
            <w:r>
              <w:rPr>
                <w:rFonts w:ascii="游ゴシック" w:hAnsi="游ゴシック" w:eastAsia="游ゴシック"/>
                <w:b w:val="0"/>
                <w:i w:val="0"/>
                <w:sz w:val="17"/>
              </w:rPr>
              <w:t>準備基金を取り崩さずに収支が合う</w:t>
            </w:r>
          </w:p>
        </w:tc>
        <w:tc>
          <w:tcPr>
            <w:tcW w:type="dxa" w:w="1928"/>
            <w:vAlign w:val="center"/>
          </w:tcPr>
          <w:p>
            <w:pPr>
              <w:keepNext/>
              <w:spacing w:before="20" w:after="20"/>
            </w:pPr>
            <w:r>
              <w:rPr>
                <w:rFonts w:ascii="游ゴシック" w:hAnsi="游ゴシック" w:eastAsia="游ゴシック"/>
                <w:b/>
                <w:i w:val="0"/>
                <w:sz w:val="17"/>
              </w:rPr>
              <w:t>第10期の途中で給付費が上振れした場合、準備基金で埋めるか、第11期で取り戻すことになる</w:t>
            </w:r>
          </w:p>
        </w:tc>
      </w:tr>
      <w:tr>
        <w:tc>
          <w:tcPr>
            <w:tcW w:type="dxa" w:w="1247"/>
            <w:vAlign w:val="center"/>
          </w:tcPr>
          <w:p>
            <w:pPr>
              <w:spacing w:before="20" w:after="20"/>
            </w:pPr>
            <w:r>
              <w:rPr>
                <w:rFonts w:ascii="游ゴシック" w:hAnsi="游ゴシック" w:eastAsia="游ゴシック"/>
                <w:b/>
                <w:i w:val="0"/>
                <w:sz w:val="17"/>
              </w:rPr>
              <w:t>案2　据え置く</w:t>
            </w:r>
          </w:p>
        </w:tc>
        <w:tc>
          <w:tcPr>
            <w:tcW w:type="dxa" w:w="1020"/>
            <w:vAlign w:val="center"/>
          </w:tcPr>
          <w:p>
            <w:pPr>
              <w:spacing w:before="20" w:after="20"/>
            </w:pPr>
            <w:r>
              <w:rPr>
                <w:rFonts w:ascii="游ゴシック" w:hAnsi="游ゴシック" w:eastAsia="游ゴシック"/>
                <w:b/>
                <w:i w:val="0"/>
                <w:sz w:val="17"/>
              </w:rPr>
              <w:t>6,600円</w:t>
            </w:r>
          </w:p>
        </w:tc>
        <w:tc>
          <w:tcPr>
            <w:tcW w:type="dxa" w:w="1134"/>
            <w:vAlign w:val="center"/>
          </w:tcPr>
          <w:p>
            <w:pPr>
              <w:spacing w:before="20" w:after="20"/>
            </w:pPr>
            <w:r>
              <w:rPr>
                <w:rFonts w:ascii="游ゴシック" w:hAnsi="游ゴシック" w:eastAsia="游ゴシック"/>
                <w:b w:val="0"/>
                <w:i w:val="0"/>
                <w:sz w:val="17"/>
              </w:rPr>
              <w:t>±0円</w:t>
            </w:r>
          </w:p>
        </w:tc>
        <w:tc>
          <w:tcPr>
            <w:tcW w:type="dxa" w:w="2494"/>
            <w:vAlign w:val="center"/>
          </w:tcPr>
          <w:p>
            <w:pPr>
              <w:spacing w:before="20" w:after="20"/>
            </w:pPr>
            <w:r>
              <w:rPr>
                <w:rFonts w:ascii="游ゴシック" w:hAnsi="游ゴシック" w:eastAsia="游ゴシック"/>
                <w:b/>
                <w:i w:val="0"/>
                <w:sz w:val="17"/>
              </w:rPr>
              <w:t>平成30年度以降の水準を維持する案。</w:t>
            </w:r>
            <w:r>
              <w:rPr>
                <w:rFonts w:ascii="游ゴシック" w:hAnsi="游ゴシック" w:eastAsia="游ゴシック"/>
                <w:b w:val="0"/>
                <w:i w:val="0"/>
                <w:sz w:val="17"/>
              </w:rPr>
              <w:t>見える化システムの自然体推計による算定（標準給付費が8.4％多い）はこの水準に近い</w:t>
            </w:r>
          </w:p>
        </w:tc>
        <w:tc>
          <w:tcPr>
            <w:tcW w:type="dxa" w:w="1928"/>
            <w:vAlign w:val="center"/>
          </w:tcPr>
          <w:p>
            <w:pPr>
              <w:spacing w:before="20" w:after="20"/>
            </w:pPr>
            <w:r>
              <w:rPr>
                <w:rFonts w:ascii="游ゴシック" w:hAnsi="游ゴシック" w:eastAsia="游ゴシック"/>
                <w:b/>
                <w:i w:val="0"/>
                <w:sz w:val="17"/>
              </w:rPr>
              <w:t>変更の説明が要らない。</w:t>
            </w:r>
            <w:r>
              <w:rPr>
                <w:rFonts w:ascii="游ゴシック" w:hAnsi="游ゴシック" w:eastAsia="游ゴシック"/>
                <w:b w:val="0"/>
                <w:i w:val="0"/>
                <w:sz w:val="17"/>
              </w:rPr>
              <w:t>給付費が上振れしても吸収できる余地がある</w:t>
            </w:r>
          </w:p>
        </w:tc>
        <w:tc>
          <w:tcPr>
            <w:tcW w:type="dxa" w:w="1928"/>
            <w:vAlign w:val="center"/>
          </w:tcPr>
          <w:p>
            <w:pPr>
              <w:spacing w:before="20" w:after="20"/>
            </w:pPr>
            <w:r>
              <w:rPr>
                <w:rFonts w:ascii="游ゴシック" w:hAnsi="游ゴシック" w:eastAsia="游ゴシック"/>
                <w:b/>
                <w:i w:val="0"/>
                <w:sz w:val="17"/>
              </w:rPr>
              <w:t>算定上の必要額を上回る分は準備基金に積み上がる。</w:t>
            </w:r>
            <w:r>
              <w:rPr>
                <w:rFonts w:ascii="游ゴシック" w:hAnsi="游ゴシック" w:eastAsia="游ゴシック"/>
                <w:b w:val="0"/>
                <w:i w:val="0"/>
                <w:sz w:val="17"/>
              </w:rPr>
              <w:t>剰余が続けば第11期で引き下げる</w:t>
            </w:r>
          </w:p>
        </w:tc>
      </w:tr>
    </w:tbl>
    <w:p>
      <w:pPr>
        <w:spacing w:after="40"/>
      </w:pPr>
    </w:p>
    <w:p>
      <w:pPr>
        <w:spacing w:before="60" w:after="60"/>
      </w:pPr>
      <w:r>
        <w:rPr>
          <w:rFonts w:ascii="游ゴシック" w:hAnsi="游ゴシック" w:eastAsia="游ゴシック"/>
          <w:b/>
          <w:i w:val="0"/>
          <w:sz w:val="21"/>
        </w:rPr>
        <w:t>いずれの案でも、第10期中に給付費が見込みを上回った場合は準備基金で埋めることになります。</w:t>
      </w:r>
      <w:r>
        <w:rPr>
          <w:rFonts w:ascii="游ゴシック" w:hAnsi="游ゴシック" w:eastAsia="游ゴシック"/>
          <w:b w:val="0"/>
          <w:i w:val="0"/>
          <w:sz w:val="21"/>
        </w:rPr>
        <w:t>準備基金の残高は、町の財務書類で令和5年度末120,000千円、令和8年度末の見込みは210,000千円です（令和7年度末の残高は【町データ待ち】）。</w:t>
      </w:r>
      <w:r>
        <w:rPr>
          <w:rFonts w:ascii="游ゴシック" w:hAnsi="游ゴシック" w:eastAsia="游ゴシック"/>
          <w:b/>
          <w:i w:val="0"/>
          <w:sz w:val="21"/>
        </w:rPr>
        <w:t>取崩額は、この残高を踏まえてお決めいただく事項です（決定2）。</w:t>
      </w:r>
    </w:p>
    <w:p>
      <w:pPr>
        <w:pStyle w:val="Heading2"/>
        <w:keepNext/>
        <w:spacing w:before="180" w:after="100"/>
      </w:pPr>
      <w:bookmarkStart w:id="111" w:name="_Toc_011"/>
      <w:r>
        <w:rPr>
          <w:rFonts w:ascii="游ゴシック" w:hAnsi="游ゴシック" w:eastAsia="游ゴシック"/>
          <w:b/>
          <w:i w:val="0"/>
          <w:color w:val="2E74B5"/>
          <w:sz w:val="25"/>
        </w:rPr>
        <w:t>（3）保険料が動きうる要因</w:t>
      </w:r>
      <w:bookmarkEnd w:id="111"/>
    </w:p>
    <w:p>
      <w:pPr>
        <w:keepNext/>
        <w:spacing w:before="200" w:after="40"/>
      </w:pPr>
      <w:r>
        <w:rPr>
          <w:rFonts w:ascii="游ゴシック" w:hAnsi="游ゴシック" w:eastAsia="游ゴシック"/>
          <w:b/>
          <w:i w:val="0"/>
          <w:color w:val="1F4D78"/>
          <w:sz w:val="22"/>
        </w:rPr>
        <w:t>【表9】保険料が動きうる要因</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2041"/>
        <w:gridCol w:w="2608"/>
        <w:gridCol w:w="3288"/>
      </w:tblGrid>
      <w:tr>
        <w:tc>
          <w:tcPr>
            <w:tcW w:type="dxa" w:w="1814"/>
            <w:shd w:val="clear" w:fill="1F3864"/>
            <w:vAlign w:val="center"/>
          </w:tcPr>
          <w:p>
            <w:pPr>
              <w:spacing w:before="20" w:after="20"/>
              <w:jc w:val="center"/>
            </w:pPr>
            <w:r>
              <w:rPr>
                <w:rFonts w:ascii="游ゴシック" w:hAnsi="游ゴシック" w:eastAsia="游ゴシック"/>
                <w:b/>
                <w:i w:val="0"/>
                <w:color w:val="FFFFFF"/>
                <w:sz w:val="17"/>
              </w:rPr>
              <w:t>要因</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動かす幅</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月額への効き</w:t>
            </w:r>
          </w:p>
        </w:tc>
        <w:tc>
          <w:tcPr>
            <w:tcW w:type="dxa" w:w="3288"/>
            <w:shd w:val="clear" w:fill="1F3864"/>
            <w:vAlign w:val="center"/>
          </w:tcPr>
          <w:p>
            <w:pPr>
              <w:spacing w:before="20" w:after="20"/>
              <w:jc w:val="center"/>
            </w:pPr>
            <w:r>
              <w:rPr>
                <w:rFonts w:ascii="游ゴシック" w:hAnsi="游ゴシック" w:eastAsia="游ゴシック"/>
                <w:b/>
                <w:i w:val="0"/>
                <w:color w:val="FFFFFF"/>
                <w:sz w:val="17"/>
              </w:rPr>
              <w:t>確定の見通し</w:t>
            </w:r>
          </w:p>
        </w:tc>
      </w:tr>
      <w:tr>
        <w:tc>
          <w:tcPr>
            <w:tcW w:type="dxa" w:w="1814"/>
            <w:vAlign w:val="center"/>
          </w:tcPr>
          <w:p>
            <w:pPr>
              <w:spacing w:before="20" w:after="20"/>
            </w:pPr>
            <w:r>
              <w:rPr>
                <w:rFonts w:ascii="游ゴシック" w:hAnsi="游ゴシック" w:eastAsia="游ゴシック"/>
                <w:b/>
                <w:i w:val="0"/>
                <w:sz w:val="17"/>
              </w:rPr>
              <w:t>介護報酬改定率</w:t>
            </w:r>
          </w:p>
        </w:tc>
        <w:tc>
          <w:tcPr>
            <w:tcW w:type="dxa" w:w="2041"/>
            <w:vAlign w:val="center"/>
          </w:tcPr>
          <w:p>
            <w:pPr>
              <w:spacing w:before="20" w:after="20"/>
            </w:pPr>
            <w:r>
              <w:rPr>
                <w:rFonts w:ascii="游ゴシック" w:hAnsi="游ゴシック" w:eastAsia="游ゴシック"/>
                <w:b/>
                <w:i w:val="0"/>
                <w:sz w:val="17"/>
              </w:rPr>
              <w:t>±1〜3％</w:t>
            </w:r>
          </w:p>
        </w:tc>
        <w:tc>
          <w:tcPr>
            <w:tcW w:type="dxa" w:w="2608"/>
            <w:vAlign w:val="center"/>
          </w:tcPr>
          <w:p>
            <w:pPr>
              <w:spacing w:before="20" w:after="20"/>
            </w:pPr>
            <w:r>
              <w:rPr>
                <w:rFonts w:ascii="游ゴシック" w:hAnsi="游ゴシック" w:eastAsia="游ゴシック"/>
                <w:b/>
                <w:i w:val="0"/>
                <w:sz w:val="17"/>
              </w:rPr>
              <w:t>＋1％で月額＋57円、＋3％で＋171円</w:t>
            </w:r>
          </w:p>
        </w:tc>
        <w:tc>
          <w:tcPr>
            <w:tcW w:type="dxa" w:w="3288"/>
            <w:vAlign w:val="center"/>
          </w:tcPr>
          <w:p>
            <w:pPr>
              <w:spacing w:before="20" w:after="20"/>
            </w:pPr>
            <w:r>
              <w:rPr>
                <w:rFonts w:ascii="游ゴシック" w:hAnsi="游ゴシック" w:eastAsia="游ゴシック"/>
                <w:b/>
                <w:i w:val="0"/>
                <w:sz w:val="17"/>
              </w:rPr>
              <w:t>令和8年12月から令和9年1月に示されるのが通例。12月の協議会の時点では示されていない可能性がある</w:t>
            </w:r>
          </w:p>
        </w:tc>
      </w:tr>
      <w:tr>
        <w:tc>
          <w:tcPr>
            <w:tcW w:type="dxa" w:w="1814"/>
            <w:vAlign w:val="center"/>
          </w:tcPr>
          <w:p>
            <w:pPr>
              <w:spacing w:before="20" w:after="20"/>
            </w:pPr>
            <w:r>
              <w:rPr>
                <w:rFonts w:ascii="游ゴシック" w:hAnsi="游ゴシック" w:eastAsia="游ゴシック"/>
                <w:b/>
                <w:i w:val="0"/>
                <w:sz w:val="17"/>
              </w:rPr>
              <w:t>単価の置き方</w:t>
            </w:r>
          </w:p>
        </w:tc>
        <w:tc>
          <w:tcPr>
            <w:tcW w:type="dxa" w:w="2041"/>
            <w:vAlign w:val="center"/>
          </w:tcPr>
          <w:p>
            <w:pPr>
              <w:spacing w:before="20" w:after="20"/>
            </w:pPr>
            <w:r>
              <w:rPr>
                <w:rFonts w:ascii="游ゴシック" w:hAnsi="游ゴシック" w:eastAsia="游ゴシック"/>
                <w:b w:val="0"/>
                <w:i w:val="0"/>
                <w:sz w:val="17"/>
              </w:rPr>
              <w:t>固定（当方）／実績の趨勢（年率＋1.13％）</w:t>
            </w:r>
          </w:p>
        </w:tc>
        <w:tc>
          <w:tcPr>
            <w:tcW w:type="dxa" w:w="2608"/>
            <w:vAlign w:val="center"/>
          </w:tcPr>
          <w:p>
            <w:pPr>
              <w:spacing w:before="20" w:after="20"/>
            </w:pPr>
            <w:r>
              <w:rPr>
                <w:rFonts w:ascii="游ゴシック" w:hAnsi="游ゴシック" w:eastAsia="游ゴシック"/>
                <w:b/>
                <w:i w:val="0"/>
                <w:sz w:val="17"/>
              </w:rPr>
              <w:t>趨勢で置くと月額+195円</w:t>
            </w:r>
          </w:p>
        </w:tc>
        <w:tc>
          <w:tcPr>
            <w:tcW w:type="dxa" w:w="3288"/>
            <w:vAlign w:val="center"/>
          </w:tcPr>
          <w:p>
            <w:pPr>
              <w:spacing w:before="20" w:after="20"/>
            </w:pPr>
            <w:r>
              <w:rPr>
                <w:rFonts w:ascii="游ゴシック" w:hAnsi="游ゴシック" w:eastAsia="游ゴシック"/>
                <w:b/>
                <w:i w:val="0"/>
                <w:sz w:val="17"/>
              </w:rPr>
              <w:t>本日ご判断いただけます</w:t>
            </w:r>
          </w:p>
        </w:tc>
      </w:tr>
      <w:tr>
        <w:tc>
          <w:tcPr>
            <w:tcW w:type="dxa" w:w="1814"/>
            <w:vAlign w:val="center"/>
          </w:tcPr>
          <w:p>
            <w:pPr>
              <w:spacing w:before="20" w:after="20"/>
            </w:pPr>
            <w:r>
              <w:rPr>
                <w:rFonts w:ascii="游ゴシック" w:hAnsi="游ゴシック" w:eastAsia="游ゴシック"/>
                <w:b/>
                <w:i w:val="0"/>
                <w:sz w:val="17"/>
              </w:rPr>
              <w:t>第1号被保険者負担割合</w:t>
            </w:r>
          </w:p>
        </w:tc>
        <w:tc>
          <w:tcPr>
            <w:tcW w:type="dxa" w:w="2041"/>
            <w:vAlign w:val="center"/>
          </w:tcPr>
          <w:p>
            <w:pPr>
              <w:spacing w:before="20" w:after="20"/>
            </w:pPr>
            <w:r>
              <w:rPr>
                <w:rFonts w:ascii="游ゴシック" w:hAnsi="游ゴシック" w:eastAsia="游ゴシック"/>
                <w:b w:val="0"/>
                <w:i w:val="0"/>
                <w:sz w:val="17"/>
              </w:rPr>
              <w:t>23％／24％</w:t>
            </w:r>
          </w:p>
        </w:tc>
        <w:tc>
          <w:tcPr>
            <w:tcW w:type="dxa" w:w="2608"/>
            <w:vAlign w:val="center"/>
          </w:tcPr>
          <w:p>
            <w:pPr>
              <w:spacing w:before="20" w:after="20"/>
            </w:pPr>
            <w:r>
              <w:rPr>
                <w:rFonts w:ascii="游ゴシック" w:hAnsi="游ゴシック" w:eastAsia="游ゴシック"/>
                <w:b w:val="0"/>
                <w:i w:val="0"/>
                <w:sz w:val="17"/>
              </w:rPr>
              <w:t>24％になると月額＋約260円</w:t>
            </w:r>
          </w:p>
        </w:tc>
        <w:tc>
          <w:tcPr>
            <w:tcW w:type="dxa" w:w="3288"/>
            <w:vAlign w:val="center"/>
          </w:tcPr>
          <w:p>
            <w:pPr>
              <w:spacing w:before="20" w:after="20"/>
            </w:pPr>
            <w:r>
              <w:rPr>
                <w:rFonts w:ascii="游ゴシック" w:hAnsi="游ゴシック" w:eastAsia="游ゴシック"/>
                <w:b w:val="0"/>
                <w:i w:val="0"/>
                <w:sz w:val="17"/>
              </w:rPr>
              <w:t>国の基本指針による。未確定</w:t>
            </w:r>
          </w:p>
        </w:tc>
      </w:tr>
      <w:tr>
        <w:tc>
          <w:tcPr>
            <w:tcW w:type="dxa" w:w="1814"/>
            <w:vAlign w:val="center"/>
          </w:tcPr>
          <w:p>
            <w:pPr>
              <w:keepNext/>
              <w:spacing w:before="20" w:after="20"/>
            </w:pPr>
            <w:r>
              <w:rPr>
                <w:rFonts w:ascii="游ゴシック" w:hAnsi="游ゴシック" w:eastAsia="游ゴシック"/>
                <w:b/>
                <w:i w:val="0"/>
                <w:sz w:val="17"/>
              </w:rPr>
              <w:t>準備基金の取崩額</w:t>
            </w:r>
          </w:p>
        </w:tc>
        <w:tc>
          <w:tcPr>
            <w:tcW w:type="dxa" w:w="2041"/>
            <w:vAlign w:val="center"/>
          </w:tcPr>
          <w:p>
            <w:pPr>
              <w:keepNext/>
              <w:spacing w:before="20" w:after="20"/>
            </w:pPr>
            <w:r>
              <w:rPr>
                <w:rFonts w:ascii="游ゴシック" w:hAnsi="游ゴシック" w:eastAsia="游ゴシック"/>
                <w:b w:val="0"/>
                <w:i w:val="0"/>
                <w:sz w:val="17"/>
              </w:rPr>
              <w:t>0円／105,000千円／210,000千円</w:t>
            </w:r>
          </w:p>
        </w:tc>
        <w:tc>
          <w:tcPr>
            <w:tcW w:type="dxa" w:w="2608"/>
            <w:vAlign w:val="center"/>
          </w:tcPr>
          <w:p>
            <w:pPr>
              <w:keepNext/>
              <w:spacing w:before="20" w:after="20"/>
            </w:pPr>
            <w:r>
              <w:rPr>
                <w:rFonts w:ascii="游ゴシック" w:hAnsi="游ゴシック" w:eastAsia="游ゴシック"/>
                <w:b w:val="0"/>
                <w:i w:val="0"/>
                <w:sz w:val="17"/>
              </w:rPr>
              <w:t>105,000千円を取り崩すと月額-860円</w:t>
            </w:r>
          </w:p>
        </w:tc>
        <w:tc>
          <w:tcPr>
            <w:tcW w:type="dxa" w:w="3288"/>
            <w:vAlign w:val="center"/>
          </w:tcPr>
          <w:p>
            <w:pPr>
              <w:keepNext/>
              <w:spacing w:before="20" w:after="20"/>
            </w:pPr>
            <w:r>
              <w:rPr>
                <w:rFonts w:ascii="游ゴシック" w:hAnsi="游ゴシック" w:eastAsia="游ゴシック"/>
                <w:b/>
                <w:i w:val="0"/>
                <w:sz w:val="17"/>
              </w:rPr>
              <w:t>残高は令和8年度末見込210,000千円（令和7年度末は【町データ待ち】）</w:t>
            </w:r>
          </w:p>
        </w:tc>
      </w:tr>
      <w:tr>
        <w:tc>
          <w:tcPr>
            <w:tcW w:type="dxa" w:w="1814"/>
            <w:vAlign w:val="center"/>
          </w:tcPr>
          <w:p>
            <w:pPr>
              <w:spacing w:before="20" w:after="20"/>
            </w:pPr>
            <w:r>
              <w:rPr>
                <w:rFonts w:ascii="游ゴシック" w:hAnsi="游ゴシック" w:eastAsia="游ゴシック"/>
                <w:b w:val="0"/>
                <w:i w:val="0"/>
                <w:sz w:val="17"/>
              </w:rPr>
              <w:t>施設の整備</w:t>
            </w:r>
          </w:p>
        </w:tc>
        <w:tc>
          <w:tcPr>
            <w:tcW w:type="dxa" w:w="2041"/>
            <w:vAlign w:val="center"/>
          </w:tcPr>
          <w:p>
            <w:pPr>
              <w:spacing w:before="20" w:after="20"/>
            </w:pPr>
            <w:r>
              <w:rPr>
                <w:rFonts w:ascii="游ゴシック" w:hAnsi="游ゴシック" w:eastAsia="游ゴシック"/>
                <w:b w:val="0"/>
                <w:i w:val="0"/>
                <w:sz w:val="17"/>
              </w:rPr>
              <w:t>整備なし／あり</w:t>
            </w:r>
          </w:p>
        </w:tc>
        <w:tc>
          <w:tcPr>
            <w:tcW w:type="dxa" w:w="2608"/>
            <w:vAlign w:val="center"/>
          </w:tcPr>
          <w:p>
            <w:pPr>
              <w:spacing w:before="20" w:after="20"/>
            </w:pPr>
            <w:r>
              <w:rPr>
                <w:rFonts w:ascii="游ゴシック" w:hAnsi="游ゴシック" w:eastAsia="游ゴシック"/>
                <w:b w:val="0"/>
                <w:i w:val="0"/>
                <w:sz w:val="17"/>
              </w:rPr>
              <w:t>地域密着型介護老人福祉施設10人で月額+55円／認知症対応型共同生活介護9人で月額+48円</w:t>
            </w:r>
          </w:p>
        </w:tc>
        <w:tc>
          <w:tcPr>
            <w:tcW w:type="dxa" w:w="3288"/>
            <w:vAlign w:val="center"/>
          </w:tcPr>
          <w:p>
            <w:pPr>
              <w:spacing w:before="20" w:after="20"/>
            </w:pPr>
            <w:r>
              <w:rPr>
                <w:rFonts w:ascii="游ゴシック" w:hAnsi="游ゴシック" w:eastAsia="游ゴシック"/>
                <w:b/>
                <w:i w:val="0"/>
                <w:sz w:val="17"/>
              </w:rPr>
              <w:t>町の方針決定</w:t>
            </w:r>
            <w:r>
              <w:rPr>
                <w:rFonts w:ascii="游ゴシック" w:hAnsi="游ゴシック" w:eastAsia="游ゴシック"/>
                <w:b w:val="0"/>
                <w:i w:val="0"/>
                <w:sz w:val="17"/>
              </w:rPr>
              <w:t>（令和10年4月開設とした試算）</w:t>
            </w:r>
          </w:p>
        </w:tc>
      </w:tr>
    </w:tbl>
    <w:p>
      <w:pPr>
        <w:spacing w:after="40"/>
      </w:pPr>
    </w:p>
    <w:p>
      <w:pPr>
        <w:spacing w:before="40" w:after="160"/>
        <w:ind w:left="113"/>
      </w:pPr>
      <w:r>
        <w:rPr>
          <w:rFonts w:ascii="游ゴシック" w:hAnsi="游ゴシック" w:eastAsia="游ゴシック"/>
          <w:b w:val="0"/>
          <w:i w:val="0"/>
          <w:sz w:val="17"/>
        </w:rPr>
        <w:t>※ 月額への効きは、他の条件を変えずにその要因だけを動かした場合の試算です。</w:t>
      </w:r>
    </w:p>
    <w:p>
      <w:pPr>
        <w:pStyle w:val="Heading1"/>
        <w:keepNext/>
        <w:spacing w:before="240" w:after="100"/>
      </w:pPr>
      <w:bookmarkStart w:id="112" w:name="_Toc_012"/>
      <w:r>
        <w:rPr>
          <w:rFonts w:ascii="游ゴシック" w:hAnsi="游ゴシック" w:eastAsia="游ゴシック"/>
          <w:b/>
          <w:i w:val="0"/>
          <w:color w:val="2E74B5"/>
          <w:sz w:val="30"/>
        </w:rPr>
        <w:t>4　成果指標の目標値</w:t>
      </w:r>
      <w:bookmarkEnd w:id="112"/>
    </w:p>
    <w:p>
      <w:pPr>
        <w:spacing w:before="60" w:after="60"/>
      </w:pPr>
      <w:r>
        <w:rPr>
          <w:rFonts w:ascii="游ゴシック" w:hAnsi="游ゴシック" w:eastAsia="游ゴシック"/>
          <w:b/>
          <w:i w:val="0"/>
          <w:sz w:val="21"/>
        </w:rPr>
        <w:t>第10期計画では、各施策に成果指標を置き、毎年度その達成状況を点検します（第1章6）。</w:t>
      </w:r>
      <w:r>
        <w:rPr>
          <w:rFonts w:ascii="游ゴシック" w:hAnsi="游ゴシック" w:eastAsia="游ゴシック"/>
          <w:b w:val="0"/>
          <w:i w:val="0"/>
          <w:sz w:val="21"/>
        </w:rPr>
        <w:t>現状値は調査・年報・見える化システムから取得済みですが、</w:t>
      </w:r>
      <w:r>
        <w:rPr>
          <w:rFonts w:ascii="游ゴシック" w:hAnsi="游ゴシック" w:eastAsia="游ゴシック"/>
          <w:b/>
          <w:i w:val="0"/>
          <w:sz w:val="21"/>
        </w:rPr>
        <w:t>3年後に目指す水準は【協議会で設定】です。</w:t>
      </w:r>
    </w:p>
    <w:p>
      <w:pPr>
        <w:keepNext/>
        <w:spacing w:before="200" w:after="40"/>
      </w:pPr>
      <w:r>
        <w:rPr>
          <w:rFonts w:ascii="游ゴシック" w:hAnsi="游ゴシック" w:eastAsia="游ゴシック"/>
          <w:b/>
          <w:i w:val="0"/>
          <w:color w:val="1F4D78"/>
          <w:sz w:val="22"/>
        </w:rPr>
        <w:t>【表10】成果指標の3区分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2154"/>
        <w:gridCol w:w="2835"/>
        <w:gridCol w:w="1361"/>
        <w:gridCol w:w="147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何を測るか</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指標の例</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1928"/>
            <w:vAlign w:val="center"/>
          </w:tcPr>
          <w:p>
            <w:pPr>
              <w:spacing w:before="20" w:after="20"/>
            </w:pPr>
            <w:r>
              <w:rPr>
                <w:rFonts w:ascii="游ゴシック" w:hAnsi="游ゴシック" w:eastAsia="游ゴシック"/>
                <w:b/>
                <w:i w:val="0"/>
                <w:sz w:val="17"/>
              </w:rPr>
              <w:t>住民・利用者の状態</w:t>
            </w:r>
          </w:p>
        </w:tc>
        <w:tc>
          <w:tcPr>
            <w:tcW w:type="dxa" w:w="2154"/>
            <w:vAlign w:val="center"/>
          </w:tcPr>
          <w:p>
            <w:pPr>
              <w:spacing w:before="20" w:after="20"/>
            </w:pPr>
            <w:r>
              <w:rPr>
                <w:rFonts w:ascii="游ゴシック" w:hAnsi="游ゴシック" w:eastAsia="游ゴシック"/>
                <w:b w:val="0"/>
                <w:i w:val="0"/>
                <w:sz w:val="17"/>
              </w:rPr>
              <w:t>住民の状態がどう変わったか</w:t>
            </w:r>
          </w:p>
        </w:tc>
        <w:tc>
          <w:tcPr>
            <w:tcW w:type="dxa" w:w="2835"/>
            <w:vAlign w:val="center"/>
          </w:tcPr>
          <w:p>
            <w:pPr>
              <w:spacing w:before="20" w:after="20"/>
            </w:pPr>
            <w:r>
              <w:rPr>
                <w:rFonts w:ascii="游ゴシック" w:hAnsi="游ゴシック" w:eastAsia="游ゴシック"/>
                <w:b w:val="0"/>
                <w:i w:val="0"/>
                <w:sz w:val="17"/>
              </w:rPr>
              <w:t>週1回以上の通いの場の参加率、要介護2以上の認定率の変化</w:t>
            </w:r>
          </w:p>
        </w:tc>
        <w:tc>
          <w:tcPr>
            <w:tcW w:type="dxa" w:w="1361"/>
            <w:vAlign w:val="center"/>
          </w:tcPr>
          <w:p>
            <w:pPr>
              <w:spacing w:before="20" w:after="20"/>
            </w:pPr>
            <w:r>
              <w:rPr>
                <w:rFonts w:ascii="游ゴシック" w:hAnsi="游ゴシック" w:eastAsia="游ゴシック"/>
                <w:b w:val="0"/>
                <w:i w:val="0"/>
                <w:sz w:val="17"/>
              </w:rPr>
              <w:t>取得済み</w:t>
            </w:r>
          </w:p>
        </w:tc>
        <w:tc>
          <w:tcPr>
            <w:tcW w:type="dxa" w:w="1474"/>
            <w:vAlign w:val="center"/>
          </w:tcPr>
          <w:p>
            <w:pPr>
              <w:spacing w:before="20" w:after="20"/>
            </w:pPr>
            <w:r>
              <w:rPr>
                <w:rFonts w:ascii="游ゴシック" w:hAnsi="游ゴシック" w:eastAsia="游ゴシック"/>
                <w:b/>
                <w:i w:val="0"/>
                <w:sz w:val="17"/>
              </w:rPr>
              <w:t>【協議会で設定】</w:t>
            </w:r>
          </w:p>
        </w:tc>
      </w:tr>
      <w:tr>
        <w:tc>
          <w:tcPr>
            <w:tcW w:type="dxa" w:w="1928"/>
            <w:vAlign w:val="center"/>
          </w:tcPr>
          <w:p>
            <w:pPr>
              <w:keepNext/>
              <w:spacing w:before="20" w:after="20"/>
            </w:pPr>
            <w:r>
              <w:rPr>
                <w:rFonts w:ascii="游ゴシック" w:hAnsi="游ゴシック" w:eastAsia="游ゴシック"/>
                <w:b/>
                <w:i w:val="0"/>
                <w:sz w:val="17"/>
              </w:rPr>
              <w:t>供給の持続性</w:t>
            </w:r>
          </w:p>
        </w:tc>
        <w:tc>
          <w:tcPr>
            <w:tcW w:type="dxa" w:w="2154"/>
            <w:vAlign w:val="center"/>
          </w:tcPr>
          <w:p>
            <w:pPr>
              <w:keepNext/>
              <w:spacing w:before="20" w:after="20"/>
            </w:pPr>
            <w:r>
              <w:rPr>
                <w:rFonts w:ascii="游ゴシック" w:hAnsi="游ゴシック" w:eastAsia="游ゴシック"/>
                <w:b w:val="0"/>
                <w:i w:val="0"/>
                <w:sz w:val="17"/>
              </w:rPr>
              <w:t>サービスが提供し続けられるか</w:t>
            </w:r>
          </w:p>
        </w:tc>
        <w:tc>
          <w:tcPr>
            <w:tcW w:type="dxa" w:w="2835"/>
            <w:vAlign w:val="center"/>
          </w:tcPr>
          <w:p>
            <w:pPr>
              <w:keepNext/>
              <w:spacing w:before="20" w:after="20"/>
            </w:pPr>
            <w:r>
              <w:rPr>
                <w:rFonts w:ascii="游ゴシック" w:hAnsi="游ゴシック" w:eastAsia="游ゴシック"/>
                <w:b w:val="0"/>
                <w:i w:val="0"/>
                <w:sz w:val="17"/>
              </w:rPr>
              <w:t>自給率、事業所数、従事者数</w:t>
            </w:r>
          </w:p>
        </w:tc>
        <w:tc>
          <w:tcPr>
            <w:tcW w:type="dxa" w:w="1361"/>
            <w:vAlign w:val="center"/>
          </w:tcPr>
          <w:p>
            <w:pPr>
              <w:keepNext/>
              <w:spacing w:before="20" w:after="20"/>
            </w:pPr>
            <w:r>
              <w:rPr>
                <w:rFonts w:ascii="游ゴシック" w:hAnsi="游ゴシック" w:eastAsia="游ゴシック"/>
                <w:b w:val="0"/>
                <w:i w:val="0"/>
                <w:sz w:val="17"/>
              </w:rPr>
              <w:t>一部取得済み</w:t>
            </w:r>
          </w:p>
        </w:tc>
        <w:tc>
          <w:tcPr>
            <w:tcW w:type="dxa" w:w="1474"/>
            <w:vAlign w:val="center"/>
          </w:tcPr>
          <w:p>
            <w:pPr>
              <w:keepNext/>
              <w:spacing w:before="20" w:after="20"/>
            </w:pPr>
            <w:r>
              <w:rPr>
                <w:rFonts w:ascii="游ゴシック" w:hAnsi="游ゴシック" w:eastAsia="游ゴシック"/>
                <w:b/>
                <w:i w:val="0"/>
                <w:sz w:val="17"/>
              </w:rPr>
              <w:t>【協議会で設定】</w:t>
            </w:r>
          </w:p>
        </w:tc>
      </w:tr>
      <w:tr>
        <w:tc>
          <w:tcPr>
            <w:tcW w:type="dxa" w:w="1928"/>
            <w:vAlign w:val="center"/>
          </w:tcPr>
          <w:p>
            <w:pPr>
              <w:spacing w:before="20" w:after="20"/>
            </w:pPr>
            <w:r>
              <w:rPr>
                <w:rFonts w:ascii="游ゴシック" w:hAnsi="游ゴシック" w:eastAsia="游ゴシック"/>
                <w:b/>
                <w:i w:val="0"/>
                <w:sz w:val="17"/>
              </w:rPr>
              <w:t>保険運営の成果</w:t>
            </w:r>
          </w:p>
        </w:tc>
        <w:tc>
          <w:tcPr>
            <w:tcW w:type="dxa" w:w="2154"/>
            <w:vAlign w:val="center"/>
          </w:tcPr>
          <w:p>
            <w:pPr>
              <w:spacing w:before="20" w:after="20"/>
            </w:pPr>
            <w:r>
              <w:rPr>
                <w:rFonts w:ascii="游ゴシック" w:hAnsi="游ゴシック" w:eastAsia="游ゴシック"/>
                <w:b w:val="0"/>
                <w:i w:val="0"/>
                <w:sz w:val="17"/>
              </w:rPr>
              <w:t>保険者としての取組の成果</w:t>
            </w:r>
          </w:p>
        </w:tc>
        <w:tc>
          <w:tcPr>
            <w:tcW w:type="dxa" w:w="2835"/>
            <w:vAlign w:val="center"/>
          </w:tcPr>
          <w:p>
            <w:pPr>
              <w:spacing w:before="20" w:after="20"/>
            </w:pPr>
            <w:r>
              <w:rPr>
                <w:rFonts w:ascii="游ゴシック" w:hAnsi="游ゴシック" w:eastAsia="游ゴシック"/>
                <w:b w:val="0"/>
                <w:i w:val="0"/>
                <w:sz w:val="17"/>
              </w:rPr>
              <w:t>ケアプラン点検の件数、給付適正化の取組、保険者機能強化推進交付金の得点</w:t>
            </w:r>
          </w:p>
        </w:tc>
        <w:tc>
          <w:tcPr>
            <w:tcW w:type="dxa" w:w="1361"/>
            <w:vAlign w:val="center"/>
          </w:tcPr>
          <w:p>
            <w:pPr>
              <w:spacing w:before="20" w:after="20"/>
            </w:pPr>
            <w:r>
              <w:rPr>
                <w:rFonts w:ascii="游ゴシック" w:hAnsi="游ゴシック" w:eastAsia="游ゴシック"/>
                <w:b w:val="0"/>
                <w:i w:val="0"/>
                <w:sz w:val="17"/>
              </w:rPr>
              <w:t>取得済み</w:t>
            </w:r>
          </w:p>
        </w:tc>
        <w:tc>
          <w:tcPr>
            <w:tcW w:type="dxa" w:w="1474"/>
            <w:vAlign w:val="center"/>
          </w:tcPr>
          <w:p>
            <w:pPr>
              <w:spacing w:before="20" w:after="20"/>
            </w:pPr>
            <w:r>
              <w:rPr>
                <w:rFonts w:ascii="游ゴシック" w:hAnsi="游ゴシック" w:eastAsia="游ゴシック"/>
                <w:b/>
                <w:i w:val="0"/>
                <w:sz w:val="17"/>
              </w:rPr>
              <w:t>【協議会で設定】</w:t>
            </w:r>
          </w:p>
        </w:tc>
      </w:tr>
    </w:tbl>
    <w:p>
      <w:pPr>
        <w:spacing w:after="40"/>
      </w:pPr>
    </w:p>
    <w:p>
      <w:pPr>
        <w:spacing w:before="60" w:after="60"/>
      </w:pPr>
      <w:r>
        <w:rPr>
          <w:rFonts w:ascii="游ゴシック" w:hAnsi="游ゴシック" w:eastAsia="游ゴシック"/>
          <w:b/>
          <w:i w:val="0"/>
          <w:sz w:val="21"/>
        </w:rPr>
        <w:t>目標値の置き方について、3つの考え方をお示しします。</w:t>
      </w:r>
    </w:p>
    <w:p>
      <w:pPr>
        <w:keepNext/>
        <w:spacing w:before="200" w:after="40"/>
      </w:pPr>
      <w:r>
        <w:rPr>
          <w:rFonts w:ascii="游ゴシック" w:hAnsi="游ゴシック" w:eastAsia="游ゴシック"/>
          <w:b/>
          <w:i w:val="0"/>
          <w:color w:val="1F4D78"/>
          <w:sz w:val="22"/>
        </w:rPr>
        <w:t>【表11】目標値の置き方の3つの考え方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2835"/>
        <w:gridCol w:w="2608"/>
        <w:gridCol w:w="2381"/>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置き方</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長所</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短所</w:t>
            </w:r>
          </w:p>
        </w:tc>
      </w:tr>
      <w:tr>
        <w:tc>
          <w:tcPr>
            <w:tcW w:type="dxa" w:w="1928"/>
            <w:vAlign w:val="center"/>
          </w:tcPr>
          <w:p>
            <w:pPr>
              <w:spacing w:before="20" w:after="20"/>
            </w:pPr>
            <w:r>
              <w:rPr>
                <w:rFonts w:ascii="游ゴシック" w:hAnsi="游ゴシック" w:eastAsia="游ゴシック"/>
                <w:b/>
                <w:i w:val="0"/>
                <w:sz w:val="17"/>
              </w:rPr>
              <w:t>現状維持</w:t>
            </w:r>
          </w:p>
        </w:tc>
        <w:tc>
          <w:tcPr>
            <w:tcW w:type="dxa" w:w="2835"/>
            <w:vAlign w:val="center"/>
          </w:tcPr>
          <w:p>
            <w:pPr>
              <w:spacing w:before="20" w:after="20"/>
            </w:pPr>
            <w:r>
              <w:rPr>
                <w:rFonts w:ascii="游ゴシック" w:hAnsi="游ゴシック" w:eastAsia="游ゴシック"/>
                <w:b w:val="0"/>
                <w:i w:val="0"/>
                <w:sz w:val="17"/>
              </w:rPr>
              <w:t>現状値をそのまま3年後の目標とする</w:t>
            </w:r>
          </w:p>
        </w:tc>
        <w:tc>
          <w:tcPr>
            <w:tcW w:type="dxa" w:w="2608"/>
            <w:vAlign w:val="center"/>
          </w:tcPr>
          <w:p>
            <w:pPr>
              <w:spacing w:before="20" w:after="20"/>
            </w:pPr>
            <w:r>
              <w:rPr>
                <w:rFonts w:ascii="游ゴシック" w:hAnsi="游ゴシック" w:eastAsia="游ゴシック"/>
                <w:b w:val="0"/>
                <w:i w:val="0"/>
                <w:sz w:val="17"/>
              </w:rPr>
              <w:t>達成できる</w:t>
            </w:r>
          </w:p>
        </w:tc>
        <w:tc>
          <w:tcPr>
            <w:tcW w:type="dxa" w:w="2381"/>
            <w:vAlign w:val="center"/>
          </w:tcPr>
          <w:p>
            <w:pPr>
              <w:spacing w:before="20" w:after="20"/>
            </w:pPr>
            <w:r>
              <w:rPr>
                <w:rFonts w:ascii="游ゴシック" w:hAnsi="游ゴシック" w:eastAsia="游ゴシック"/>
                <w:b/>
                <w:i w:val="0"/>
                <w:sz w:val="17"/>
              </w:rPr>
              <w:t>計画を作る意味が薄い</w:t>
            </w:r>
          </w:p>
        </w:tc>
      </w:tr>
      <w:tr>
        <w:tc>
          <w:tcPr>
            <w:tcW w:type="dxa" w:w="1928"/>
            <w:vAlign w:val="center"/>
          </w:tcPr>
          <w:p>
            <w:pPr>
              <w:keepNext/>
              <w:spacing w:before="20" w:after="20"/>
            </w:pPr>
            <w:r>
              <w:rPr>
                <w:rFonts w:ascii="游ゴシック" w:hAnsi="游ゴシック" w:eastAsia="游ゴシック"/>
                <w:b/>
                <w:i w:val="0"/>
                <w:sz w:val="17"/>
              </w:rPr>
              <w:t>全国・県平均に近づける</w:t>
            </w:r>
          </w:p>
        </w:tc>
        <w:tc>
          <w:tcPr>
            <w:tcW w:type="dxa" w:w="2835"/>
            <w:vAlign w:val="center"/>
          </w:tcPr>
          <w:p>
            <w:pPr>
              <w:keepNext/>
              <w:spacing w:before="20" w:after="20"/>
            </w:pPr>
            <w:r>
              <w:rPr>
                <w:rFonts w:ascii="游ゴシック" w:hAnsi="游ゴシック" w:eastAsia="游ゴシック"/>
                <w:b w:val="0"/>
                <w:i w:val="0"/>
                <w:sz w:val="17"/>
              </w:rPr>
              <w:t>全国または福島県の平均値を目標とする</w:t>
            </w:r>
          </w:p>
        </w:tc>
        <w:tc>
          <w:tcPr>
            <w:tcW w:type="dxa" w:w="2608"/>
            <w:vAlign w:val="center"/>
          </w:tcPr>
          <w:p>
            <w:pPr>
              <w:keepNext/>
              <w:spacing w:before="20" w:after="20"/>
            </w:pPr>
            <w:r>
              <w:rPr>
                <w:rFonts w:ascii="游ゴシック" w:hAnsi="游ゴシック" w:eastAsia="游ゴシック"/>
                <w:b/>
                <w:i w:val="0"/>
                <w:sz w:val="17"/>
              </w:rPr>
              <w:t>根拠が明確で、達成状況を外と比べられる</w:t>
            </w:r>
          </w:p>
        </w:tc>
        <w:tc>
          <w:tcPr>
            <w:tcW w:type="dxa" w:w="2381"/>
            <w:vAlign w:val="center"/>
          </w:tcPr>
          <w:p>
            <w:pPr>
              <w:keepNext/>
              <w:spacing w:before="20" w:after="20"/>
            </w:pPr>
            <w:r>
              <w:rPr>
                <w:rFonts w:ascii="游ゴシック" w:hAnsi="游ゴシック" w:eastAsia="游ゴシック"/>
                <w:b w:val="0"/>
                <w:i w:val="0"/>
                <w:sz w:val="17"/>
              </w:rPr>
              <w:t>本町の条件（人口規模・交通事情）と合わないことがある</w:t>
            </w:r>
          </w:p>
        </w:tc>
      </w:tr>
      <w:tr>
        <w:tc>
          <w:tcPr>
            <w:tcW w:type="dxa" w:w="1928"/>
            <w:vAlign w:val="center"/>
          </w:tcPr>
          <w:p>
            <w:pPr>
              <w:spacing w:before="20" w:after="20"/>
            </w:pPr>
            <w:r>
              <w:rPr>
                <w:rFonts w:ascii="游ゴシック" w:hAnsi="游ゴシック" w:eastAsia="游ゴシック"/>
                <w:b/>
                <w:i w:val="0"/>
                <w:sz w:val="17"/>
              </w:rPr>
              <w:t>施策の積み上げ</w:t>
            </w:r>
          </w:p>
        </w:tc>
        <w:tc>
          <w:tcPr>
            <w:tcW w:type="dxa" w:w="2835"/>
            <w:vAlign w:val="center"/>
          </w:tcPr>
          <w:p>
            <w:pPr>
              <w:spacing w:before="20" w:after="20"/>
            </w:pPr>
            <w:r>
              <w:rPr>
                <w:rFonts w:ascii="游ゴシック" w:hAnsi="游ゴシック" w:eastAsia="游ゴシック"/>
                <w:b w:val="0"/>
                <w:i w:val="0"/>
                <w:sz w:val="17"/>
              </w:rPr>
              <w:t>各事業の実施量から到達する水準を積み上げる</w:t>
            </w:r>
          </w:p>
        </w:tc>
        <w:tc>
          <w:tcPr>
            <w:tcW w:type="dxa" w:w="2608"/>
            <w:vAlign w:val="center"/>
          </w:tcPr>
          <w:p>
            <w:pPr>
              <w:spacing w:before="20" w:after="20"/>
            </w:pPr>
            <w:r>
              <w:rPr>
                <w:rFonts w:ascii="游ゴシック" w:hAnsi="游ゴシック" w:eastAsia="游ゴシック"/>
                <w:b w:val="0"/>
                <w:i w:val="0"/>
                <w:sz w:val="17"/>
              </w:rPr>
              <w:t>施策と目標が結びつく</w:t>
            </w:r>
          </w:p>
        </w:tc>
        <w:tc>
          <w:tcPr>
            <w:tcW w:type="dxa" w:w="2381"/>
            <w:vAlign w:val="center"/>
          </w:tcPr>
          <w:p>
            <w:pPr>
              <w:spacing w:before="20" w:after="20"/>
            </w:pPr>
            <w:r>
              <w:rPr>
                <w:rFonts w:ascii="游ゴシック" w:hAnsi="游ゴシック" w:eastAsia="游ゴシック"/>
                <w:b/>
                <w:i w:val="0"/>
                <w:sz w:val="17"/>
              </w:rPr>
              <w:t>積み上げの根拠となる実施量が決まっていないと置けない</w:t>
            </w:r>
          </w:p>
        </w:tc>
      </w:tr>
    </w:tbl>
    <w:p>
      <w:pPr>
        <w:spacing w:after="40"/>
      </w:pPr>
    </w:p>
    <w:p>
      <w:pPr>
        <w:spacing w:before="60" w:after="60"/>
      </w:pPr>
      <w:r>
        <w:rPr>
          <w:rFonts w:ascii="游ゴシック" w:hAnsi="游ゴシック" w:eastAsia="游ゴシック"/>
          <w:b/>
          <w:i w:val="0"/>
          <w:sz w:val="21"/>
        </w:rPr>
        <w:t>当方としては、住民の状態に関わる指標は「全国・県平均に近づける」、保険運営の成果は「施策の積み上げ」で置くことをお勧めします。</w:t>
      </w:r>
      <w:r>
        <w:rPr>
          <w:rFonts w:ascii="游ゴシック" w:hAnsi="游ゴシック" w:eastAsia="游ゴシック"/>
          <w:b w:val="0"/>
          <w:i w:val="0"/>
          <w:sz w:val="21"/>
        </w:rPr>
        <w:t>本町は要介護2以上の認定率が全国平均を大きく上回っており、</w:t>
      </w:r>
      <w:r>
        <w:rPr>
          <w:rFonts w:ascii="游ゴシック" w:hAnsi="游ゴシック" w:eastAsia="游ゴシック"/>
          <w:b/>
          <w:i w:val="0"/>
          <w:sz w:val="21"/>
        </w:rPr>
        <w:t>外の水準と比べられる形にしておくことが、保険者機能強化推進交付金の得点にも結びつきます。</w:t>
      </w:r>
    </w:p>
    <w:p>
      <w:pPr>
        <w:pStyle w:val="Heading1"/>
        <w:keepNext/>
        <w:spacing w:before="240" w:after="100"/>
      </w:pPr>
      <w:bookmarkStart w:id="113" w:name="_Toc_013"/>
      <w:r>
        <w:rPr>
          <w:rFonts w:ascii="游ゴシック" w:hAnsi="游ゴシック" w:eastAsia="游ゴシック"/>
          <w:b/>
          <w:i w:val="0"/>
          <w:color w:val="2E74B5"/>
          <w:sz w:val="30"/>
        </w:rPr>
        <w:t>5　本日お決めいただく事項</w:t>
      </w:r>
      <w:bookmarkEnd w:id="113"/>
    </w:p>
    <w:p>
      <w:pPr>
        <w:spacing w:before="60" w:after="60"/>
      </w:pPr>
      <w:r>
        <w:rPr>
          <w:rFonts w:ascii="游ゴシック" w:hAnsi="游ゴシック" w:eastAsia="游ゴシック"/>
          <w:b w:val="0"/>
          <w:i w:val="0"/>
          <w:sz w:val="21"/>
        </w:rPr>
        <w:t>打合せでお願いしている決定事項のうち、</w:t>
      </w:r>
      <w:r>
        <w:rPr>
          <w:rFonts w:ascii="游ゴシック" w:hAnsi="游ゴシック" w:eastAsia="游ゴシック"/>
          <w:b/>
          <w:i w:val="0"/>
          <w:sz w:val="21"/>
        </w:rPr>
        <w:t>本日の協議会でお決めいただきたいのは次のとおりです。</w:t>
      </w:r>
    </w:p>
    <w:p>
      <w:pPr>
        <w:keepNext/>
        <w:spacing w:before="200" w:after="40"/>
      </w:pPr>
      <w:r>
        <w:rPr>
          <w:rFonts w:ascii="游ゴシック" w:hAnsi="游ゴシック" w:eastAsia="游ゴシック"/>
          <w:b/>
          <w:i w:val="0"/>
          <w:color w:val="1F4D78"/>
          <w:sz w:val="22"/>
        </w:rPr>
        <w:t>【表12】本日お決めいただく事項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3969"/>
        <w:gridCol w:w="2494"/>
        <w:gridCol w:w="2494"/>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決定</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お決めいただくこと</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どなたが</w:t>
            </w:r>
          </w:p>
        </w:tc>
      </w:tr>
      <w:tr>
        <w:tc>
          <w:tcPr>
            <w:tcW w:type="dxa" w:w="794"/>
            <w:vAlign w:val="center"/>
          </w:tcPr>
          <w:p>
            <w:pPr>
              <w:spacing w:before="20" w:after="20"/>
            </w:pPr>
            <w:r>
              <w:rPr>
                <w:rFonts w:ascii="游ゴシック" w:hAnsi="游ゴシック" w:eastAsia="游ゴシック"/>
                <w:b w:val="0"/>
                <w:i w:val="0"/>
                <w:sz w:val="17"/>
              </w:rPr>
              <w:t>1</w:t>
            </w:r>
          </w:p>
        </w:tc>
        <w:tc>
          <w:tcPr>
            <w:tcW w:type="dxa" w:w="3969"/>
            <w:vAlign w:val="center"/>
          </w:tcPr>
          <w:p>
            <w:pPr>
              <w:spacing w:before="20" w:after="20"/>
            </w:pPr>
            <w:r>
              <w:rPr>
                <w:rFonts w:ascii="游ゴシック" w:hAnsi="游ゴシック" w:eastAsia="游ゴシック"/>
                <w:b w:val="0"/>
                <w:i w:val="0"/>
                <w:sz w:val="17"/>
              </w:rPr>
              <w:t>保険料基準額をいくらに置くか</w:t>
            </w:r>
          </w:p>
        </w:tc>
        <w:tc>
          <w:tcPr>
            <w:tcW w:type="dxa" w:w="2494"/>
            <w:vAlign w:val="center"/>
          </w:tcPr>
          <w:p>
            <w:pPr>
              <w:spacing w:before="20" w:after="20"/>
            </w:pPr>
            <w:r>
              <w:rPr>
                <w:rFonts w:ascii="游ゴシック" w:hAnsi="游ゴシック" w:eastAsia="游ゴシック"/>
                <w:b w:val="0"/>
                <w:i w:val="0"/>
                <w:sz w:val="17"/>
              </w:rPr>
              <w:t>最重要。11月の協議会までに</w:t>
            </w:r>
          </w:p>
        </w:tc>
        <w:tc>
          <w:tcPr>
            <w:tcW w:type="dxa" w:w="2494"/>
            <w:vAlign w:val="center"/>
          </w:tcPr>
          <w:p>
            <w:pPr>
              <w:spacing w:before="20" w:after="20"/>
            </w:pPr>
            <w:r>
              <w:rPr>
                <w:rFonts w:ascii="游ゴシック" w:hAnsi="游ゴシック" w:eastAsia="游ゴシック"/>
                <w:b w:val="0"/>
                <w:i w:val="0"/>
                <w:sz w:val="17"/>
              </w:rPr>
              <w:t>町</w:t>
            </w:r>
          </w:p>
        </w:tc>
      </w:tr>
      <w:tr>
        <w:tc>
          <w:tcPr>
            <w:tcW w:type="dxa" w:w="794"/>
            <w:vAlign w:val="center"/>
          </w:tcPr>
          <w:p>
            <w:pPr>
              <w:spacing w:before="20" w:after="20"/>
            </w:pPr>
            <w:r>
              <w:rPr>
                <w:rFonts w:ascii="游ゴシック" w:hAnsi="游ゴシック" w:eastAsia="游ゴシック"/>
                <w:b w:val="0"/>
                <w:i w:val="0"/>
                <w:sz w:val="17"/>
              </w:rPr>
              <w:t>2</w:t>
            </w:r>
          </w:p>
        </w:tc>
        <w:tc>
          <w:tcPr>
            <w:tcW w:type="dxa" w:w="3969"/>
            <w:vAlign w:val="center"/>
          </w:tcPr>
          <w:p>
            <w:pPr>
              <w:spacing w:before="20" w:after="20"/>
            </w:pPr>
            <w:r>
              <w:rPr>
                <w:rFonts w:ascii="游ゴシック" w:hAnsi="游ゴシック" w:eastAsia="游ゴシック"/>
                <w:b w:val="0"/>
                <w:i w:val="0"/>
                <w:sz w:val="17"/>
              </w:rPr>
              <w:t>準備基金の残高と取崩額</w:t>
            </w:r>
          </w:p>
        </w:tc>
        <w:tc>
          <w:tcPr>
            <w:tcW w:type="dxa" w:w="2494"/>
            <w:vAlign w:val="center"/>
          </w:tcPr>
          <w:p>
            <w:pPr>
              <w:spacing w:before="20" w:after="20"/>
            </w:pPr>
            <w:r>
              <w:rPr>
                <w:rFonts w:ascii="游ゴシック" w:hAnsi="游ゴシック" w:eastAsia="游ゴシック"/>
                <w:b w:val="0"/>
                <w:i w:val="0"/>
                <w:sz w:val="17"/>
              </w:rPr>
              <w:t>保険料の決定と同時に</w:t>
            </w:r>
          </w:p>
        </w:tc>
        <w:tc>
          <w:tcPr>
            <w:tcW w:type="dxa" w:w="2494"/>
            <w:vAlign w:val="center"/>
          </w:tcPr>
          <w:p>
            <w:pPr>
              <w:spacing w:before="20" w:after="20"/>
            </w:pPr>
            <w:r>
              <w:rPr>
                <w:rFonts w:ascii="游ゴシック" w:hAnsi="游ゴシック" w:eastAsia="游ゴシック"/>
                <w:b w:val="0"/>
                <w:i w:val="0"/>
                <w:sz w:val="17"/>
              </w:rPr>
              <w:t>町</w:t>
            </w:r>
          </w:p>
        </w:tc>
      </w:tr>
      <w:tr>
        <w:tc>
          <w:tcPr>
            <w:tcW w:type="dxa" w:w="794"/>
            <w:vAlign w:val="center"/>
          </w:tcPr>
          <w:p>
            <w:pPr>
              <w:keepNext/>
              <w:spacing w:before="20" w:after="20"/>
            </w:pPr>
            <w:r>
              <w:rPr>
                <w:rFonts w:ascii="游ゴシック" w:hAnsi="游ゴシック" w:eastAsia="游ゴシック"/>
                <w:b w:val="0"/>
                <w:i w:val="0"/>
                <w:sz w:val="17"/>
              </w:rPr>
              <w:t>7</w:t>
            </w:r>
          </w:p>
        </w:tc>
        <w:tc>
          <w:tcPr>
            <w:tcW w:type="dxa" w:w="3969"/>
            <w:vAlign w:val="center"/>
          </w:tcPr>
          <w:p>
            <w:pPr>
              <w:keepNext/>
              <w:spacing w:before="20" w:after="20"/>
            </w:pPr>
            <w:r>
              <w:rPr>
                <w:rFonts w:ascii="游ゴシック" w:hAnsi="游ゴシック" w:eastAsia="游ゴシック"/>
                <w:b w:val="0"/>
                <w:i w:val="0"/>
                <w:sz w:val="17"/>
              </w:rPr>
              <w:t>多様なサービス・活動（サービスB）を第10期で広げるか</w:t>
            </w:r>
          </w:p>
        </w:tc>
        <w:tc>
          <w:tcPr>
            <w:tcW w:type="dxa" w:w="2494"/>
            <w:vAlign w:val="center"/>
          </w:tcPr>
          <w:p>
            <w:pPr>
              <w:keepNext/>
              <w:spacing w:before="20" w:after="20"/>
            </w:pPr>
            <w:r>
              <w:rPr>
                <w:rFonts w:ascii="游ゴシック" w:hAnsi="游ゴシック" w:eastAsia="游ゴシック"/>
                <w:b w:val="0"/>
                <w:i w:val="0"/>
                <w:sz w:val="17"/>
              </w:rPr>
              <w:t>11月の協議会まで</w:t>
            </w:r>
          </w:p>
        </w:tc>
        <w:tc>
          <w:tcPr>
            <w:tcW w:type="dxa" w:w="2494"/>
            <w:vAlign w:val="center"/>
          </w:tcPr>
          <w:p>
            <w:pPr>
              <w:keepNext/>
              <w:spacing w:before="20" w:after="20"/>
            </w:pPr>
            <w:r>
              <w:rPr>
                <w:rFonts w:ascii="游ゴシック" w:hAnsi="游ゴシック" w:eastAsia="游ゴシック"/>
                <w:b w:val="0"/>
                <w:i w:val="0"/>
                <w:sz w:val="17"/>
              </w:rPr>
              <w:t>町</w:t>
            </w:r>
          </w:p>
        </w:tc>
      </w:tr>
      <w:tr>
        <w:tc>
          <w:tcPr>
            <w:tcW w:type="dxa" w:w="794"/>
            <w:vAlign w:val="center"/>
          </w:tcPr>
          <w:p>
            <w:pPr>
              <w:spacing w:before="20" w:after="20"/>
            </w:pPr>
            <w:r>
              <w:rPr>
                <w:rFonts w:ascii="游ゴシック" w:hAnsi="游ゴシック" w:eastAsia="游ゴシック"/>
                <w:b w:val="0"/>
                <w:i w:val="0"/>
                <w:sz w:val="17"/>
              </w:rPr>
              <w:t>10</w:t>
            </w:r>
          </w:p>
        </w:tc>
        <w:tc>
          <w:tcPr>
            <w:tcW w:type="dxa" w:w="3969"/>
            <w:vAlign w:val="center"/>
          </w:tcPr>
          <w:p>
            <w:pPr>
              <w:spacing w:before="20" w:after="20"/>
            </w:pPr>
            <w:r>
              <w:rPr>
                <w:rFonts w:ascii="游ゴシック" w:hAnsi="游ゴシック" w:eastAsia="游ゴシック"/>
                <w:b w:val="0"/>
                <w:i w:val="0"/>
                <w:sz w:val="17"/>
              </w:rPr>
              <w:t>ケアプラン点検の点検件数の目標</w:t>
            </w:r>
          </w:p>
        </w:tc>
        <w:tc>
          <w:tcPr>
            <w:tcW w:type="dxa" w:w="2494"/>
            <w:vAlign w:val="center"/>
          </w:tcPr>
          <w:p>
            <w:pPr>
              <w:spacing w:before="20" w:after="20"/>
            </w:pPr>
            <w:r>
              <w:rPr>
                <w:rFonts w:ascii="游ゴシック" w:hAnsi="游ゴシック" w:eastAsia="游ゴシック"/>
                <w:b w:val="0"/>
                <w:i w:val="0"/>
                <w:sz w:val="17"/>
              </w:rPr>
              <w:t>11月の協議会まで</w:t>
            </w:r>
          </w:p>
        </w:tc>
        <w:tc>
          <w:tcPr>
            <w:tcW w:type="dxa" w:w="2494"/>
            <w:vAlign w:val="center"/>
          </w:tcPr>
          <w:p>
            <w:pPr>
              <w:spacing w:before="20" w:after="20"/>
            </w:pPr>
            <w:r>
              <w:rPr>
                <w:rFonts w:ascii="游ゴシック" w:hAnsi="游ゴシック" w:eastAsia="游ゴシック"/>
                <w:b w:val="0"/>
                <w:i w:val="0"/>
                <w:sz w:val="17"/>
              </w:rPr>
              <w:t>町</w:t>
            </w:r>
          </w:p>
        </w:tc>
      </w:tr>
    </w:tbl>
    <w:p>
      <w:pPr>
        <w:spacing w:after="40"/>
      </w:pPr>
    </w:p>
    <w:p>
      <w:pPr>
        <w:spacing w:before="40" w:after="160"/>
        <w:ind w:left="113"/>
      </w:pPr>
      <w:r>
        <w:rPr>
          <w:rFonts w:ascii="游ゴシック" w:hAnsi="游ゴシック" w:eastAsia="游ゴシック"/>
          <w:b w:val="0"/>
          <w:i w:val="0"/>
          <w:sz w:val="17"/>
        </w:rPr>
        <w:t>資料：小野町_打合せ資料_現在地と論点。</w:t>
      </w:r>
      <w:r>
        <w:rPr>
          <w:rFonts w:ascii="游ゴシック" w:hAnsi="游ゴシック" w:eastAsia="游ゴシック"/>
          <w:b/>
          <w:i w:val="0"/>
          <w:sz w:val="17"/>
        </w:rPr>
        <w:t>本表は同資料の決定事項から機械で引いています。</w:t>
      </w:r>
    </w:p>
    <w:p>
      <w:pPr>
        <w:pStyle w:val="Heading1"/>
        <w:keepNext/>
        <w:spacing w:before="240" w:after="100"/>
      </w:pPr>
      <w:bookmarkStart w:id="114" w:name="_Toc_014"/>
      <w:r>
        <w:rPr>
          <w:rFonts w:ascii="游ゴシック" w:hAnsi="游ゴシック" w:eastAsia="游ゴシック"/>
          <w:b/>
          <w:i w:val="0"/>
          <w:color w:val="2E74B5"/>
          <w:sz w:val="30"/>
        </w:rPr>
        <w:t>6　今後の進め方</w:t>
      </w:r>
      <w:bookmarkEnd w:id="114"/>
    </w:p>
    <w:p>
      <w:pPr>
        <w:spacing w:before="60" w:after="60"/>
      </w:pPr>
      <w:r>
        <w:rPr>
          <w:rFonts w:ascii="游ゴシック" w:hAnsi="游ゴシック" w:eastAsia="游ゴシック"/>
          <w:b/>
          <w:i w:val="0"/>
          <w:sz w:val="21"/>
        </w:rPr>
        <w:t>動かせない期限は納期（令和9年3月31日（水）・委託仕様書3）です。</w:t>
      </w:r>
      <w:r>
        <w:rPr>
          <w:rFonts w:ascii="游ゴシック" w:hAnsi="游ゴシック" w:eastAsia="游ゴシック"/>
          <w:b w:val="0"/>
          <w:i w:val="0"/>
          <w:sz w:val="21"/>
        </w:rPr>
        <w:t>そこから逆算すると、本協議会の開催期限は協議会の回数と印刷日数で次のとおりになります。</w:t>
      </w:r>
    </w:p>
    <w:p>
      <w:pPr>
        <w:keepNext/>
        <w:spacing w:before="200" w:after="40"/>
      </w:pPr>
      <w:r>
        <w:rPr>
          <w:rFonts w:ascii="游ゴシック" w:hAnsi="游ゴシック" w:eastAsia="游ゴシック"/>
          <w:b/>
          <w:i w:val="0"/>
          <w:color w:val="1F4D78"/>
          <w:sz w:val="22"/>
        </w:rPr>
        <w:t>【表13】協議会 第2回の開催期限（4案）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1474"/>
        <w:gridCol w:w="1247"/>
        <w:gridCol w:w="2835"/>
        <w:gridCol w:w="3288"/>
      </w:tblGrid>
      <w:tr>
        <w:tc>
          <w:tcPr>
            <w:tcW w:type="dxa" w:w="907"/>
            <w:shd w:val="clear" w:fill="1F3864"/>
            <w:vAlign w:val="center"/>
          </w:tcPr>
          <w:p>
            <w:pPr>
              <w:spacing w:before="20" w:after="20"/>
              <w:jc w:val="center"/>
            </w:pPr>
            <w:r>
              <w:rPr>
                <w:rFonts w:ascii="游ゴシック" w:hAnsi="游ゴシック" w:eastAsia="游ゴシック"/>
                <w:b/>
                <w:i w:val="0"/>
                <w:color w:val="FFFFFF"/>
                <w:sz w:val="17"/>
              </w:rPr>
              <w:t>案</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協議会の回数</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印刷日数</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第2回の開催期限</w:t>
            </w:r>
          </w:p>
        </w:tc>
        <w:tc>
          <w:tcPr>
            <w:tcW w:type="dxa" w:w="3288"/>
            <w:shd w:val="clear" w:fill="1F3864"/>
            <w:vAlign w:val="center"/>
          </w:tcPr>
          <w:p>
            <w:pPr>
              <w:spacing w:before="20" w:after="20"/>
              <w:jc w:val="center"/>
            </w:pPr>
            <w:r>
              <w:rPr>
                <w:rFonts w:ascii="游ゴシック" w:hAnsi="游ゴシック" w:eastAsia="游ゴシック"/>
                <w:b/>
                <w:i w:val="0"/>
                <w:color w:val="FFFFFF"/>
                <w:sz w:val="17"/>
              </w:rPr>
              <w:t>本日お諮りする事項</w:t>
            </w:r>
          </w:p>
        </w:tc>
      </w:tr>
      <w:tr>
        <w:tc>
          <w:tcPr>
            <w:tcW w:type="dxa" w:w="907"/>
            <w:vAlign w:val="center"/>
          </w:tcPr>
          <w:p>
            <w:pPr>
              <w:spacing w:before="20" w:after="20"/>
            </w:pPr>
            <w:r>
              <w:rPr>
                <w:rFonts w:ascii="游ゴシック" w:hAnsi="游ゴシック" w:eastAsia="游ゴシック"/>
                <w:b w:val="0"/>
                <w:i w:val="0"/>
                <w:sz w:val="17"/>
              </w:rPr>
              <w:t>案A</w:t>
            </w:r>
          </w:p>
        </w:tc>
        <w:tc>
          <w:tcPr>
            <w:tcW w:type="dxa" w:w="1474"/>
            <w:vAlign w:val="center"/>
          </w:tcPr>
          <w:p>
            <w:pPr>
              <w:spacing w:before="20" w:after="20"/>
            </w:pPr>
            <w:r>
              <w:rPr>
                <w:rFonts w:ascii="游ゴシック" w:hAnsi="游ゴシック" w:eastAsia="游ゴシック"/>
                <w:b w:val="0"/>
                <w:i w:val="0"/>
                <w:sz w:val="17"/>
              </w:rPr>
              <w:t>4回</w:t>
            </w:r>
          </w:p>
        </w:tc>
        <w:tc>
          <w:tcPr>
            <w:tcW w:type="dxa" w:w="1247"/>
            <w:vAlign w:val="center"/>
          </w:tcPr>
          <w:p>
            <w:pPr>
              <w:spacing w:before="20" w:after="20"/>
            </w:pPr>
            <w:r>
              <w:rPr>
                <w:rFonts w:ascii="游ゴシック" w:hAnsi="游ゴシック" w:eastAsia="游ゴシック"/>
                <w:b w:val="0"/>
                <w:i w:val="0"/>
                <w:sz w:val="17"/>
              </w:rPr>
              <w:t>25日</w:t>
            </w:r>
          </w:p>
        </w:tc>
        <w:tc>
          <w:tcPr>
            <w:tcW w:type="dxa" w:w="2835"/>
            <w:vAlign w:val="center"/>
          </w:tcPr>
          <w:p>
            <w:pPr>
              <w:spacing w:before="20" w:after="20"/>
            </w:pPr>
            <w:r>
              <w:rPr>
                <w:rFonts w:ascii="游ゴシック" w:hAnsi="游ゴシック" w:eastAsia="游ゴシック"/>
                <w:b/>
                <w:i w:val="0"/>
                <w:sz w:val="17"/>
              </w:rPr>
              <w:t>令和8年11月27日（金）</w:t>
            </w:r>
          </w:p>
        </w:tc>
        <w:tc>
          <w:tcPr>
            <w:tcW w:type="dxa" w:w="3288"/>
            <w:vAlign w:val="center"/>
          </w:tcPr>
          <w:p>
            <w:pPr>
              <w:spacing w:before="20" w:after="20"/>
            </w:pPr>
            <w:r>
              <w:rPr>
                <w:rFonts w:ascii="游ゴシック" w:hAnsi="游ゴシック" w:eastAsia="游ゴシック"/>
                <w:b w:val="0"/>
                <w:i w:val="0"/>
                <w:sz w:val="17"/>
              </w:rPr>
              <w:t>骨子案・見込量・保険料・成果指標</w:t>
            </w:r>
          </w:p>
        </w:tc>
      </w:tr>
      <w:tr>
        <w:tc>
          <w:tcPr>
            <w:tcW w:type="dxa" w:w="907"/>
            <w:vAlign w:val="center"/>
          </w:tcPr>
          <w:p>
            <w:pPr>
              <w:spacing w:before="20" w:after="20"/>
            </w:pPr>
            <w:r>
              <w:rPr>
                <w:rFonts w:ascii="游ゴシック" w:hAnsi="游ゴシック" w:eastAsia="游ゴシック"/>
                <w:b w:val="0"/>
                <w:i w:val="0"/>
                <w:sz w:val="17"/>
              </w:rPr>
              <w:t>案B</w:t>
            </w:r>
          </w:p>
        </w:tc>
        <w:tc>
          <w:tcPr>
            <w:tcW w:type="dxa" w:w="1474"/>
            <w:vAlign w:val="center"/>
          </w:tcPr>
          <w:p>
            <w:pPr>
              <w:spacing w:before="20" w:after="20"/>
            </w:pPr>
            <w:r>
              <w:rPr>
                <w:rFonts w:ascii="游ゴシック" w:hAnsi="游ゴシック" w:eastAsia="游ゴシック"/>
                <w:b w:val="0"/>
                <w:i w:val="0"/>
                <w:sz w:val="17"/>
              </w:rPr>
              <w:t>3回</w:t>
            </w:r>
          </w:p>
        </w:tc>
        <w:tc>
          <w:tcPr>
            <w:tcW w:type="dxa" w:w="1247"/>
            <w:vAlign w:val="center"/>
          </w:tcPr>
          <w:p>
            <w:pPr>
              <w:spacing w:before="20" w:after="20"/>
            </w:pPr>
            <w:r>
              <w:rPr>
                <w:rFonts w:ascii="游ゴシック" w:hAnsi="游ゴシック" w:eastAsia="游ゴシック"/>
                <w:b w:val="0"/>
                <w:i w:val="0"/>
                <w:sz w:val="17"/>
              </w:rPr>
              <w:t>25日</w:t>
            </w:r>
          </w:p>
        </w:tc>
        <w:tc>
          <w:tcPr>
            <w:tcW w:type="dxa" w:w="2835"/>
            <w:vAlign w:val="center"/>
          </w:tcPr>
          <w:p>
            <w:pPr>
              <w:spacing w:before="20" w:after="20"/>
            </w:pPr>
            <w:r>
              <w:rPr>
                <w:rFonts w:ascii="游ゴシック" w:hAnsi="游ゴシック" w:eastAsia="游ゴシック"/>
                <w:b/>
                <w:i w:val="0"/>
                <w:sz w:val="17"/>
              </w:rPr>
              <w:t>令和8年12月18日（金）</w:t>
            </w:r>
          </w:p>
        </w:tc>
        <w:tc>
          <w:tcPr>
            <w:tcW w:type="dxa" w:w="3288"/>
            <w:vAlign w:val="center"/>
          </w:tcPr>
          <w:p>
            <w:pPr>
              <w:spacing w:before="20" w:after="20"/>
            </w:pPr>
            <w:r>
              <w:rPr>
                <w:rFonts w:ascii="游ゴシック" w:hAnsi="游ゴシック" w:eastAsia="游ゴシック"/>
                <w:b w:val="0"/>
                <w:i w:val="0"/>
                <w:sz w:val="17"/>
              </w:rPr>
              <w:t>骨子案・素案・見込量・保険料</w:t>
            </w:r>
          </w:p>
        </w:tc>
      </w:tr>
      <w:tr>
        <w:tc>
          <w:tcPr>
            <w:tcW w:type="dxa" w:w="907"/>
            <w:vAlign w:val="center"/>
          </w:tcPr>
          <w:p>
            <w:pPr>
              <w:keepNext/>
              <w:spacing w:before="20" w:after="20"/>
            </w:pPr>
            <w:r>
              <w:rPr>
                <w:rFonts w:ascii="游ゴシック" w:hAnsi="游ゴシック" w:eastAsia="游ゴシック"/>
                <w:b w:val="0"/>
                <w:i w:val="0"/>
                <w:sz w:val="17"/>
              </w:rPr>
              <w:t>案C</w:t>
            </w:r>
          </w:p>
        </w:tc>
        <w:tc>
          <w:tcPr>
            <w:tcW w:type="dxa" w:w="1474"/>
            <w:vAlign w:val="center"/>
          </w:tcPr>
          <w:p>
            <w:pPr>
              <w:keepNext/>
              <w:spacing w:before="20" w:after="20"/>
            </w:pPr>
            <w:r>
              <w:rPr>
                <w:rFonts w:ascii="游ゴシック" w:hAnsi="游ゴシック" w:eastAsia="游ゴシック"/>
                <w:b w:val="0"/>
                <w:i w:val="0"/>
                <w:sz w:val="17"/>
              </w:rPr>
              <w:t>4回</w:t>
            </w:r>
          </w:p>
        </w:tc>
        <w:tc>
          <w:tcPr>
            <w:tcW w:type="dxa" w:w="1247"/>
            <w:vAlign w:val="center"/>
          </w:tcPr>
          <w:p>
            <w:pPr>
              <w:keepNext/>
              <w:spacing w:before="20" w:after="20"/>
            </w:pPr>
            <w:r>
              <w:rPr>
                <w:rFonts w:ascii="游ゴシック" w:hAnsi="游ゴシック" w:eastAsia="游ゴシック"/>
                <w:b w:val="0"/>
                <w:i w:val="0"/>
                <w:sz w:val="17"/>
              </w:rPr>
              <w:t>18日</w:t>
            </w:r>
          </w:p>
        </w:tc>
        <w:tc>
          <w:tcPr>
            <w:tcW w:type="dxa" w:w="2835"/>
            <w:vAlign w:val="center"/>
          </w:tcPr>
          <w:p>
            <w:pPr>
              <w:keepNext/>
              <w:spacing w:before="20" w:after="20"/>
            </w:pPr>
            <w:r>
              <w:rPr>
                <w:rFonts w:ascii="游ゴシック" w:hAnsi="游ゴシック" w:eastAsia="游ゴシック"/>
                <w:b/>
                <w:i w:val="0"/>
                <w:sz w:val="17"/>
              </w:rPr>
              <w:t>令和8年12月4日（金）</w:t>
            </w:r>
          </w:p>
        </w:tc>
        <w:tc>
          <w:tcPr>
            <w:tcW w:type="dxa" w:w="3288"/>
            <w:vAlign w:val="center"/>
          </w:tcPr>
          <w:p>
            <w:pPr>
              <w:keepNext/>
              <w:spacing w:before="20" w:after="20"/>
            </w:pPr>
            <w:r>
              <w:rPr>
                <w:rFonts w:ascii="游ゴシック" w:hAnsi="游ゴシック" w:eastAsia="游ゴシック"/>
                <w:b w:val="0"/>
                <w:i w:val="0"/>
                <w:sz w:val="17"/>
              </w:rPr>
              <w:t>骨子案・見込量・保険料・成果指標</w:t>
            </w:r>
          </w:p>
        </w:tc>
      </w:tr>
      <w:tr>
        <w:tc>
          <w:tcPr>
            <w:tcW w:type="dxa" w:w="907"/>
            <w:vAlign w:val="center"/>
          </w:tcPr>
          <w:p>
            <w:pPr>
              <w:spacing w:before="20" w:after="20"/>
            </w:pPr>
            <w:r>
              <w:rPr>
                <w:rFonts w:ascii="游ゴシック" w:hAnsi="游ゴシック" w:eastAsia="游ゴシック"/>
                <w:b w:val="0"/>
                <w:i w:val="0"/>
                <w:sz w:val="17"/>
              </w:rPr>
              <w:t>案D</w:t>
            </w:r>
          </w:p>
        </w:tc>
        <w:tc>
          <w:tcPr>
            <w:tcW w:type="dxa" w:w="1474"/>
            <w:vAlign w:val="center"/>
          </w:tcPr>
          <w:p>
            <w:pPr>
              <w:spacing w:before="20" w:after="20"/>
            </w:pPr>
            <w:r>
              <w:rPr>
                <w:rFonts w:ascii="游ゴシック" w:hAnsi="游ゴシック" w:eastAsia="游ゴシック"/>
                <w:b w:val="0"/>
                <w:i w:val="0"/>
                <w:sz w:val="17"/>
              </w:rPr>
              <w:t>3回</w:t>
            </w:r>
          </w:p>
        </w:tc>
        <w:tc>
          <w:tcPr>
            <w:tcW w:type="dxa" w:w="1247"/>
            <w:vAlign w:val="center"/>
          </w:tcPr>
          <w:p>
            <w:pPr>
              <w:spacing w:before="20" w:after="20"/>
            </w:pPr>
            <w:r>
              <w:rPr>
                <w:rFonts w:ascii="游ゴシック" w:hAnsi="游ゴシック" w:eastAsia="游ゴシック"/>
                <w:b w:val="0"/>
                <w:i w:val="0"/>
                <w:sz w:val="17"/>
              </w:rPr>
              <w:t>18日</w:t>
            </w:r>
          </w:p>
        </w:tc>
        <w:tc>
          <w:tcPr>
            <w:tcW w:type="dxa" w:w="2835"/>
            <w:vAlign w:val="center"/>
          </w:tcPr>
          <w:p>
            <w:pPr>
              <w:spacing w:before="20" w:after="20"/>
            </w:pPr>
            <w:r>
              <w:rPr>
                <w:rFonts w:ascii="游ゴシック" w:hAnsi="游ゴシック" w:eastAsia="游ゴシック"/>
                <w:b/>
                <w:i w:val="0"/>
                <w:sz w:val="17"/>
              </w:rPr>
              <w:t>令和8年12月25日（金）</w:t>
            </w:r>
          </w:p>
        </w:tc>
        <w:tc>
          <w:tcPr>
            <w:tcW w:type="dxa" w:w="3288"/>
            <w:vAlign w:val="center"/>
          </w:tcPr>
          <w:p>
            <w:pPr>
              <w:spacing w:before="20" w:after="20"/>
            </w:pPr>
            <w:r>
              <w:rPr>
                <w:rFonts w:ascii="游ゴシック" w:hAnsi="游ゴシック" w:eastAsia="游ゴシック"/>
                <w:b w:val="0"/>
                <w:i w:val="0"/>
                <w:sz w:val="17"/>
              </w:rPr>
              <w:t>骨子案・素案・見込量・保険料</w:t>
            </w:r>
          </w:p>
        </w:tc>
      </w:tr>
    </w:tbl>
    <w:p>
      <w:pPr>
        <w:spacing w:after="40"/>
      </w:pPr>
    </w:p>
    <w:p>
      <w:pPr>
        <w:spacing w:before="40" w:after="160"/>
        <w:ind w:left="113"/>
      </w:pPr>
      <w:r>
        <w:rPr>
          <w:rFonts w:ascii="游ゴシック" w:hAnsi="游ゴシック" w:eastAsia="游ゴシック"/>
          <w:b w:val="0"/>
          <w:i w:val="0"/>
          <w:sz w:val="17"/>
        </w:rPr>
        <w:t>資料：小野町_工程変更協議資料 第2版。</w:t>
      </w:r>
      <w:r>
        <w:rPr>
          <w:rFonts w:ascii="游ゴシック" w:hAnsi="游ゴシック" w:eastAsia="游ゴシック"/>
          <w:b/>
          <w:i w:val="0"/>
          <w:sz w:val="17"/>
        </w:rPr>
        <w:t>本表の日付は同資料と同じ計算で引いており、両者がずれません。</w:t>
      </w:r>
    </w:p>
    <w:p>
      <w:pPr>
        <w:spacing w:before="60" w:after="60"/>
      </w:pPr>
      <w:r>
        <w:rPr>
          <w:rFonts w:ascii="游ゴシック" w:hAnsi="游ゴシック" w:eastAsia="游ゴシック"/>
          <w:b/>
          <w:i w:val="0"/>
          <w:sz w:val="21"/>
        </w:rPr>
        <w:t>協議会を3回とする案（案B・案D）では、本日の回で骨子案と素案の両方をお諮りすることになります。</w:t>
      </w:r>
      <w:r>
        <w:rPr>
          <w:rFonts w:ascii="游ゴシック" w:hAnsi="游ゴシック" w:eastAsia="游ゴシック"/>
          <w:b w:val="0"/>
          <w:i w:val="0"/>
          <w:sz w:val="21"/>
        </w:rPr>
        <w:t>骨子でご意見をいただいてから素案に反映する時間が取れないため、</w:t>
      </w:r>
      <w:r>
        <w:rPr>
          <w:rFonts w:ascii="游ゴシック" w:hAnsi="游ゴシック" w:eastAsia="游ゴシック"/>
          <w:b/>
          <w:i w:val="0"/>
          <w:sz w:val="21"/>
        </w:rPr>
        <w:t>当方としては4回（案A・案C）をお勧めします。</w:t>
      </w:r>
    </w:p>
    <w:p>
      <w:pPr>
        <w:pStyle w:val="Heading2"/>
        <w:keepNext/>
        <w:spacing w:before="180" w:after="100"/>
      </w:pPr>
      <w:bookmarkStart w:id="115" w:name="_Toc_015"/>
      <w:r>
        <w:rPr>
          <w:rFonts w:ascii="游ゴシック" w:hAnsi="游ゴシック" w:eastAsia="游ゴシック"/>
          <w:b/>
          <w:i w:val="0"/>
          <w:color w:val="2E74B5"/>
          <w:sz w:val="25"/>
        </w:rPr>
        <w:t>（1）次回までの流れ</w:t>
      </w:r>
      <w:bookmarkEnd w:id="115"/>
    </w:p>
    <w:p>
      <w:pPr>
        <w:keepNext/>
        <w:spacing w:before="200" w:after="40"/>
      </w:pPr>
      <w:r>
        <w:rPr>
          <w:rFonts w:ascii="游ゴシック" w:hAnsi="游ゴシック" w:eastAsia="游ゴシック"/>
          <w:b/>
          <w:i w:val="0"/>
          <w:color w:val="1F4D78"/>
          <w:sz w:val="22"/>
        </w:rPr>
        <w:t>【表14】次回までの流れ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4762"/>
        <w:gridCol w:w="3288"/>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時期</w:t>
            </w:r>
          </w:p>
        </w:tc>
        <w:tc>
          <w:tcPr>
            <w:tcW w:type="dxa" w:w="4762"/>
            <w:shd w:val="clear" w:fill="1F3864"/>
            <w:vAlign w:val="center"/>
          </w:tcPr>
          <w:p>
            <w:pPr>
              <w:spacing w:before="20" w:after="20"/>
              <w:jc w:val="center"/>
            </w:pPr>
            <w:r>
              <w:rPr>
                <w:rFonts w:ascii="游ゴシック" w:hAnsi="游ゴシック" w:eastAsia="游ゴシック"/>
                <w:b/>
                <w:i w:val="0"/>
                <w:color w:val="FFFFFF"/>
                <w:sz w:val="17"/>
              </w:rPr>
              <w:t>すること</w:t>
            </w:r>
          </w:p>
        </w:tc>
        <w:tc>
          <w:tcPr>
            <w:tcW w:type="dxa" w:w="3288"/>
            <w:shd w:val="clear" w:fill="1F3864"/>
            <w:vAlign w:val="center"/>
          </w:tcPr>
          <w:p>
            <w:pPr>
              <w:spacing w:before="20" w:after="20"/>
              <w:jc w:val="center"/>
            </w:pPr>
            <w:r>
              <w:rPr>
                <w:rFonts w:ascii="游ゴシック" w:hAnsi="游ゴシック" w:eastAsia="游ゴシック"/>
                <w:b/>
                <w:i w:val="0"/>
                <w:color w:val="FFFFFF"/>
                <w:sz w:val="17"/>
              </w:rPr>
              <w:t>どなたが</w:t>
            </w:r>
          </w:p>
        </w:tc>
      </w:tr>
      <w:tr>
        <w:tc>
          <w:tcPr>
            <w:tcW w:type="dxa" w:w="1701"/>
            <w:vAlign w:val="center"/>
          </w:tcPr>
          <w:p>
            <w:pPr>
              <w:spacing w:before="20" w:after="20"/>
            </w:pPr>
            <w:r>
              <w:rPr>
                <w:rFonts w:ascii="游ゴシック" w:hAnsi="游ゴシック" w:eastAsia="游ゴシック"/>
                <w:b w:val="0"/>
                <w:i w:val="0"/>
                <w:sz w:val="17"/>
              </w:rPr>
              <w:t>本協議会の後</w:t>
            </w:r>
          </w:p>
        </w:tc>
        <w:tc>
          <w:tcPr>
            <w:tcW w:type="dxa" w:w="4762"/>
            <w:vAlign w:val="center"/>
          </w:tcPr>
          <w:p>
            <w:pPr>
              <w:spacing w:before="20" w:after="20"/>
            </w:pPr>
            <w:r>
              <w:rPr>
                <w:rFonts w:ascii="游ゴシック" w:hAnsi="游ゴシック" w:eastAsia="游ゴシック"/>
                <w:b w:val="0"/>
                <w:i w:val="0"/>
                <w:sz w:val="17"/>
              </w:rPr>
              <w:t>本日のご意見を素案に反映</w:t>
            </w:r>
          </w:p>
        </w:tc>
        <w:tc>
          <w:tcPr>
            <w:tcW w:type="dxa" w:w="3288"/>
            <w:vAlign w:val="center"/>
          </w:tcPr>
          <w:p>
            <w:pPr>
              <w:spacing w:before="20" w:after="20"/>
            </w:pPr>
            <w:r>
              <w:rPr>
                <w:rFonts w:ascii="游ゴシック" w:hAnsi="游ゴシック" w:eastAsia="游ゴシック"/>
                <w:b w:val="0"/>
                <w:i w:val="0"/>
                <w:sz w:val="17"/>
              </w:rPr>
              <w:t>受託者</w:t>
            </w:r>
          </w:p>
        </w:tc>
      </w:tr>
      <w:tr>
        <w:tc>
          <w:tcPr>
            <w:tcW w:type="dxa" w:w="1701"/>
            <w:vAlign w:val="center"/>
          </w:tcPr>
          <w:p>
            <w:pPr>
              <w:spacing w:before="20" w:after="20"/>
            </w:pPr>
            <w:r>
              <w:rPr>
                <w:rFonts w:ascii="游ゴシック" w:hAnsi="游ゴシック" w:eastAsia="游ゴシック"/>
                <w:b w:val="0"/>
                <w:i w:val="0"/>
                <w:sz w:val="17"/>
              </w:rPr>
              <w:t>12月</w:t>
            </w:r>
          </w:p>
        </w:tc>
        <w:tc>
          <w:tcPr>
            <w:tcW w:type="dxa" w:w="4762"/>
            <w:vAlign w:val="center"/>
          </w:tcPr>
          <w:p>
            <w:pPr>
              <w:spacing w:before="20" w:after="20"/>
            </w:pPr>
            <w:r>
              <w:rPr>
                <w:rFonts w:ascii="游ゴシック" w:hAnsi="游ゴシック" w:eastAsia="游ゴシック"/>
                <w:b/>
                <w:i w:val="0"/>
                <w:sz w:val="17"/>
              </w:rPr>
              <w:t>素案の確定</w:t>
            </w:r>
          </w:p>
        </w:tc>
        <w:tc>
          <w:tcPr>
            <w:tcW w:type="dxa" w:w="3288"/>
            <w:vAlign w:val="center"/>
          </w:tcPr>
          <w:p>
            <w:pPr>
              <w:spacing w:before="20" w:after="20"/>
            </w:pPr>
            <w:r>
              <w:rPr>
                <w:rFonts w:ascii="游ゴシック" w:hAnsi="游ゴシック" w:eastAsia="游ゴシック"/>
                <w:b w:val="0"/>
                <w:i w:val="0"/>
                <w:sz w:val="17"/>
              </w:rPr>
              <w:t>受託者・町</w:t>
            </w:r>
          </w:p>
        </w:tc>
      </w:tr>
      <w:tr>
        <w:tc>
          <w:tcPr>
            <w:tcW w:type="dxa" w:w="1701"/>
            <w:vAlign w:val="center"/>
          </w:tcPr>
          <w:p>
            <w:pPr>
              <w:spacing w:before="20" w:after="20"/>
            </w:pPr>
            <w:r>
              <w:rPr>
                <w:rFonts w:ascii="游ゴシック" w:hAnsi="游ゴシック" w:eastAsia="游ゴシック"/>
                <w:b w:val="0"/>
                <w:i w:val="0"/>
                <w:sz w:val="17"/>
              </w:rPr>
              <w:t>12月〜1月</w:t>
            </w:r>
          </w:p>
        </w:tc>
        <w:tc>
          <w:tcPr>
            <w:tcW w:type="dxa" w:w="4762"/>
            <w:vAlign w:val="center"/>
          </w:tcPr>
          <w:p>
            <w:pPr>
              <w:spacing w:before="20" w:after="20"/>
            </w:pPr>
            <w:r>
              <w:rPr>
                <w:rFonts w:ascii="游ゴシック" w:hAnsi="游ゴシック" w:eastAsia="游ゴシック"/>
                <w:b/>
                <w:i w:val="0"/>
                <w:sz w:val="17"/>
              </w:rPr>
              <w:t>パブリックコメント（1か月）</w:t>
            </w:r>
          </w:p>
        </w:tc>
        <w:tc>
          <w:tcPr>
            <w:tcW w:type="dxa" w:w="3288"/>
            <w:vAlign w:val="center"/>
          </w:tcPr>
          <w:p>
            <w:pPr>
              <w:spacing w:before="20" w:after="20"/>
            </w:pPr>
            <w:r>
              <w:rPr>
                <w:rFonts w:ascii="游ゴシック" w:hAnsi="游ゴシック" w:eastAsia="游ゴシック"/>
                <w:b w:val="0"/>
                <w:i w:val="0"/>
                <w:sz w:val="17"/>
              </w:rPr>
              <w:t>町</w:t>
            </w:r>
          </w:p>
        </w:tc>
      </w:tr>
      <w:tr>
        <w:tc>
          <w:tcPr>
            <w:tcW w:type="dxa" w:w="1701"/>
            <w:vAlign w:val="center"/>
          </w:tcPr>
          <w:p>
            <w:pPr>
              <w:spacing w:before="20" w:after="20"/>
            </w:pPr>
            <w:r>
              <w:rPr>
                <w:rFonts w:ascii="游ゴシック" w:hAnsi="游ゴシック" w:eastAsia="游ゴシック"/>
                <w:b w:val="0"/>
                <w:i w:val="0"/>
                <w:sz w:val="17"/>
              </w:rPr>
              <w:t>1月〜2月</w:t>
            </w:r>
          </w:p>
        </w:tc>
        <w:tc>
          <w:tcPr>
            <w:tcW w:type="dxa" w:w="4762"/>
            <w:vAlign w:val="center"/>
          </w:tcPr>
          <w:p>
            <w:pPr>
              <w:spacing w:before="20" w:after="20"/>
            </w:pPr>
            <w:r>
              <w:rPr>
                <w:rFonts w:ascii="游ゴシック" w:hAnsi="游ゴシック" w:eastAsia="游ゴシック"/>
                <w:b w:val="0"/>
                <w:i w:val="0"/>
                <w:sz w:val="17"/>
              </w:rPr>
              <w:t>意見への対応、計画書の原稿確定</w:t>
            </w:r>
          </w:p>
        </w:tc>
        <w:tc>
          <w:tcPr>
            <w:tcW w:type="dxa" w:w="3288"/>
            <w:vAlign w:val="center"/>
          </w:tcPr>
          <w:p>
            <w:pPr>
              <w:spacing w:before="20" w:after="20"/>
            </w:pPr>
            <w:r>
              <w:rPr>
                <w:rFonts w:ascii="游ゴシック" w:hAnsi="游ゴシック" w:eastAsia="游ゴシック"/>
                <w:b w:val="0"/>
                <w:i w:val="0"/>
                <w:sz w:val="17"/>
              </w:rPr>
              <w:t>受託者・町</w:t>
            </w:r>
          </w:p>
        </w:tc>
      </w:tr>
      <w:tr>
        <w:tc>
          <w:tcPr>
            <w:tcW w:type="dxa" w:w="1701"/>
            <w:vAlign w:val="center"/>
          </w:tcPr>
          <w:p>
            <w:pPr>
              <w:spacing w:before="20" w:after="20"/>
            </w:pPr>
            <w:r>
              <w:rPr>
                <w:rFonts w:ascii="游ゴシック" w:hAnsi="游ゴシック" w:eastAsia="游ゴシック"/>
                <w:b w:val="0"/>
                <w:i w:val="0"/>
                <w:sz w:val="17"/>
              </w:rPr>
              <w:t>2月</w:t>
            </w:r>
          </w:p>
        </w:tc>
        <w:tc>
          <w:tcPr>
            <w:tcW w:type="dxa" w:w="4762"/>
            <w:vAlign w:val="center"/>
          </w:tcPr>
          <w:p>
            <w:pPr>
              <w:spacing w:before="20" w:after="20"/>
            </w:pPr>
            <w:r>
              <w:rPr>
                <w:rFonts w:ascii="游ゴシック" w:hAnsi="游ゴシック" w:eastAsia="游ゴシック"/>
                <w:b/>
                <w:i w:val="0"/>
                <w:sz w:val="17"/>
              </w:rPr>
              <w:t>協議会（最終案の確認）</w:t>
            </w:r>
          </w:p>
        </w:tc>
        <w:tc>
          <w:tcPr>
            <w:tcW w:type="dxa" w:w="3288"/>
            <w:vAlign w:val="center"/>
          </w:tcPr>
          <w:p>
            <w:pPr>
              <w:spacing w:before="20" w:after="20"/>
            </w:pPr>
            <w:r>
              <w:rPr>
                <w:rFonts w:ascii="游ゴシック" w:hAnsi="游ゴシック" w:eastAsia="游ゴシック"/>
                <w:b w:val="0"/>
                <w:i w:val="0"/>
                <w:sz w:val="17"/>
              </w:rPr>
              <w:t>協議会</w:t>
            </w:r>
          </w:p>
        </w:tc>
      </w:tr>
      <w:tr>
        <w:tc>
          <w:tcPr>
            <w:tcW w:type="dxa" w:w="1701"/>
            <w:vAlign w:val="center"/>
          </w:tcPr>
          <w:p>
            <w:pPr>
              <w:keepNext/>
              <w:spacing w:before="20" w:after="20"/>
            </w:pPr>
            <w:r>
              <w:rPr>
                <w:rFonts w:ascii="游ゴシック" w:hAnsi="游ゴシック" w:eastAsia="游ゴシック"/>
                <w:b w:val="0"/>
                <w:i w:val="0"/>
                <w:sz w:val="17"/>
              </w:rPr>
              <w:t>2月〜3月</w:t>
            </w:r>
          </w:p>
        </w:tc>
        <w:tc>
          <w:tcPr>
            <w:tcW w:type="dxa" w:w="4762"/>
            <w:vAlign w:val="center"/>
          </w:tcPr>
          <w:p>
            <w:pPr>
              <w:keepNext/>
              <w:spacing w:before="20" w:after="20"/>
            </w:pPr>
            <w:r>
              <w:rPr>
                <w:rFonts w:ascii="游ゴシック" w:hAnsi="游ゴシック" w:eastAsia="游ゴシック"/>
                <w:b w:val="0"/>
                <w:i w:val="0"/>
                <w:sz w:val="17"/>
              </w:rPr>
              <w:t>レイアウト・校正・印刷</w:t>
            </w:r>
          </w:p>
        </w:tc>
        <w:tc>
          <w:tcPr>
            <w:tcW w:type="dxa" w:w="3288"/>
            <w:vAlign w:val="center"/>
          </w:tcPr>
          <w:p>
            <w:pPr>
              <w:keepNext/>
              <w:spacing w:before="20" w:after="20"/>
            </w:pPr>
            <w:r>
              <w:rPr>
                <w:rFonts w:ascii="游ゴシック" w:hAnsi="游ゴシック" w:eastAsia="游ゴシック"/>
                <w:b w:val="0"/>
                <w:i w:val="0"/>
                <w:sz w:val="17"/>
              </w:rPr>
              <w:t>受託者・印刷業者</w:t>
            </w:r>
          </w:p>
        </w:tc>
      </w:tr>
      <w:tr>
        <w:tc>
          <w:tcPr>
            <w:tcW w:type="dxa" w:w="1701"/>
            <w:vAlign w:val="center"/>
          </w:tcPr>
          <w:p>
            <w:pPr>
              <w:spacing w:before="20" w:after="20"/>
            </w:pPr>
            <w:r>
              <w:rPr>
                <w:rFonts w:ascii="游ゴシック" w:hAnsi="游ゴシック" w:eastAsia="游ゴシック"/>
                <w:b w:val="0"/>
                <w:i w:val="0"/>
                <w:sz w:val="17"/>
              </w:rPr>
              <w:t>3月31日まで</w:t>
            </w:r>
          </w:p>
        </w:tc>
        <w:tc>
          <w:tcPr>
            <w:tcW w:type="dxa" w:w="4762"/>
            <w:vAlign w:val="center"/>
          </w:tcPr>
          <w:p>
            <w:pPr>
              <w:spacing w:before="20" w:after="20"/>
            </w:pPr>
            <w:r>
              <w:rPr>
                <w:rFonts w:ascii="游ゴシック" w:hAnsi="游ゴシック" w:eastAsia="游ゴシック"/>
                <w:b/>
                <w:i w:val="0"/>
                <w:sz w:val="17"/>
              </w:rPr>
              <w:t>納品</w:t>
            </w:r>
          </w:p>
        </w:tc>
        <w:tc>
          <w:tcPr>
            <w:tcW w:type="dxa" w:w="3288"/>
            <w:vAlign w:val="center"/>
          </w:tcPr>
          <w:p>
            <w:pPr>
              <w:spacing w:before="20" w:after="20"/>
            </w:pPr>
            <w:r>
              <w:rPr>
                <w:rFonts w:ascii="游ゴシック" w:hAnsi="游ゴシック" w:eastAsia="游ゴシック"/>
                <w:b w:val="0"/>
                <w:i w:val="0"/>
                <w:sz w:val="17"/>
              </w:rPr>
              <w:t>受託者</w:t>
            </w:r>
          </w:p>
        </w:tc>
      </w:tr>
    </w:tbl>
    <w:p>
      <w:pPr>
        <w:spacing w:after="40"/>
      </w:pPr>
    </w:p>
    <w:p>
      <w:pPr>
        <w:pStyle w:val="Heading1"/>
        <w:keepNext/>
        <w:spacing w:before="240" w:after="100"/>
      </w:pPr>
      <w:bookmarkStart w:id="116" w:name="_Toc_016"/>
      <w:r>
        <w:rPr>
          <w:rFonts w:ascii="游ゴシック" w:hAnsi="游ゴシック" w:eastAsia="游ゴシック"/>
          <w:b/>
          <w:i w:val="0"/>
          <w:color w:val="2E74B5"/>
          <w:sz w:val="30"/>
        </w:rPr>
        <w:t>7　自己点検</w:t>
      </w:r>
      <w:bookmarkEnd w:id="116"/>
    </w:p>
    <w:p>
      <w:pPr>
        <w:spacing w:before="60" w:after="60"/>
      </w:pPr>
      <w:r>
        <w:rPr>
          <w:rFonts w:ascii="游ゴシック" w:hAnsi="游ゴシック" w:eastAsia="游ゴシック"/>
          <w:b w:val="0"/>
          <w:i w:val="0"/>
          <w:sz w:val="21"/>
        </w:rPr>
        <w:t>本資料の数値が、算定モジュール・計画素案・打合せ資料と食い違っていないことを機械で確かめています。</w:t>
      </w:r>
    </w:p>
    <w:p>
      <w:pPr>
        <w:keepNext/>
        <w:spacing w:before="200" w:after="40"/>
      </w:pPr>
      <w:r>
        <w:rPr>
          <w:rFonts w:ascii="游ゴシック" w:hAnsi="游ゴシック" w:eastAsia="游ゴシック"/>
          <w:b/>
          <w:i w:val="0"/>
          <w:color w:val="1F4D78"/>
          <w:sz w:val="22"/>
        </w:rPr>
        <w:t>【表15】自己点検の結果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020"/>
        <w:gridCol w:w="4195"/>
        <w:gridCol w:w="2268"/>
        <w:gridCol w:w="2268"/>
      </w:tblGrid>
      <w:tr>
        <w:tc>
          <w:tcPr>
            <w:tcW w:type="dxa" w:w="1020"/>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点検項目</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期待</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結果</w:t>
            </w:r>
          </w:p>
        </w:tc>
      </w:tr>
      <w:tr>
        <w:tc>
          <w:tcPr>
            <w:tcW w:type="dxa" w:w="1020"/>
            <w:vAlign w:val="center"/>
          </w:tcPr>
          <w:p>
            <w:pPr>
              <w:spacing w:before="20" w:after="20"/>
            </w:pPr>
            <w:r>
              <w:rPr>
                <w:rFonts w:ascii="游ゴシック" w:hAnsi="游ゴシック" w:eastAsia="游ゴシック"/>
                <w:b w:val="0"/>
                <w:i w:val="0"/>
                <w:sz w:val="17"/>
              </w:rPr>
              <w:t>1a</w:t>
            </w:r>
          </w:p>
        </w:tc>
        <w:tc>
          <w:tcPr>
            <w:tcW w:type="dxa" w:w="4195"/>
            <w:vAlign w:val="center"/>
          </w:tcPr>
          <w:p>
            <w:pPr>
              <w:spacing w:before="20" w:after="20"/>
            </w:pPr>
            <w:r>
              <w:rPr>
                <w:rFonts w:ascii="游ゴシック" w:hAnsi="游ゴシック" w:eastAsia="游ゴシック"/>
                <w:b w:val="0"/>
                <w:i w:val="0"/>
                <w:sz w:val="17"/>
              </w:rPr>
              <w:t>案1が算定値の100円未満切上げ</w:t>
            </w:r>
          </w:p>
        </w:tc>
        <w:tc>
          <w:tcPr>
            <w:tcW w:type="dxa" w:w="2268"/>
            <w:vAlign w:val="center"/>
          </w:tcPr>
          <w:p>
            <w:pPr>
              <w:spacing w:before="20" w:after="20"/>
            </w:pPr>
            <w:r>
              <w:rPr>
                <w:rFonts w:ascii="游ゴシック" w:hAnsi="游ゴシック" w:eastAsia="游ゴシック"/>
                <w:b w:val="0"/>
                <w:i w:val="0"/>
                <w:sz w:val="17"/>
              </w:rPr>
              <w:t>6100</w:t>
            </w:r>
          </w:p>
        </w:tc>
        <w:tc>
          <w:tcPr>
            <w:tcW w:type="dxa" w:w="2268"/>
            <w:vAlign w:val="center"/>
          </w:tcPr>
          <w:p>
            <w:pPr>
              <w:spacing w:before="20" w:after="20"/>
            </w:pPr>
            <w:r>
              <w:rPr>
                <w:rFonts w:ascii="游ゴシック" w:hAnsi="游ゴシック" w:eastAsia="游ゴシック"/>
                <w:b w:val="0"/>
                <w:i w:val="0"/>
                <w:sz w:val="17"/>
              </w:rPr>
              <w:t>6100</w:t>
            </w:r>
          </w:p>
        </w:tc>
      </w:tr>
      <w:tr>
        <w:tc>
          <w:tcPr>
            <w:tcW w:type="dxa" w:w="1020"/>
            <w:vAlign w:val="center"/>
          </w:tcPr>
          <w:p>
            <w:pPr>
              <w:spacing w:before="20" w:after="20"/>
            </w:pPr>
            <w:r>
              <w:rPr>
                <w:rFonts w:ascii="游ゴシック" w:hAnsi="游ゴシック" w:eastAsia="游ゴシック"/>
                <w:b w:val="0"/>
                <w:i w:val="0"/>
                <w:sz w:val="17"/>
              </w:rPr>
              <w:t>1b</w:t>
            </w:r>
          </w:p>
        </w:tc>
        <w:tc>
          <w:tcPr>
            <w:tcW w:type="dxa" w:w="4195"/>
            <w:vAlign w:val="center"/>
          </w:tcPr>
          <w:p>
            <w:pPr>
              <w:spacing w:before="20" w:after="20"/>
            </w:pPr>
            <w:r>
              <w:rPr>
                <w:rFonts w:ascii="游ゴシック" w:hAnsi="游ゴシック" w:eastAsia="游ゴシック"/>
                <w:b w:val="0"/>
                <w:i w:val="0"/>
                <w:sz w:val="17"/>
              </w:rPr>
              <w:t>案2が第9期の基準額</w:t>
            </w:r>
          </w:p>
        </w:tc>
        <w:tc>
          <w:tcPr>
            <w:tcW w:type="dxa" w:w="2268"/>
            <w:vAlign w:val="center"/>
          </w:tcPr>
          <w:p>
            <w:pPr>
              <w:spacing w:before="20" w:after="20"/>
            </w:pPr>
            <w:r>
              <w:rPr>
                <w:rFonts w:ascii="游ゴシック" w:hAnsi="游ゴシック" w:eastAsia="游ゴシック"/>
                <w:b w:val="0"/>
                <w:i w:val="0"/>
                <w:sz w:val="17"/>
              </w:rPr>
              <w:t>6600</w:t>
            </w:r>
          </w:p>
        </w:tc>
        <w:tc>
          <w:tcPr>
            <w:tcW w:type="dxa" w:w="2268"/>
            <w:vAlign w:val="center"/>
          </w:tcPr>
          <w:p>
            <w:pPr>
              <w:spacing w:before="20" w:after="20"/>
            </w:pPr>
            <w:r>
              <w:rPr>
                <w:rFonts w:ascii="游ゴシック" w:hAnsi="游ゴシック" w:eastAsia="游ゴシック"/>
                <w:b w:val="0"/>
                <w:i w:val="0"/>
                <w:sz w:val="17"/>
              </w:rPr>
              <w:t>6600</w:t>
            </w:r>
          </w:p>
        </w:tc>
      </w:tr>
      <w:tr>
        <w:tc>
          <w:tcPr>
            <w:tcW w:type="dxa" w:w="1020"/>
            <w:vAlign w:val="center"/>
          </w:tcPr>
          <w:p>
            <w:pPr>
              <w:spacing w:before="20" w:after="20"/>
            </w:pPr>
            <w:r>
              <w:rPr>
                <w:rFonts w:ascii="游ゴシック" w:hAnsi="游ゴシック" w:eastAsia="游ゴシック"/>
                <w:b w:val="0"/>
                <w:i w:val="0"/>
                <w:sz w:val="17"/>
              </w:rPr>
              <w:t>2a</w:t>
            </w:r>
          </w:p>
        </w:tc>
        <w:tc>
          <w:tcPr>
            <w:tcW w:type="dxa" w:w="4195"/>
            <w:vAlign w:val="center"/>
          </w:tcPr>
          <w:p>
            <w:pPr>
              <w:spacing w:before="20" w:after="20"/>
            </w:pPr>
            <w:r>
              <w:rPr>
                <w:rFonts w:ascii="游ゴシック" w:hAnsi="游ゴシック" w:eastAsia="游ゴシック"/>
                <w:b w:val="0"/>
                <w:i w:val="0"/>
                <w:sz w:val="17"/>
              </w:rPr>
              <w:t>標準給付費 3年計</w:t>
            </w:r>
          </w:p>
        </w:tc>
        <w:tc>
          <w:tcPr>
            <w:tcW w:type="dxa" w:w="2268"/>
            <w:vAlign w:val="center"/>
          </w:tcPr>
          <w:p>
            <w:pPr>
              <w:spacing w:before="20" w:after="20"/>
            </w:pPr>
            <w:r>
              <w:rPr>
                <w:rFonts w:ascii="游ゴシック" w:hAnsi="游ゴシック" w:eastAsia="游ゴシック"/>
                <w:b w:val="0"/>
                <w:i w:val="0"/>
                <w:sz w:val="17"/>
              </w:rPr>
              <w:t>3093948</w:t>
            </w:r>
          </w:p>
        </w:tc>
        <w:tc>
          <w:tcPr>
            <w:tcW w:type="dxa" w:w="2268"/>
            <w:vAlign w:val="center"/>
          </w:tcPr>
          <w:p>
            <w:pPr>
              <w:spacing w:before="20" w:after="20"/>
            </w:pPr>
            <w:r>
              <w:rPr>
                <w:rFonts w:ascii="游ゴシック" w:hAnsi="游ゴシック" w:eastAsia="游ゴシック"/>
                <w:b w:val="0"/>
                <w:i w:val="0"/>
                <w:sz w:val="17"/>
              </w:rPr>
              <w:t>3093948</w:t>
            </w:r>
          </w:p>
        </w:tc>
      </w:tr>
      <w:tr>
        <w:tc>
          <w:tcPr>
            <w:tcW w:type="dxa" w:w="1020"/>
            <w:vAlign w:val="center"/>
          </w:tcPr>
          <w:p>
            <w:pPr>
              <w:spacing w:before="20" w:after="20"/>
            </w:pPr>
            <w:r>
              <w:rPr>
                <w:rFonts w:ascii="游ゴシック" w:hAnsi="游ゴシック" w:eastAsia="游ゴシック"/>
                <w:b w:val="0"/>
                <w:i w:val="0"/>
                <w:sz w:val="17"/>
              </w:rPr>
              <w:t>2b</w:t>
            </w:r>
          </w:p>
        </w:tc>
        <w:tc>
          <w:tcPr>
            <w:tcW w:type="dxa" w:w="4195"/>
            <w:vAlign w:val="center"/>
          </w:tcPr>
          <w:p>
            <w:pPr>
              <w:spacing w:before="20" w:after="20"/>
            </w:pPr>
            <w:r>
              <w:rPr>
                <w:rFonts w:ascii="游ゴシック" w:hAnsi="游ゴシック" w:eastAsia="游ゴシック"/>
                <w:b w:val="0"/>
                <w:i w:val="0"/>
                <w:sz w:val="17"/>
              </w:rPr>
              <w:t>保険料基準額（取崩なし）</w:t>
            </w:r>
          </w:p>
        </w:tc>
        <w:tc>
          <w:tcPr>
            <w:tcW w:type="dxa" w:w="2268"/>
            <w:vAlign w:val="center"/>
          </w:tcPr>
          <w:p>
            <w:pPr>
              <w:spacing w:before="20" w:after="20"/>
            </w:pPr>
            <w:r>
              <w:rPr>
                <w:rFonts w:ascii="游ゴシック" w:hAnsi="游ゴシック" w:eastAsia="游ゴシック"/>
                <w:b w:val="0"/>
                <w:i w:val="0"/>
                <w:sz w:val="17"/>
              </w:rPr>
              <w:t>6048</w:t>
            </w:r>
          </w:p>
        </w:tc>
        <w:tc>
          <w:tcPr>
            <w:tcW w:type="dxa" w:w="2268"/>
            <w:vAlign w:val="center"/>
          </w:tcPr>
          <w:p>
            <w:pPr>
              <w:spacing w:before="20" w:after="20"/>
            </w:pPr>
            <w:r>
              <w:rPr>
                <w:rFonts w:ascii="游ゴシック" w:hAnsi="游ゴシック" w:eastAsia="游ゴシック"/>
                <w:b w:val="0"/>
                <w:i w:val="0"/>
                <w:sz w:val="17"/>
              </w:rPr>
              <w:t>6048</w:t>
            </w:r>
          </w:p>
        </w:tc>
      </w:tr>
      <w:tr>
        <w:tc>
          <w:tcPr>
            <w:tcW w:type="dxa" w:w="1020"/>
            <w:vAlign w:val="center"/>
          </w:tcPr>
          <w:p>
            <w:pPr>
              <w:spacing w:before="20" w:after="20"/>
            </w:pPr>
            <w:r>
              <w:rPr>
                <w:rFonts w:ascii="游ゴシック" w:hAnsi="游ゴシック" w:eastAsia="游ゴシック"/>
                <w:b w:val="0"/>
                <w:i w:val="0"/>
                <w:sz w:val="17"/>
              </w:rPr>
              <w:t>3-A</w:t>
            </w:r>
          </w:p>
        </w:tc>
        <w:tc>
          <w:tcPr>
            <w:tcW w:type="dxa" w:w="4195"/>
            <w:vAlign w:val="center"/>
          </w:tcPr>
          <w:p>
            <w:pPr>
              <w:spacing w:before="20" w:after="20"/>
            </w:pPr>
            <w:r>
              <w:rPr>
                <w:rFonts w:ascii="游ゴシック" w:hAnsi="游ゴシック" w:eastAsia="游ゴシック"/>
                <w:b w:val="0"/>
                <w:i w:val="0"/>
                <w:sz w:val="17"/>
              </w:rPr>
              <w:t>案Aの第2回が納期より前</w:t>
            </w:r>
          </w:p>
        </w:tc>
        <w:tc>
          <w:tcPr>
            <w:tcW w:type="dxa" w:w="2268"/>
            <w:vAlign w:val="center"/>
          </w:tcPr>
          <w:p>
            <w:pPr>
              <w:spacing w:before="20" w:after="20"/>
            </w:pPr>
            <w:r>
              <w:rPr>
                <w:rFonts w:ascii="游ゴシック" w:hAnsi="游ゴシック" w:eastAsia="游ゴシック"/>
                <w:b w:val="0"/>
                <w:i w:val="0"/>
                <w:sz w:val="17"/>
              </w:rPr>
              <w:t>True</w:t>
            </w:r>
          </w:p>
        </w:tc>
        <w:tc>
          <w:tcPr>
            <w:tcW w:type="dxa" w:w="2268"/>
            <w:vAlign w:val="center"/>
          </w:tcPr>
          <w:p>
            <w:pPr>
              <w:spacing w:before="20" w:after="20"/>
            </w:pPr>
            <w:r>
              <w:rPr>
                <w:rFonts w:ascii="游ゴシック" w:hAnsi="游ゴシック" w:eastAsia="游ゴシック"/>
                <w:b w:val="0"/>
                <w:i w:val="0"/>
                <w:sz w:val="17"/>
              </w:rPr>
              <w:t>True</w:t>
            </w:r>
          </w:p>
        </w:tc>
      </w:tr>
      <w:tr>
        <w:tc>
          <w:tcPr>
            <w:tcW w:type="dxa" w:w="1020"/>
            <w:vAlign w:val="center"/>
          </w:tcPr>
          <w:p>
            <w:pPr>
              <w:spacing w:before="20" w:after="20"/>
            </w:pPr>
            <w:r>
              <w:rPr>
                <w:rFonts w:ascii="游ゴシック" w:hAnsi="游ゴシック" w:eastAsia="游ゴシック"/>
                <w:b w:val="0"/>
                <w:i w:val="0"/>
                <w:sz w:val="17"/>
              </w:rPr>
              <w:t>3-B</w:t>
            </w:r>
          </w:p>
        </w:tc>
        <w:tc>
          <w:tcPr>
            <w:tcW w:type="dxa" w:w="4195"/>
            <w:vAlign w:val="center"/>
          </w:tcPr>
          <w:p>
            <w:pPr>
              <w:spacing w:before="20" w:after="20"/>
            </w:pPr>
            <w:r>
              <w:rPr>
                <w:rFonts w:ascii="游ゴシック" w:hAnsi="游ゴシック" w:eastAsia="游ゴシック"/>
                <w:b w:val="0"/>
                <w:i w:val="0"/>
                <w:sz w:val="17"/>
              </w:rPr>
              <w:t>案Bの第2回が納期より前</w:t>
            </w:r>
          </w:p>
        </w:tc>
        <w:tc>
          <w:tcPr>
            <w:tcW w:type="dxa" w:w="2268"/>
            <w:vAlign w:val="center"/>
          </w:tcPr>
          <w:p>
            <w:pPr>
              <w:spacing w:before="20" w:after="20"/>
            </w:pPr>
            <w:r>
              <w:rPr>
                <w:rFonts w:ascii="游ゴシック" w:hAnsi="游ゴシック" w:eastAsia="游ゴシック"/>
                <w:b w:val="0"/>
                <w:i w:val="0"/>
                <w:sz w:val="17"/>
              </w:rPr>
              <w:t>True</w:t>
            </w:r>
          </w:p>
        </w:tc>
        <w:tc>
          <w:tcPr>
            <w:tcW w:type="dxa" w:w="2268"/>
            <w:vAlign w:val="center"/>
          </w:tcPr>
          <w:p>
            <w:pPr>
              <w:spacing w:before="20" w:after="20"/>
            </w:pPr>
            <w:r>
              <w:rPr>
                <w:rFonts w:ascii="游ゴシック" w:hAnsi="游ゴシック" w:eastAsia="游ゴシック"/>
                <w:b w:val="0"/>
                <w:i w:val="0"/>
                <w:sz w:val="17"/>
              </w:rPr>
              <w:t>True</w:t>
            </w:r>
          </w:p>
        </w:tc>
      </w:tr>
      <w:tr>
        <w:tc>
          <w:tcPr>
            <w:tcW w:type="dxa" w:w="1020"/>
            <w:vAlign w:val="center"/>
          </w:tcPr>
          <w:p>
            <w:pPr>
              <w:spacing w:before="20" w:after="20"/>
            </w:pPr>
            <w:r>
              <w:rPr>
                <w:rFonts w:ascii="游ゴシック" w:hAnsi="游ゴシック" w:eastAsia="游ゴシック"/>
                <w:b w:val="0"/>
                <w:i w:val="0"/>
                <w:sz w:val="17"/>
              </w:rPr>
              <w:t>3-C</w:t>
            </w:r>
          </w:p>
        </w:tc>
        <w:tc>
          <w:tcPr>
            <w:tcW w:type="dxa" w:w="4195"/>
            <w:vAlign w:val="center"/>
          </w:tcPr>
          <w:p>
            <w:pPr>
              <w:spacing w:before="20" w:after="20"/>
            </w:pPr>
            <w:r>
              <w:rPr>
                <w:rFonts w:ascii="游ゴシック" w:hAnsi="游ゴシック" w:eastAsia="游ゴシック"/>
                <w:b w:val="0"/>
                <w:i w:val="0"/>
                <w:sz w:val="17"/>
              </w:rPr>
              <w:t>案Cの第2回が納期より前</w:t>
            </w:r>
          </w:p>
        </w:tc>
        <w:tc>
          <w:tcPr>
            <w:tcW w:type="dxa" w:w="2268"/>
            <w:vAlign w:val="center"/>
          </w:tcPr>
          <w:p>
            <w:pPr>
              <w:spacing w:before="20" w:after="20"/>
            </w:pPr>
            <w:r>
              <w:rPr>
                <w:rFonts w:ascii="游ゴシック" w:hAnsi="游ゴシック" w:eastAsia="游ゴシック"/>
                <w:b w:val="0"/>
                <w:i w:val="0"/>
                <w:sz w:val="17"/>
              </w:rPr>
              <w:t>True</w:t>
            </w:r>
          </w:p>
        </w:tc>
        <w:tc>
          <w:tcPr>
            <w:tcW w:type="dxa" w:w="2268"/>
            <w:vAlign w:val="center"/>
          </w:tcPr>
          <w:p>
            <w:pPr>
              <w:spacing w:before="20" w:after="20"/>
            </w:pPr>
            <w:r>
              <w:rPr>
                <w:rFonts w:ascii="游ゴシック" w:hAnsi="游ゴシック" w:eastAsia="游ゴシック"/>
                <w:b w:val="0"/>
                <w:i w:val="0"/>
                <w:sz w:val="17"/>
              </w:rPr>
              <w:t>True</w:t>
            </w:r>
          </w:p>
        </w:tc>
      </w:tr>
      <w:tr>
        <w:tc>
          <w:tcPr>
            <w:tcW w:type="dxa" w:w="1020"/>
            <w:vAlign w:val="center"/>
          </w:tcPr>
          <w:p>
            <w:pPr>
              <w:spacing w:before="20" w:after="20"/>
            </w:pPr>
            <w:r>
              <w:rPr>
                <w:rFonts w:ascii="游ゴシック" w:hAnsi="游ゴシック" w:eastAsia="游ゴシック"/>
                <w:b w:val="0"/>
                <w:i w:val="0"/>
                <w:sz w:val="17"/>
              </w:rPr>
              <w:t>3-D</w:t>
            </w:r>
          </w:p>
        </w:tc>
        <w:tc>
          <w:tcPr>
            <w:tcW w:type="dxa" w:w="4195"/>
            <w:vAlign w:val="center"/>
          </w:tcPr>
          <w:p>
            <w:pPr>
              <w:spacing w:before="20" w:after="20"/>
            </w:pPr>
            <w:r>
              <w:rPr>
                <w:rFonts w:ascii="游ゴシック" w:hAnsi="游ゴシック" w:eastAsia="游ゴシック"/>
                <w:b w:val="0"/>
                <w:i w:val="0"/>
                <w:sz w:val="17"/>
              </w:rPr>
              <w:t>案Dの第2回が納期より前</w:t>
            </w:r>
          </w:p>
        </w:tc>
        <w:tc>
          <w:tcPr>
            <w:tcW w:type="dxa" w:w="2268"/>
            <w:vAlign w:val="center"/>
          </w:tcPr>
          <w:p>
            <w:pPr>
              <w:spacing w:before="20" w:after="20"/>
            </w:pPr>
            <w:r>
              <w:rPr>
                <w:rFonts w:ascii="游ゴシック" w:hAnsi="游ゴシック" w:eastAsia="游ゴシック"/>
                <w:b w:val="0"/>
                <w:i w:val="0"/>
                <w:sz w:val="17"/>
              </w:rPr>
              <w:t>True</w:t>
            </w:r>
          </w:p>
        </w:tc>
        <w:tc>
          <w:tcPr>
            <w:tcW w:type="dxa" w:w="2268"/>
            <w:vAlign w:val="center"/>
          </w:tcPr>
          <w:p>
            <w:pPr>
              <w:spacing w:before="20" w:after="20"/>
            </w:pPr>
            <w:r>
              <w:rPr>
                <w:rFonts w:ascii="游ゴシック" w:hAnsi="游ゴシック" w:eastAsia="游ゴシック"/>
                <w:b w:val="0"/>
                <w:i w:val="0"/>
                <w:sz w:val="17"/>
              </w:rPr>
              <w:t>True</w:t>
            </w:r>
          </w:p>
        </w:tc>
      </w:tr>
      <w:tr>
        <w:tc>
          <w:tcPr>
            <w:tcW w:type="dxa" w:w="1020"/>
            <w:vAlign w:val="center"/>
          </w:tcPr>
          <w:p>
            <w:pPr>
              <w:spacing w:before="20" w:after="20"/>
            </w:pPr>
            <w:r>
              <w:rPr>
                <w:rFonts w:ascii="游ゴシック" w:hAnsi="游ゴシック" w:eastAsia="游ゴシック"/>
                <w:b w:val="0"/>
                <w:i w:val="0"/>
                <w:sz w:val="17"/>
              </w:rPr>
              <w:t>4</w:t>
            </w:r>
          </w:p>
        </w:tc>
        <w:tc>
          <w:tcPr>
            <w:tcW w:type="dxa" w:w="4195"/>
            <w:vAlign w:val="center"/>
          </w:tcPr>
          <w:p>
            <w:pPr>
              <w:spacing w:before="20" w:after="20"/>
            </w:pPr>
            <w:r>
              <w:rPr>
                <w:rFonts w:ascii="游ゴシック" w:hAnsi="游ゴシック" w:eastAsia="游ゴシック"/>
                <w:b w:val="0"/>
                <w:i w:val="0"/>
                <w:sz w:val="17"/>
              </w:rPr>
              <w:t>候補日が土日</w:t>
            </w:r>
          </w:p>
        </w:tc>
        <w:tc>
          <w:tcPr>
            <w:tcW w:type="dxa" w:w="2268"/>
            <w:vAlign w:val="center"/>
          </w:tcPr>
          <w:p>
            <w:pPr>
              <w:spacing w:before="20" w:after="20"/>
            </w:pPr>
            <w:r>
              <w:rPr>
                <w:rFonts w:ascii="游ゴシック" w:hAnsi="游ゴシック" w:eastAsia="游ゴシック"/>
                <w:b w:val="0"/>
                <w:i w:val="0"/>
                <w:sz w:val="17"/>
              </w:rPr>
              <w:t>0</w:t>
            </w:r>
          </w:p>
        </w:tc>
        <w:tc>
          <w:tcPr>
            <w:tcW w:type="dxa" w:w="2268"/>
            <w:vAlign w:val="center"/>
          </w:tcPr>
          <w:p>
            <w:pPr>
              <w:spacing w:before="20" w:after="20"/>
            </w:pPr>
            <w:r>
              <w:rPr>
                <w:rFonts w:ascii="游ゴシック" w:hAnsi="游ゴシック" w:eastAsia="游ゴシック"/>
                <w:b w:val="0"/>
                <w:i w:val="0"/>
                <w:sz w:val="17"/>
              </w:rPr>
              <w:t>0</w:t>
            </w:r>
          </w:p>
        </w:tc>
      </w:tr>
      <w:tr>
        <w:tc>
          <w:tcPr>
            <w:tcW w:type="dxa" w:w="1020"/>
            <w:vAlign w:val="center"/>
          </w:tcPr>
          <w:p>
            <w:pPr>
              <w:spacing w:before="20" w:after="20"/>
            </w:pPr>
            <w:r>
              <w:rPr>
                <w:rFonts w:ascii="游ゴシック" w:hAnsi="游ゴシック" w:eastAsia="游ゴシック"/>
                <w:b w:val="0"/>
                <w:i w:val="0"/>
                <w:sz w:val="17"/>
              </w:rPr>
              <w:t>5-1</w:t>
            </w:r>
          </w:p>
        </w:tc>
        <w:tc>
          <w:tcPr>
            <w:tcW w:type="dxa" w:w="4195"/>
            <w:vAlign w:val="center"/>
          </w:tcPr>
          <w:p>
            <w:pPr>
              <w:spacing w:before="20" w:after="20"/>
            </w:pPr>
            <w:r>
              <w:rPr>
                <w:rFonts w:ascii="游ゴシック" w:hAnsi="游ゴシック" w:eastAsia="游ゴシック"/>
                <w:b w:val="0"/>
                <w:i w:val="0"/>
                <w:sz w:val="17"/>
              </w:rPr>
              <w:t>決定1が打合せ資料にある</w:t>
            </w:r>
          </w:p>
        </w:tc>
        <w:tc>
          <w:tcPr>
            <w:tcW w:type="dxa" w:w="2268"/>
            <w:vAlign w:val="center"/>
          </w:tcPr>
          <w:p>
            <w:pPr>
              <w:spacing w:before="20" w:after="20"/>
            </w:pPr>
            <w:r>
              <w:rPr>
                <w:rFonts w:ascii="游ゴシック" w:hAnsi="游ゴシック" w:eastAsia="游ゴシック"/>
                <w:b w:val="0"/>
                <w:i w:val="0"/>
                <w:sz w:val="17"/>
              </w:rPr>
              <w:t>True</w:t>
            </w:r>
          </w:p>
        </w:tc>
        <w:tc>
          <w:tcPr>
            <w:tcW w:type="dxa" w:w="2268"/>
            <w:vAlign w:val="center"/>
          </w:tcPr>
          <w:p>
            <w:pPr>
              <w:spacing w:before="20" w:after="20"/>
            </w:pPr>
            <w:r>
              <w:rPr>
                <w:rFonts w:ascii="游ゴシック" w:hAnsi="游ゴシック" w:eastAsia="游ゴシック"/>
                <w:b w:val="0"/>
                <w:i w:val="0"/>
                <w:sz w:val="17"/>
              </w:rPr>
              <w:t>True</w:t>
            </w:r>
          </w:p>
        </w:tc>
      </w:tr>
      <w:tr>
        <w:tc>
          <w:tcPr>
            <w:tcW w:type="dxa" w:w="1020"/>
            <w:vAlign w:val="center"/>
          </w:tcPr>
          <w:p>
            <w:pPr>
              <w:spacing w:before="20" w:after="20"/>
            </w:pPr>
            <w:r>
              <w:rPr>
                <w:rFonts w:ascii="游ゴシック" w:hAnsi="游ゴシック" w:eastAsia="游ゴシック"/>
                <w:b w:val="0"/>
                <w:i w:val="0"/>
                <w:sz w:val="17"/>
              </w:rPr>
              <w:t>5-2</w:t>
            </w:r>
          </w:p>
        </w:tc>
        <w:tc>
          <w:tcPr>
            <w:tcW w:type="dxa" w:w="4195"/>
            <w:vAlign w:val="center"/>
          </w:tcPr>
          <w:p>
            <w:pPr>
              <w:spacing w:before="20" w:after="20"/>
            </w:pPr>
            <w:r>
              <w:rPr>
                <w:rFonts w:ascii="游ゴシック" w:hAnsi="游ゴシック" w:eastAsia="游ゴシック"/>
                <w:b w:val="0"/>
                <w:i w:val="0"/>
                <w:sz w:val="17"/>
              </w:rPr>
              <w:t>決定2が打合せ資料にある</w:t>
            </w:r>
          </w:p>
        </w:tc>
        <w:tc>
          <w:tcPr>
            <w:tcW w:type="dxa" w:w="2268"/>
            <w:vAlign w:val="center"/>
          </w:tcPr>
          <w:p>
            <w:pPr>
              <w:spacing w:before="20" w:after="20"/>
            </w:pPr>
            <w:r>
              <w:rPr>
                <w:rFonts w:ascii="游ゴシック" w:hAnsi="游ゴシック" w:eastAsia="游ゴシック"/>
                <w:b w:val="0"/>
                <w:i w:val="0"/>
                <w:sz w:val="17"/>
              </w:rPr>
              <w:t>True</w:t>
            </w:r>
          </w:p>
        </w:tc>
        <w:tc>
          <w:tcPr>
            <w:tcW w:type="dxa" w:w="2268"/>
            <w:vAlign w:val="center"/>
          </w:tcPr>
          <w:p>
            <w:pPr>
              <w:spacing w:before="20" w:after="20"/>
            </w:pPr>
            <w:r>
              <w:rPr>
                <w:rFonts w:ascii="游ゴシック" w:hAnsi="游ゴシック" w:eastAsia="游ゴシック"/>
                <w:b w:val="0"/>
                <w:i w:val="0"/>
                <w:sz w:val="17"/>
              </w:rPr>
              <w:t>True</w:t>
            </w:r>
          </w:p>
        </w:tc>
      </w:tr>
      <w:tr>
        <w:tc>
          <w:tcPr>
            <w:tcW w:type="dxa" w:w="1020"/>
            <w:vAlign w:val="center"/>
          </w:tcPr>
          <w:p>
            <w:pPr>
              <w:spacing w:before="20" w:after="20"/>
            </w:pPr>
            <w:r>
              <w:rPr>
                <w:rFonts w:ascii="游ゴシック" w:hAnsi="游ゴシック" w:eastAsia="游ゴシック"/>
                <w:b w:val="0"/>
                <w:i w:val="0"/>
                <w:sz w:val="17"/>
              </w:rPr>
              <w:t>5-7</w:t>
            </w:r>
          </w:p>
        </w:tc>
        <w:tc>
          <w:tcPr>
            <w:tcW w:type="dxa" w:w="4195"/>
            <w:vAlign w:val="center"/>
          </w:tcPr>
          <w:p>
            <w:pPr>
              <w:spacing w:before="20" w:after="20"/>
            </w:pPr>
            <w:r>
              <w:rPr>
                <w:rFonts w:ascii="游ゴシック" w:hAnsi="游ゴシック" w:eastAsia="游ゴシック"/>
                <w:b w:val="0"/>
                <w:i w:val="0"/>
                <w:sz w:val="17"/>
              </w:rPr>
              <w:t>決定7が打合せ資料にある</w:t>
            </w:r>
          </w:p>
        </w:tc>
        <w:tc>
          <w:tcPr>
            <w:tcW w:type="dxa" w:w="2268"/>
            <w:vAlign w:val="center"/>
          </w:tcPr>
          <w:p>
            <w:pPr>
              <w:spacing w:before="20" w:after="20"/>
            </w:pPr>
            <w:r>
              <w:rPr>
                <w:rFonts w:ascii="游ゴシック" w:hAnsi="游ゴシック" w:eastAsia="游ゴシック"/>
                <w:b w:val="0"/>
                <w:i w:val="0"/>
                <w:sz w:val="17"/>
              </w:rPr>
              <w:t>True</w:t>
            </w:r>
          </w:p>
        </w:tc>
        <w:tc>
          <w:tcPr>
            <w:tcW w:type="dxa" w:w="2268"/>
            <w:vAlign w:val="center"/>
          </w:tcPr>
          <w:p>
            <w:pPr>
              <w:spacing w:before="20" w:after="20"/>
            </w:pPr>
            <w:r>
              <w:rPr>
                <w:rFonts w:ascii="游ゴシック" w:hAnsi="游ゴシック" w:eastAsia="游ゴシック"/>
                <w:b w:val="0"/>
                <w:i w:val="0"/>
                <w:sz w:val="17"/>
              </w:rPr>
              <w:t>True</w:t>
            </w:r>
          </w:p>
        </w:tc>
      </w:tr>
      <w:tr>
        <w:tc>
          <w:tcPr>
            <w:tcW w:type="dxa" w:w="1020"/>
            <w:vAlign w:val="center"/>
          </w:tcPr>
          <w:p>
            <w:pPr>
              <w:spacing w:before="20" w:after="20"/>
            </w:pPr>
            <w:r>
              <w:rPr>
                <w:rFonts w:ascii="游ゴシック" w:hAnsi="游ゴシック" w:eastAsia="游ゴシック"/>
                <w:b w:val="0"/>
                <w:i w:val="0"/>
                <w:sz w:val="17"/>
              </w:rPr>
              <w:t>5-10</w:t>
            </w:r>
          </w:p>
        </w:tc>
        <w:tc>
          <w:tcPr>
            <w:tcW w:type="dxa" w:w="4195"/>
            <w:vAlign w:val="center"/>
          </w:tcPr>
          <w:p>
            <w:pPr>
              <w:spacing w:before="20" w:after="20"/>
            </w:pPr>
            <w:r>
              <w:rPr>
                <w:rFonts w:ascii="游ゴシック" w:hAnsi="游ゴシック" w:eastAsia="游ゴシック"/>
                <w:b w:val="0"/>
                <w:i w:val="0"/>
                <w:sz w:val="17"/>
              </w:rPr>
              <w:t>決定10が打合せ資料にある</w:t>
            </w:r>
          </w:p>
        </w:tc>
        <w:tc>
          <w:tcPr>
            <w:tcW w:type="dxa" w:w="2268"/>
            <w:vAlign w:val="center"/>
          </w:tcPr>
          <w:p>
            <w:pPr>
              <w:spacing w:before="20" w:after="20"/>
            </w:pPr>
            <w:r>
              <w:rPr>
                <w:rFonts w:ascii="游ゴシック" w:hAnsi="游ゴシック" w:eastAsia="游ゴシック"/>
                <w:b w:val="0"/>
                <w:i w:val="0"/>
                <w:sz w:val="17"/>
              </w:rPr>
              <w:t>True</w:t>
            </w:r>
          </w:p>
        </w:tc>
        <w:tc>
          <w:tcPr>
            <w:tcW w:type="dxa" w:w="2268"/>
            <w:vAlign w:val="center"/>
          </w:tcPr>
          <w:p>
            <w:pPr>
              <w:spacing w:before="20" w:after="20"/>
            </w:pPr>
            <w:r>
              <w:rPr>
                <w:rFonts w:ascii="游ゴシック" w:hAnsi="游ゴシック" w:eastAsia="游ゴシック"/>
                <w:b w:val="0"/>
                <w:i w:val="0"/>
                <w:sz w:val="17"/>
              </w:rPr>
              <w:t>True</w:t>
            </w:r>
          </w:p>
        </w:tc>
      </w:tr>
      <w:tr>
        <w:tc>
          <w:tcPr>
            <w:tcW w:type="dxa" w:w="1020"/>
            <w:vAlign w:val="center"/>
          </w:tcPr>
          <w:p>
            <w:pPr>
              <w:spacing w:before="20" w:after="20"/>
            </w:pPr>
            <w:r>
              <w:rPr>
                <w:rFonts w:ascii="游ゴシック" w:hAnsi="游ゴシック" w:eastAsia="游ゴシック"/>
                <w:b w:val="0"/>
                <w:i w:val="0"/>
                <w:sz w:val="17"/>
              </w:rPr>
              <w:t>6</w:t>
            </w:r>
          </w:p>
        </w:tc>
        <w:tc>
          <w:tcPr>
            <w:tcW w:type="dxa" w:w="4195"/>
            <w:vAlign w:val="center"/>
          </w:tcPr>
          <w:p>
            <w:pPr>
              <w:spacing w:before="20" w:after="20"/>
            </w:pPr>
            <w:r>
              <w:rPr>
                <w:rFonts w:ascii="游ゴシック" w:hAnsi="游ゴシック" w:eastAsia="游ゴシック"/>
                <w:b w:val="0"/>
                <w:i w:val="0"/>
                <w:sz w:val="17"/>
              </w:rPr>
              <w:t>素案の章数</w:t>
            </w:r>
          </w:p>
        </w:tc>
        <w:tc>
          <w:tcPr>
            <w:tcW w:type="dxa" w:w="2268"/>
            <w:vAlign w:val="center"/>
          </w:tcPr>
          <w:p>
            <w:pPr>
              <w:spacing w:before="20" w:after="20"/>
            </w:pPr>
            <w:r>
              <w:rPr>
                <w:rFonts w:ascii="游ゴシック" w:hAnsi="游ゴシック" w:eastAsia="游ゴシック"/>
                <w:b w:val="0"/>
                <w:i w:val="0"/>
                <w:sz w:val="17"/>
              </w:rPr>
              <w:t>6</w:t>
            </w:r>
          </w:p>
        </w:tc>
        <w:tc>
          <w:tcPr>
            <w:tcW w:type="dxa" w:w="2268"/>
            <w:vAlign w:val="center"/>
          </w:tcPr>
          <w:p>
            <w:pPr>
              <w:spacing w:before="20" w:after="20"/>
            </w:pPr>
            <w:r>
              <w:rPr>
                <w:rFonts w:ascii="游ゴシック" w:hAnsi="游ゴシック" w:eastAsia="游ゴシック"/>
                <w:b w:val="0"/>
                <w:i w:val="0"/>
                <w:sz w:val="17"/>
              </w:rPr>
              <w:t>6</w:t>
            </w:r>
          </w:p>
        </w:tc>
      </w:tr>
      <w:tr>
        <w:tc>
          <w:tcPr>
            <w:tcW w:type="dxa" w:w="1020"/>
            <w:vAlign w:val="center"/>
          </w:tcPr>
          <w:p>
            <w:pPr>
              <w:spacing w:before="20" w:after="20"/>
            </w:pPr>
            <w:r>
              <w:rPr>
                <w:rFonts w:ascii="游ゴシック" w:hAnsi="游ゴシック" w:eastAsia="游ゴシック"/>
                <w:b w:val="0"/>
                <w:i w:val="0"/>
                <w:sz w:val="17"/>
              </w:rPr>
              <w:t>7</w:t>
            </w:r>
          </w:p>
        </w:tc>
        <w:tc>
          <w:tcPr>
            <w:tcW w:type="dxa" w:w="4195"/>
            <w:vAlign w:val="center"/>
          </w:tcPr>
          <w:p>
            <w:pPr>
              <w:spacing w:before="20" w:after="20"/>
            </w:pPr>
            <w:r>
              <w:rPr>
                <w:rFonts w:ascii="游ゴシック" w:hAnsi="游ゴシック" w:eastAsia="游ゴシック"/>
                <w:b w:val="0"/>
                <w:i w:val="0"/>
                <w:sz w:val="17"/>
              </w:rPr>
              <w:t>令和11年度の認定者数</w:t>
            </w:r>
          </w:p>
        </w:tc>
        <w:tc>
          <w:tcPr>
            <w:tcW w:type="dxa" w:w="2268"/>
            <w:vAlign w:val="center"/>
          </w:tcPr>
          <w:p>
            <w:pPr>
              <w:spacing w:before="20" w:after="20"/>
            </w:pPr>
            <w:r>
              <w:rPr>
                <w:rFonts w:ascii="游ゴシック" w:hAnsi="游ゴシック" w:eastAsia="游ゴシック"/>
                <w:b w:val="0"/>
                <w:i w:val="0"/>
                <w:sz w:val="17"/>
              </w:rPr>
              <w:t>772</w:t>
            </w:r>
          </w:p>
        </w:tc>
        <w:tc>
          <w:tcPr>
            <w:tcW w:type="dxa" w:w="2268"/>
            <w:vAlign w:val="center"/>
          </w:tcPr>
          <w:p>
            <w:pPr>
              <w:spacing w:before="20" w:after="20"/>
            </w:pPr>
            <w:r>
              <w:rPr>
                <w:rFonts w:ascii="游ゴシック" w:hAnsi="游ゴシック" w:eastAsia="游ゴシック"/>
                <w:b w:val="0"/>
                <w:i w:val="0"/>
                <w:sz w:val="17"/>
              </w:rPr>
              <w:t>772</w:t>
            </w:r>
          </w:p>
        </w:tc>
      </w:tr>
    </w:tbl>
    <w:p>
      <w:pPr>
        <w:spacing w:after="40"/>
      </w:pPr>
    </w:p>
    <w:p>
      <w:pPr>
        <w:spacing w:before="60" w:after="60"/>
      </w:pPr>
      <w:r>
        <w:rPr>
          <w:rFonts w:ascii="游ゴシック" w:hAnsi="游ゴシック" w:eastAsia="游ゴシック"/>
          <w:b/>
          <w:i w:val="0"/>
          <w:sz w:val="21"/>
        </w:rPr>
        <w:t>15項目すべて適合</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小野町高齢者福祉サービス推進協議会資料　第2回</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小野町高齢者福祉サービス推進協議会資料　第2回</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小野町高齢者福祉サービス推進協議会資料　第2回</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