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骨子（案）　第5版（確定版）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t>令和8年10月22日　小野町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計画書の目次構成（案）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第3章　第9期計画の実施状況と評価（要約）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基本理念と基本目標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計画の体系（第9期からの変更）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関連計画との役割分担（施策の精査）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第6章　介護保険事業等の見込み（要約）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参考1　第9期の見込みと実績の対比</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参考2　確定に残る資料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参考3　第5版での主な変更点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本骨子（案）は、計画書の目次構成、各章の記載内容、施策体系、サービス見込量及び保険料算定の枠組みを示すものです。</w:t>
      </w:r>
    </w:p>
    <w:p>
      <w:pPr>
        <w:spacing w:before="60" w:after="60"/>
      </w:pPr>
      <w:r>
        <w:rPr>
          <w:rFonts w:ascii="游ゴシック" w:hAnsi="游ゴシック" w:eastAsia="游ゴシック"/>
          <w:b/>
          <w:i w:val="0"/>
          <w:sz w:val="21"/>
        </w:rPr>
        <w:t>第5版（確定版）では、本文の章の見出しを計画素案（第16版）の章番号にそろえ、第3章（第9期計画の実施状況と評価）と第6章（介護保険事業等の見込み）の要約を加えました。</w:t>
      </w:r>
      <w:r>
        <w:rPr>
          <w:rFonts w:ascii="游ゴシック" w:hAnsi="游ゴシック" w:eastAsia="游ゴシック"/>
          <w:b w:val="0"/>
          <w:i w:val="0"/>
          <w:sz w:val="21"/>
        </w:rPr>
        <w:t xml:space="preserve"> 受領済みの資料で「現時点の状況」の欄を改め、確定に必要な資料を残るものだけにしました。</w:t>
      </w:r>
    </w:p>
    <w:p>
      <w:pPr>
        <w:spacing w:before="60" w:after="60"/>
      </w:pPr>
      <w:r>
        <w:rPr>
          <w:rFonts w:ascii="游ゴシック" w:hAnsi="游ゴシック" w:eastAsia="游ゴシック"/>
          <w:b/>
          <w:i w:val="0"/>
          <w:sz w:val="21"/>
        </w:rPr>
        <w:t>第4版では、計画素案（第9版）の章構成をそのまま取り込みました。</w:t>
      </w:r>
      <w:r>
        <w:rPr>
          <w:rFonts w:ascii="游ゴシック" w:hAnsi="游ゴシック" w:eastAsia="游ゴシック"/>
          <w:b w:val="0"/>
          <w:i w:val="0"/>
          <w:sz w:val="21"/>
        </w:rPr>
        <w:t>骨子案と素案で構成を別々に書くと、片方を直したときにもう片方が古いまま残ります。第4版以降、下表の目次構成は素案の docx から機械的に読み出しており、</w:t>
      </w:r>
      <w:r>
        <w:rPr>
          <w:rFonts w:ascii="游ゴシック" w:hAnsi="游ゴシック" w:eastAsia="游ゴシック"/>
          <w:b/>
          <w:i w:val="0"/>
          <w:sz w:val="21"/>
        </w:rPr>
        <w:t>素案を直せば骨子案も同じ構成になります。</w:t>
      </w:r>
    </w:p>
    <w:p>
      <w:pPr>
        <w:spacing w:before="60" w:after="60"/>
      </w:pPr>
      <w:r>
        <w:rPr>
          <w:rFonts w:ascii="游ゴシック" w:hAnsi="游ゴシック" w:eastAsia="游ゴシック"/>
          <w:b w:val="0"/>
          <w:i w:val="0"/>
          <w:sz w:val="21"/>
        </w:rPr>
        <w:t>第3版では、第9期計画本文及び第3期地域福祉計画本文を確認したうえで、第9期の章構成・基本理念・基本目標・施策体系を正確に反映し、地域福祉計画との重複を精査しました。第2版までは第9期の施策体系をキックオフ資料の記載から推定していたため、構成が実際と異なっていました。</w:t>
      </w:r>
    </w:p>
    <w:p>
      <w:pPr>
        <w:spacing w:before="40" w:after="160"/>
        <w:ind w:left="113"/>
      </w:pPr>
      <w:r>
        <w:rPr>
          <w:rFonts w:ascii="游ゴシック" w:hAnsi="游ゴシック" w:eastAsia="游ゴシック"/>
          <w:b w:val="0"/>
          <w:i w:val="0"/>
          <w:sz w:val="17"/>
        </w:rPr>
        <w:t>※ 確認した資料：小野町高齢者保健福祉計画・第9期介護保険事業計画（令和6年3月）、小野町第3期地域福祉計画（令和8年3月、概要版を含む）。</w:t>
      </w:r>
    </w:p>
    <w:p>
      <w:pPr>
        <w:pStyle w:val="Heading1"/>
        <w:keepNext/>
        <w:spacing w:before="240" w:after="100"/>
      </w:pPr>
      <w:bookmarkStart w:id="101" w:name="_Toc_001"/>
      <w:r>
        <w:rPr>
          <w:rFonts w:ascii="游ゴシック" w:hAnsi="游ゴシック" w:eastAsia="游ゴシック"/>
          <w:b/>
          <w:i w:val="0"/>
          <w:color w:val="2E74B5"/>
          <w:sz w:val="30"/>
        </w:rPr>
        <w:t>計画書の目次構成（案）</w:t>
      </w:r>
      <w:bookmarkEnd w:id="101"/>
    </w:p>
    <w:p>
      <w:pPr>
        <w:spacing w:before="60" w:after="60"/>
      </w:pPr>
      <w:r>
        <w:rPr>
          <w:rFonts w:ascii="游ゴシック" w:hAnsi="游ゴシック" w:eastAsia="游ゴシック"/>
          <w:b/>
          <w:i w:val="0"/>
          <w:sz w:val="21"/>
        </w:rPr>
        <w:t>計画素案の構成をそのまま掲げます。</w:t>
      </w:r>
      <w:r>
        <w:rPr>
          <w:rFonts w:ascii="游ゴシック" w:hAnsi="游ゴシック" w:eastAsia="游ゴシック"/>
          <w:b w:val="0"/>
          <w:i w:val="0"/>
          <w:sz w:val="21"/>
        </w:rPr>
        <w:t>骨子案で構成を提案し、素案で中身を書くという順ですが、素案の構成は他団体の第10期計画との対比を経て6章構成に組み替えてあるため、</w:t>
      </w:r>
      <w:r>
        <w:rPr>
          <w:rFonts w:ascii="游ゴシック" w:hAnsi="游ゴシック" w:eastAsia="游ゴシック"/>
          <w:b/>
          <w:i w:val="0"/>
          <w:sz w:val="21"/>
        </w:rPr>
        <w:t>骨子案の側をそろえます。</w:t>
      </w:r>
    </w:p>
    <w:p>
      <w:pPr>
        <w:spacing w:before="60" w:after="60"/>
      </w:pPr>
      <w:r>
        <w:rPr>
          <w:rFonts w:ascii="游ゴシック" w:hAnsi="游ゴシック" w:eastAsia="游ゴシック"/>
          <w:b/>
          <w:i w:val="0"/>
          <w:sz w:val="21"/>
        </w:rPr>
        <w:t>下の表は、生成した計画素案の見出しから機械的に拾っています。</w:t>
      </w:r>
      <w:r>
        <w:rPr>
          <w:rFonts w:ascii="游ゴシック" w:hAnsi="游ゴシック" w:eastAsia="游ゴシック"/>
          <w:b w:val="0"/>
          <w:i w:val="0"/>
          <w:sz w:val="21"/>
        </w:rPr>
        <w:t>骨子案と素案で別々に書くと、片方を直したときにもう片方が古いまま残るためです。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68"/>
        <w:gridCol w:w="5383"/>
      </w:tblGrid>
      <w:tr>
        <w:tc>
          <w:tcPr>
            <w:tcW w:type="dxa" w:w="4368"/>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5383"/>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4368"/>
            <w:vAlign w:val="center"/>
          </w:tcPr>
          <w:p>
            <w:pPr>
              <w:spacing w:before="20" w:after="20"/>
            </w:pPr>
            <w:r>
              <w:rPr>
                <w:rFonts w:ascii="游ゴシック" w:hAnsi="游ゴシック" w:eastAsia="游ゴシック"/>
                <w:b w:val="0"/>
                <w:i w:val="0"/>
                <w:sz w:val="17"/>
              </w:rPr>
              <w:t>第1章　計画策定にあたって</w:t>
            </w:r>
          </w:p>
        </w:tc>
        <w:tc>
          <w:tcPr>
            <w:tcW w:type="dxa" w:w="5383"/>
            <w:vAlign w:val="center"/>
          </w:tcPr>
          <w:p>
            <w:pPr>
              <w:spacing w:before="20" w:after="20"/>
            </w:pPr>
            <w:r>
              <w:rPr>
                <w:rFonts w:ascii="游ゴシック" w:hAnsi="游ゴシック" w:eastAsia="游ゴシック"/>
                <w:b w:val="0"/>
                <w:i w:val="0"/>
                <w:sz w:val="17"/>
              </w:rPr>
              <w:t>1　計画策定の趣旨</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第10期計画の基本指針</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計画の位置づけと期間</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計画策定の視点</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5　日常生活圏域の設定</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6　計画の進行管理・推進体制</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7　計画の策定体制</w:t>
            </w:r>
          </w:p>
        </w:tc>
      </w:tr>
      <w:tr>
        <w:tc>
          <w:tcPr>
            <w:tcW w:type="dxa" w:w="4368"/>
            <w:vAlign w:val="center"/>
          </w:tcPr>
          <w:p>
            <w:pPr>
              <w:spacing w:before="20" w:after="20"/>
            </w:pPr>
            <w:r>
              <w:rPr>
                <w:rFonts w:ascii="游ゴシック" w:hAnsi="游ゴシック" w:eastAsia="游ゴシック"/>
                <w:b w:val="0"/>
                <w:i w:val="0"/>
                <w:sz w:val="17"/>
              </w:rPr>
              <w:t>第2章　小野町の高齢者・介護等の状況</w:t>
            </w:r>
          </w:p>
        </w:tc>
        <w:tc>
          <w:tcPr>
            <w:tcW w:type="dxa" w:w="5383"/>
            <w:vAlign w:val="center"/>
          </w:tcPr>
          <w:p>
            <w:pPr>
              <w:spacing w:before="20" w:after="20"/>
            </w:pPr>
            <w:r>
              <w:rPr>
                <w:rFonts w:ascii="游ゴシック" w:hAnsi="游ゴシック" w:eastAsia="游ゴシック"/>
                <w:b w:val="0"/>
                <w:i w:val="0"/>
                <w:sz w:val="17"/>
              </w:rPr>
              <w:t>1　人口と世帯の状況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令和7年度調査のまとめ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小野町の介護保険事業の状況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介護保険財政の状況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5　サービス提供体制の状況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6　高齢者数等の将来推計</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7　第10期計画における課題の整理</w:t>
            </w:r>
          </w:p>
        </w:tc>
      </w:tr>
      <w:tr>
        <w:tc>
          <w:tcPr>
            <w:tcW w:type="dxa" w:w="4368"/>
            <w:vAlign w:val="center"/>
          </w:tcPr>
          <w:p>
            <w:pPr>
              <w:spacing w:before="20" w:after="20"/>
            </w:pPr>
            <w:r>
              <w:rPr>
                <w:rFonts w:ascii="游ゴシック" w:hAnsi="游ゴシック" w:eastAsia="游ゴシック"/>
                <w:b w:val="0"/>
                <w:i w:val="0"/>
                <w:sz w:val="17"/>
              </w:rPr>
              <w:t>第3章　第9期計画の実施状況と評価</w:t>
            </w:r>
          </w:p>
        </w:tc>
        <w:tc>
          <w:tcPr>
            <w:tcW w:type="dxa" w:w="5383"/>
            <w:vAlign w:val="center"/>
          </w:tcPr>
          <w:p>
            <w:pPr>
              <w:spacing w:before="20" w:after="20"/>
            </w:pPr>
            <w:r>
              <w:rPr>
                <w:rFonts w:ascii="游ゴシック" w:hAnsi="游ゴシック" w:eastAsia="游ゴシック"/>
                <w:b w:val="0"/>
                <w:i w:val="0"/>
                <w:sz w:val="17"/>
              </w:rPr>
              <w:t>1　第9期計画の基本目標と達成状況</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地域支援事業の実績</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介護保険事業の実績</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第9期の評価と第10期への課題</w:t>
            </w:r>
          </w:p>
        </w:tc>
      </w:tr>
      <w:tr>
        <w:tc>
          <w:tcPr>
            <w:tcW w:type="dxa" w:w="4368"/>
            <w:vAlign w:val="center"/>
          </w:tcPr>
          <w:p>
            <w:pPr>
              <w:spacing w:before="20" w:after="20"/>
            </w:pPr>
            <w:r>
              <w:rPr>
                <w:rFonts w:ascii="游ゴシック" w:hAnsi="游ゴシック" w:eastAsia="游ゴシック"/>
                <w:b w:val="0"/>
                <w:i w:val="0"/>
                <w:sz w:val="17"/>
              </w:rPr>
              <w:t>第4章　計画の基本的考え方</w:t>
            </w:r>
          </w:p>
        </w:tc>
        <w:tc>
          <w:tcPr>
            <w:tcW w:type="dxa" w:w="5383"/>
            <w:vAlign w:val="center"/>
          </w:tcPr>
          <w:p>
            <w:pPr>
              <w:spacing w:before="20" w:after="20"/>
            </w:pPr>
            <w:r>
              <w:rPr>
                <w:rFonts w:ascii="游ゴシック" w:hAnsi="游ゴシック" w:eastAsia="游ゴシック"/>
                <w:b w:val="0"/>
                <w:i w:val="0"/>
                <w:sz w:val="17"/>
              </w:rPr>
              <w:t>1　計画の基本理念と目標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計画の体系</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関連計画との役割分担</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障がい福祉計画との接点</w:t>
            </w:r>
          </w:p>
        </w:tc>
      </w:tr>
      <w:tr>
        <w:tc>
          <w:tcPr>
            <w:tcW w:type="dxa" w:w="4368"/>
            <w:vAlign w:val="center"/>
          </w:tcPr>
          <w:p>
            <w:pPr>
              <w:spacing w:before="20" w:after="20"/>
            </w:pPr>
            <w:r>
              <w:rPr>
                <w:rFonts w:ascii="游ゴシック" w:hAnsi="游ゴシック" w:eastAsia="游ゴシック"/>
                <w:b w:val="0"/>
                <w:i w:val="0"/>
                <w:sz w:val="17"/>
              </w:rPr>
              <w:t>第5章　施策の展開</w:t>
            </w:r>
          </w:p>
        </w:tc>
        <w:tc>
          <w:tcPr>
            <w:tcW w:type="dxa" w:w="5383"/>
            <w:vAlign w:val="center"/>
          </w:tcPr>
          <w:p>
            <w:pPr>
              <w:spacing w:before="20" w:after="20"/>
            </w:pPr>
            <w:r>
              <w:rPr>
                <w:rFonts w:ascii="游ゴシック" w:hAnsi="游ゴシック" w:eastAsia="游ゴシック"/>
                <w:b w:val="0"/>
                <w:i w:val="0"/>
                <w:sz w:val="17"/>
              </w:rPr>
              <w:t>基本目標1　介護予防と生きがいづくりの推進</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基本目標2　安全・安心な暮らしの確保</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基本目標3　介護サービスの充実</w:t>
            </w:r>
          </w:p>
        </w:tc>
      </w:tr>
      <w:tr>
        <w:tc>
          <w:tcPr>
            <w:tcW w:type="dxa" w:w="4368"/>
            <w:vAlign w:val="center"/>
          </w:tcPr>
          <w:p>
            <w:pPr>
              <w:spacing w:before="20" w:after="20"/>
            </w:pPr>
            <w:r>
              <w:rPr>
                <w:rFonts w:ascii="游ゴシック" w:hAnsi="游ゴシック" w:eastAsia="游ゴシック"/>
                <w:b w:val="0"/>
                <w:i w:val="0"/>
                <w:sz w:val="17"/>
              </w:rPr>
              <w:t>第6章　介護保険事業等の見込み</w:t>
            </w:r>
          </w:p>
        </w:tc>
        <w:tc>
          <w:tcPr>
            <w:tcW w:type="dxa" w:w="5383"/>
            <w:vAlign w:val="center"/>
          </w:tcPr>
          <w:p>
            <w:pPr>
              <w:spacing w:before="20" w:after="20"/>
            </w:pPr>
            <w:r>
              <w:rPr>
                <w:rFonts w:ascii="游ゴシック" w:hAnsi="游ゴシック" w:eastAsia="游ゴシック"/>
                <w:b w:val="0"/>
                <w:i w:val="0"/>
                <w:sz w:val="17"/>
              </w:rPr>
              <w:t>1　要介護認定者数の見込み</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2　介護給付等サービスの見込量</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3　介護保険サービス事業費の見込み</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4　地域支援事業の見込量と事業費</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5　第1号被保険者の保険料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6　人材の供給制約からみた見込量の妥当性</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7　見える化システムによる算定との突合</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8　介護施設等の整備の基本方針と必要利用定員総数</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9　老人福祉事業の量の目標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10　低所得者支援</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11　中長期の見通し（令和22年・令和32年）</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12　将来に向けたサービス提供体制の確保に関する施策</w:t>
            </w:r>
          </w:p>
        </w:tc>
      </w:tr>
      <w:tr>
        <w:tc>
          <w:tcPr>
            <w:tcW w:type="dxa" w:w="4368"/>
            <w:vAlign w:val="center"/>
          </w:tcPr>
          <w:p>
            <w:pPr>
              <w:spacing w:before="20" w:after="20"/>
            </w:pPr>
            <w:r>
              <w:rPr>
                <w:rFonts w:ascii="游ゴシック" w:hAnsi="游ゴシック" w:eastAsia="游ゴシック"/>
                <w:b w:val="0"/>
                <w:i w:val="0"/>
                <w:sz w:val="17"/>
              </w:rPr>
              <w:t>資料編</w:t>
            </w:r>
          </w:p>
        </w:tc>
        <w:tc>
          <w:tcPr>
            <w:tcW w:type="dxa" w:w="5383"/>
            <w:vAlign w:val="center"/>
          </w:tcPr>
          <w:p>
            <w:pPr>
              <w:spacing w:before="20" w:after="20"/>
            </w:pPr>
            <w:r>
              <w:rPr>
                <w:rFonts w:ascii="游ゴシック" w:hAnsi="游ゴシック" w:eastAsia="游ゴシック"/>
                <w:b w:val="0"/>
                <w:i w:val="0"/>
                <w:sz w:val="17"/>
              </w:rPr>
              <w:t>8　成果指標の定義</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9　年次評価の様式</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10　施策の見直しの基準</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11　主な参照資料</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12　地域分析の指標（国の基本指針の案の別表1）</w:t>
            </w:r>
          </w:p>
        </w:tc>
      </w:tr>
      <w:tr>
        <w:tc>
          <w:tcPr>
            <w:tcW w:type="dxa" w:w="4368"/>
            <w:vAlign w:val="center"/>
          </w:tcPr>
          <w:p>
            <w:pPr>
              <w:spacing w:before="20" w:after="20"/>
            </w:pPr>
          </w:p>
        </w:tc>
        <w:tc>
          <w:tcPr>
            <w:tcW w:type="dxa" w:w="5383"/>
            <w:vAlign w:val="center"/>
          </w:tcPr>
          <w:p>
            <w:pPr>
              <w:spacing w:before="20" w:after="20"/>
            </w:pPr>
            <w:r>
              <w:rPr>
                <w:rFonts w:ascii="游ゴシック" w:hAnsi="游ゴシック" w:eastAsia="游ゴシック"/>
                <w:b w:val="0"/>
                <w:i w:val="0"/>
                <w:sz w:val="17"/>
              </w:rPr>
              <w:t>13　図表番号一覧</w:t>
            </w:r>
          </w:p>
        </w:tc>
      </w:tr>
    </w:tbl>
    <w:p>
      <w:pPr>
        <w:spacing w:after="40"/>
      </w:pPr>
    </w:p>
    <w:p>
      <w:pPr>
        <w:spacing w:before="40" w:after="160"/>
        <w:ind w:left="113"/>
      </w:pPr>
      <w:r>
        <w:rPr>
          <w:rFonts w:ascii="游ゴシック" w:hAnsi="游ゴシック" w:eastAsia="游ゴシック"/>
          <w:b w:val="0"/>
          <w:i w:val="0"/>
          <w:sz w:val="17"/>
        </w:rPr>
        <w:t>※ 出所：小野町高齢者保健福祉計画_第10期介護保険事業計画_素案_第15版_20261021.docx。章7・節43。</w:t>
      </w:r>
      <w:r>
        <w:rPr>
          <w:rFonts w:ascii="游ゴシック" w:hAnsi="游ゴシック" w:eastAsia="游ゴシック"/>
          <w:b/>
          <w:i w:val="0"/>
          <w:sz w:val="17"/>
        </w:rPr>
        <w:t>第9期計画は5章構成で、第10期は6章構成としています。</w:t>
      </w:r>
      <w:r>
        <w:rPr>
          <w:rFonts w:ascii="游ゴシック" w:hAnsi="游ゴシック" w:eastAsia="游ゴシック"/>
          <w:b w:val="0"/>
          <w:i w:val="0"/>
          <w:sz w:val="17"/>
        </w:rPr>
        <w:t>第3章「第9期計画の実施状況と評価」と第6章「介護保険事業等の見込み」を独立させたことによるものです。</w:t>
      </w:r>
    </w:p>
    <w:p>
      <w:pPr>
        <w:pStyle w:val="Heading1"/>
        <w:keepNext/>
        <w:spacing w:before="240" w:after="100"/>
      </w:pPr>
      <w:bookmarkStart w:id="102" w:name="_Toc_002"/>
      <w:r>
        <w:rPr>
          <w:rFonts w:ascii="游ゴシック" w:hAnsi="游ゴシック" w:eastAsia="游ゴシック"/>
          <w:b/>
          <w:i w:val="0"/>
          <w:color w:val="2E74B5"/>
          <w:sz w:val="30"/>
        </w:rPr>
        <w:t>第2章　小野町の高齢者・介護等の状況</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90"/>
        <w:gridCol w:w="3068"/>
        <w:gridCol w:w="4393"/>
      </w:tblGrid>
      <w:tr>
        <w:tc>
          <w:tcPr>
            <w:tcW w:type="dxa" w:w="2290"/>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3068"/>
            <w:shd w:val="clear" w:fill="1F3864"/>
            <w:vAlign w:val="center"/>
          </w:tcPr>
          <w:p>
            <w:pPr>
              <w:spacing w:before="20" w:after="20"/>
              <w:jc w:val="center"/>
            </w:pPr>
            <w:r>
              <w:rPr>
                <w:rFonts w:ascii="游ゴシック" w:hAnsi="游ゴシック" w:eastAsia="游ゴシック"/>
                <w:b/>
                <w:i w:val="0"/>
                <w:color w:val="FFFFFF"/>
                <w:sz w:val="17"/>
              </w:rPr>
              <w:t>記載内容</w:t>
            </w:r>
          </w:p>
        </w:tc>
        <w:tc>
          <w:tcPr>
            <w:tcW w:type="dxa" w:w="4393"/>
            <w:shd w:val="clear" w:fill="1F3864"/>
            <w:vAlign w:val="center"/>
          </w:tcPr>
          <w:p>
            <w:pPr>
              <w:spacing w:before="20" w:after="20"/>
              <w:jc w:val="center"/>
            </w:pPr>
            <w:r>
              <w:rPr>
                <w:rFonts w:ascii="游ゴシック" w:hAnsi="游ゴシック" w:eastAsia="游ゴシック"/>
                <w:b/>
                <w:i w:val="0"/>
                <w:color w:val="FFFFFF"/>
                <w:sz w:val="17"/>
              </w:rPr>
              <w:t>現時点の状況</w:t>
            </w:r>
          </w:p>
        </w:tc>
      </w:tr>
      <w:tr>
        <w:tc>
          <w:tcPr>
            <w:tcW w:type="dxa" w:w="2290"/>
            <w:vAlign w:val="center"/>
          </w:tcPr>
          <w:p>
            <w:pPr>
              <w:spacing w:before="20" w:after="20"/>
            </w:pPr>
            <w:r>
              <w:rPr>
                <w:rFonts w:ascii="游ゴシック" w:hAnsi="游ゴシック" w:eastAsia="游ゴシック"/>
                <w:b w:val="0"/>
                <w:i w:val="0"/>
                <w:sz w:val="17"/>
              </w:rPr>
              <w:t>1　人口と世帯の状況</w:t>
            </w:r>
          </w:p>
        </w:tc>
        <w:tc>
          <w:tcPr>
            <w:tcW w:type="dxa" w:w="3068"/>
            <w:vAlign w:val="center"/>
          </w:tcPr>
          <w:p>
            <w:pPr>
              <w:spacing w:before="20" w:after="20"/>
            </w:pPr>
            <w:r>
              <w:rPr>
                <w:rFonts w:ascii="游ゴシック" w:hAnsi="游ゴシック" w:eastAsia="游ゴシック"/>
                <w:b w:val="0"/>
                <w:i w:val="0"/>
                <w:sz w:val="17"/>
              </w:rPr>
              <w:t>人口動態、高齢者のいる世帯の状況</w:t>
            </w:r>
          </w:p>
        </w:tc>
        <w:tc>
          <w:tcPr>
            <w:tcW w:type="dxa" w:w="4393"/>
            <w:vAlign w:val="center"/>
          </w:tcPr>
          <w:p>
            <w:pPr>
              <w:spacing w:before="20" w:after="20"/>
            </w:pPr>
            <w:r>
              <w:rPr>
                <w:rFonts w:ascii="游ゴシック" w:hAnsi="游ゴシック" w:eastAsia="游ゴシック"/>
                <w:b w:val="0"/>
                <w:i w:val="0"/>
                <w:sz w:val="17"/>
              </w:rPr>
              <w:t>取得済（令和32年まで推計。高齢独居世帯割合12.6％、高齢夫婦世帯割合10.3％）</w:t>
            </w:r>
          </w:p>
        </w:tc>
      </w:tr>
      <w:tr>
        <w:tc>
          <w:tcPr>
            <w:tcW w:type="dxa" w:w="2290"/>
            <w:vAlign w:val="center"/>
          </w:tcPr>
          <w:p>
            <w:pPr>
              <w:spacing w:before="20" w:after="20"/>
            </w:pPr>
            <w:r>
              <w:rPr>
                <w:rFonts w:ascii="游ゴシック" w:hAnsi="游ゴシック" w:eastAsia="游ゴシック"/>
                <w:b w:val="0"/>
                <w:i w:val="0"/>
                <w:sz w:val="17"/>
              </w:rPr>
              <w:t>2　令和7年度調査のまとめ</w:t>
            </w:r>
          </w:p>
        </w:tc>
        <w:tc>
          <w:tcPr>
            <w:tcW w:type="dxa" w:w="3068"/>
            <w:vAlign w:val="center"/>
          </w:tcPr>
          <w:p>
            <w:pPr>
              <w:spacing w:before="20" w:after="20"/>
            </w:pPr>
            <w:r>
              <w:rPr>
                <w:rFonts w:ascii="游ゴシック" w:hAnsi="游ゴシック" w:eastAsia="游ゴシック"/>
                <w:b w:val="0"/>
                <w:i w:val="0"/>
                <w:sz w:val="17"/>
              </w:rPr>
              <w:t>介護予防・日常生活圏域ニーズ調査、在宅介護実態調査の結果</w:t>
            </w:r>
          </w:p>
        </w:tc>
        <w:tc>
          <w:tcPr>
            <w:tcW w:type="dxa" w:w="4393"/>
            <w:vAlign w:val="center"/>
          </w:tcPr>
          <w:p>
            <w:pPr>
              <w:spacing w:before="20" w:after="20"/>
            </w:pPr>
            <w:r>
              <w:rPr>
                <w:rFonts w:ascii="游ゴシック" w:hAnsi="游ゴシック" w:eastAsia="游ゴシック"/>
                <w:b w:val="0"/>
                <w:i w:val="0"/>
                <w:sz w:val="17"/>
              </w:rPr>
              <w:t>反映済み（素案 第2章2）。個票によるクロス集計は個票の受領後</w:t>
            </w:r>
          </w:p>
        </w:tc>
      </w:tr>
      <w:tr>
        <w:tc>
          <w:tcPr>
            <w:tcW w:type="dxa" w:w="2290"/>
            <w:vAlign w:val="center"/>
          </w:tcPr>
          <w:p>
            <w:pPr>
              <w:spacing w:before="20" w:after="20"/>
            </w:pPr>
            <w:r>
              <w:rPr>
                <w:rFonts w:ascii="游ゴシック" w:hAnsi="游ゴシック" w:eastAsia="游ゴシック"/>
                <w:b w:val="0"/>
                <w:i w:val="0"/>
                <w:sz w:val="17"/>
              </w:rPr>
              <w:t>3　小野町の介護保険事業の状況</w:t>
            </w:r>
          </w:p>
        </w:tc>
        <w:tc>
          <w:tcPr>
            <w:tcW w:type="dxa" w:w="3068"/>
            <w:vAlign w:val="center"/>
          </w:tcPr>
          <w:p>
            <w:pPr>
              <w:spacing w:before="20" w:after="20"/>
            </w:pPr>
            <w:r>
              <w:rPr>
                <w:rFonts w:ascii="游ゴシック" w:hAnsi="游ゴシック" w:eastAsia="游ゴシック"/>
                <w:b w:val="0"/>
                <w:i w:val="0"/>
                <w:sz w:val="17"/>
              </w:rPr>
              <w:t>認定者数の推移、要介護度別の推移、サービス利用状況、介護給付の状況</w:t>
            </w:r>
          </w:p>
        </w:tc>
        <w:tc>
          <w:tcPr>
            <w:tcW w:type="dxa" w:w="4393"/>
            <w:vAlign w:val="center"/>
          </w:tcPr>
          <w:p>
            <w:pPr>
              <w:spacing w:before="20" w:after="20"/>
            </w:pPr>
            <w:r>
              <w:rPr>
                <w:rFonts w:ascii="游ゴシック" w:hAnsi="游ゴシック" w:eastAsia="游ゴシック"/>
                <w:b w:val="0"/>
                <w:i w:val="0"/>
                <w:sz w:val="17"/>
              </w:rPr>
              <w:t>取得済（介護保険事業状況報告 年報 令和3〜7年度、国保連合会業務統計表 月報）。令和8年3月末の認定者は792人（第1号783人）</w:t>
            </w:r>
          </w:p>
        </w:tc>
      </w:tr>
      <w:tr>
        <w:tc>
          <w:tcPr>
            <w:tcW w:type="dxa" w:w="2290"/>
            <w:vAlign w:val="center"/>
          </w:tcPr>
          <w:p>
            <w:pPr>
              <w:spacing w:before="20" w:after="20"/>
            </w:pPr>
            <w:r>
              <w:rPr>
                <w:rFonts w:ascii="游ゴシック" w:hAnsi="游ゴシック" w:eastAsia="游ゴシック"/>
                <w:b w:val="0"/>
                <w:i w:val="0"/>
                <w:sz w:val="17"/>
              </w:rPr>
              <w:t>4　介護保険財政の状況</w:t>
            </w:r>
          </w:p>
        </w:tc>
        <w:tc>
          <w:tcPr>
            <w:tcW w:type="dxa" w:w="3068"/>
            <w:vAlign w:val="center"/>
          </w:tcPr>
          <w:p>
            <w:pPr>
              <w:spacing w:before="20" w:after="20"/>
            </w:pPr>
            <w:r>
              <w:rPr>
                <w:rFonts w:ascii="游ゴシック" w:hAnsi="游ゴシック" w:eastAsia="游ゴシック"/>
                <w:b w:val="0"/>
                <w:i w:val="0"/>
                <w:sz w:val="17"/>
              </w:rPr>
              <w:t>歳入歳出、介護給付費準備基金、繰越金、保険料の推移</w:t>
            </w:r>
          </w:p>
        </w:tc>
        <w:tc>
          <w:tcPr>
            <w:tcW w:type="dxa" w:w="4393"/>
            <w:vAlign w:val="center"/>
          </w:tcPr>
          <w:p>
            <w:pPr>
              <w:spacing w:before="20" w:after="20"/>
            </w:pPr>
            <w:r>
              <w:rPr>
                <w:rFonts w:ascii="游ゴシック" w:hAnsi="游ゴシック" w:eastAsia="游ゴシック"/>
                <w:b w:val="0"/>
                <w:i w:val="0"/>
                <w:sz w:val="17"/>
              </w:rPr>
              <w:t>取得済（H26〜R5。繰越金182.0百万円は保険給付費の16.5％。基金残高120.0百万円（令和5年度末・町の財務書類））</w:t>
            </w:r>
          </w:p>
        </w:tc>
      </w:tr>
      <w:tr>
        <w:tc>
          <w:tcPr>
            <w:tcW w:type="dxa" w:w="2290"/>
            <w:vAlign w:val="center"/>
          </w:tcPr>
          <w:p>
            <w:pPr>
              <w:spacing w:before="20" w:after="20"/>
            </w:pPr>
            <w:r>
              <w:rPr>
                <w:rFonts w:ascii="游ゴシック" w:hAnsi="游ゴシック" w:eastAsia="游ゴシック"/>
                <w:b w:val="0"/>
                <w:i w:val="0"/>
                <w:sz w:val="17"/>
              </w:rPr>
              <w:t>5　サービス提供体制の状況</w:t>
            </w:r>
          </w:p>
        </w:tc>
        <w:tc>
          <w:tcPr>
            <w:tcW w:type="dxa" w:w="3068"/>
            <w:vAlign w:val="center"/>
          </w:tcPr>
          <w:p>
            <w:pPr>
              <w:spacing w:before="20" w:after="20"/>
            </w:pPr>
            <w:r>
              <w:rPr>
                <w:rFonts w:ascii="游ゴシック" w:hAnsi="游ゴシック" w:eastAsia="游ゴシック"/>
                <w:b w:val="0"/>
                <w:i w:val="0"/>
                <w:sz w:val="17"/>
              </w:rPr>
              <w:t>事業所数、入所定員、介護サービス自給率、県内・全国比較</w:t>
            </w:r>
          </w:p>
        </w:tc>
        <w:tc>
          <w:tcPr>
            <w:tcW w:type="dxa" w:w="4393"/>
            <w:vAlign w:val="center"/>
          </w:tcPr>
          <w:p>
            <w:pPr>
              <w:spacing w:before="20" w:after="20"/>
            </w:pPr>
            <w:r>
              <w:rPr>
                <w:rFonts w:ascii="游ゴシック" w:hAnsi="游ゴシック" w:eastAsia="游ゴシック"/>
                <w:b w:val="0"/>
                <w:i w:val="0"/>
                <w:sz w:val="17"/>
              </w:rPr>
              <w:t>取得済（施設定員112人、居住系98人、通所系191人。自給率67.57％で県内24位）</w:t>
            </w:r>
          </w:p>
        </w:tc>
      </w:tr>
      <w:tr>
        <w:tc>
          <w:tcPr>
            <w:tcW w:type="dxa" w:w="2290"/>
            <w:vAlign w:val="center"/>
          </w:tcPr>
          <w:p>
            <w:pPr>
              <w:keepNext/>
              <w:spacing w:before="20" w:after="20"/>
            </w:pPr>
            <w:r>
              <w:rPr>
                <w:rFonts w:ascii="游ゴシック" w:hAnsi="游ゴシック" w:eastAsia="游ゴシック"/>
                <w:b w:val="0"/>
                <w:i w:val="0"/>
                <w:sz w:val="17"/>
              </w:rPr>
              <w:t>6　高齢者数等の将来推計</w:t>
            </w:r>
          </w:p>
        </w:tc>
        <w:tc>
          <w:tcPr>
            <w:tcW w:type="dxa" w:w="3068"/>
            <w:vAlign w:val="center"/>
          </w:tcPr>
          <w:p>
            <w:pPr>
              <w:keepNext/>
              <w:spacing w:before="20" w:after="20"/>
            </w:pPr>
            <w:r>
              <w:rPr>
                <w:rFonts w:ascii="游ゴシック" w:hAnsi="游ゴシック" w:eastAsia="游ゴシック"/>
                <w:b w:val="0"/>
                <w:i w:val="0"/>
                <w:sz w:val="17"/>
              </w:rPr>
              <w:t>人口と高齢者数、被保険者数、要支援・要介護者数</w:t>
            </w:r>
          </w:p>
        </w:tc>
        <w:tc>
          <w:tcPr>
            <w:tcW w:type="dxa" w:w="4393"/>
            <w:vAlign w:val="center"/>
          </w:tcPr>
          <w:p>
            <w:pPr>
              <w:keepNext/>
              <w:spacing w:before="20" w:after="20"/>
            </w:pPr>
            <w:r>
              <w:rPr>
                <w:rFonts w:ascii="游ゴシック" w:hAnsi="游ゴシック" w:eastAsia="游ゴシック"/>
                <w:b w:val="0"/>
                <w:i w:val="0"/>
                <w:sz w:val="17"/>
              </w:rPr>
              <w:t>推計済み（第10期将来推計用推計人口×年齢階層別の認定率。素案 第6章1）</w:t>
            </w:r>
          </w:p>
        </w:tc>
      </w:tr>
      <w:tr>
        <w:tc>
          <w:tcPr>
            <w:tcW w:type="dxa" w:w="2290"/>
            <w:vAlign w:val="center"/>
          </w:tcPr>
          <w:p>
            <w:pPr>
              <w:spacing w:before="20" w:after="20"/>
            </w:pPr>
            <w:r>
              <w:rPr>
                <w:rFonts w:ascii="游ゴシック" w:hAnsi="游ゴシック" w:eastAsia="游ゴシック"/>
                <w:b w:val="0"/>
                <w:i w:val="0"/>
                <w:sz w:val="17"/>
              </w:rPr>
              <w:t>7　第10期計画における課題の整理</w:t>
            </w:r>
          </w:p>
        </w:tc>
        <w:tc>
          <w:tcPr>
            <w:tcW w:type="dxa" w:w="3068"/>
            <w:vAlign w:val="center"/>
          </w:tcPr>
          <w:p>
            <w:pPr>
              <w:spacing w:before="20" w:after="20"/>
            </w:pPr>
            <w:r>
              <w:rPr>
                <w:rFonts w:ascii="游ゴシック" w:hAnsi="游ゴシック" w:eastAsia="游ゴシック"/>
                <w:b w:val="0"/>
                <w:i w:val="0"/>
                <w:sz w:val="17"/>
              </w:rPr>
              <w:t>3つの基本目標に対応した課題</w:t>
            </w:r>
          </w:p>
        </w:tc>
        <w:tc>
          <w:tcPr>
            <w:tcW w:type="dxa" w:w="4393"/>
            <w:vAlign w:val="center"/>
          </w:tcPr>
          <w:p>
            <w:pPr>
              <w:spacing w:before="20" w:after="20"/>
            </w:pPr>
            <w:r>
              <w:rPr>
                <w:rFonts w:ascii="游ゴシック" w:hAnsi="游ゴシック" w:eastAsia="游ゴシック"/>
                <w:b w:val="0"/>
                <w:i w:val="0"/>
                <w:sz w:val="17"/>
              </w:rPr>
              <w:t>下記のとおり整理</w:t>
            </w:r>
          </w:p>
        </w:tc>
      </w:tr>
    </w:tbl>
    <w:p>
      <w:pPr>
        <w:spacing w:after="40"/>
      </w:pPr>
    </w:p>
    <w:p>
      <w:pPr>
        <w:spacing w:before="60" w:after="60"/>
      </w:pPr>
      <w:r>
        <w:rPr>
          <w:rFonts w:ascii="游ゴシック" w:hAnsi="游ゴシック" w:eastAsia="游ゴシック"/>
          <w:b w:val="0"/>
          <w:i w:val="0"/>
          <w:sz w:val="21"/>
        </w:rPr>
        <w:t>第9期の課題整理と、第10期での状況の変化：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3"/>
        <w:gridCol w:w="2780"/>
        <w:gridCol w:w="2917"/>
        <w:gridCol w:w="2341"/>
      </w:tblGrid>
      <w:tr>
        <w:tc>
          <w:tcPr>
            <w:tcW w:type="dxa" w:w="171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80"/>
            <w:shd w:val="clear" w:fill="1F3864"/>
            <w:vAlign w:val="center"/>
          </w:tcPr>
          <w:p>
            <w:pPr>
              <w:spacing w:before="20" w:after="20"/>
              <w:jc w:val="center"/>
            </w:pPr>
            <w:r>
              <w:rPr>
                <w:rFonts w:ascii="游ゴシック" w:hAnsi="游ゴシック" w:eastAsia="游ゴシック"/>
                <w:b/>
                <w:i w:val="0"/>
                <w:color w:val="FFFFFF"/>
                <w:sz w:val="17"/>
              </w:rPr>
              <w:t>第9期での課題（令和6年3月）</w:t>
            </w:r>
          </w:p>
        </w:tc>
        <w:tc>
          <w:tcPr>
            <w:tcW w:type="dxa" w:w="2917"/>
            <w:shd w:val="clear" w:fill="1F3864"/>
            <w:vAlign w:val="center"/>
          </w:tcPr>
          <w:p>
            <w:pPr>
              <w:spacing w:before="20" w:after="20"/>
              <w:jc w:val="center"/>
            </w:pPr>
            <w:r>
              <w:rPr>
                <w:rFonts w:ascii="游ゴシック" w:hAnsi="游ゴシック" w:eastAsia="游ゴシック"/>
                <w:b/>
                <w:i w:val="0"/>
                <w:color w:val="FFFFFF"/>
                <w:sz w:val="17"/>
              </w:rPr>
              <w:t>その後に判明した状況</w:t>
            </w:r>
          </w:p>
        </w:tc>
        <w:tc>
          <w:tcPr>
            <w:tcW w:type="dxa" w:w="2341"/>
            <w:shd w:val="clear" w:fill="1F3864"/>
            <w:vAlign w:val="center"/>
          </w:tcPr>
          <w:p>
            <w:pPr>
              <w:spacing w:before="20" w:after="20"/>
              <w:jc w:val="center"/>
            </w:pPr>
            <w:r>
              <w:rPr>
                <w:rFonts w:ascii="游ゴシック" w:hAnsi="游ゴシック" w:eastAsia="游ゴシック"/>
                <w:b/>
                <w:i w:val="0"/>
                <w:color w:val="FFFFFF"/>
                <w:sz w:val="17"/>
              </w:rPr>
              <w:t>第10期での扱い</w:t>
            </w:r>
          </w:p>
        </w:tc>
      </w:tr>
      <w:tr>
        <w:tc>
          <w:tcPr>
            <w:tcW w:type="dxa" w:w="1713"/>
            <w:vAlign w:val="center"/>
          </w:tcPr>
          <w:p>
            <w:pPr>
              <w:spacing w:before="20" w:after="20"/>
            </w:pPr>
            <w:r>
              <w:rPr>
                <w:rFonts w:ascii="游ゴシック" w:hAnsi="游ゴシック" w:eastAsia="游ゴシック"/>
                <w:b w:val="0"/>
                <w:i w:val="0"/>
                <w:sz w:val="17"/>
              </w:rPr>
              <w:t>1　介護予防・健康づくり・生きがいづくり</w:t>
            </w:r>
          </w:p>
        </w:tc>
        <w:tc>
          <w:tcPr>
            <w:tcW w:type="dxa" w:w="2780"/>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c>
          <w:tcPr>
            <w:tcW w:type="dxa" w:w="2917"/>
            <w:vAlign w:val="center"/>
          </w:tcPr>
          <w:p>
            <w:pPr>
              <w:spacing w:before="20" w:after="20"/>
            </w:pPr>
            <w:r>
              <w:rPr>
                <w:rFonts w:ascii="游ゴシック" w:hAnsi="游ゴシック" w:eastAsia="游ゴシック"/>
                <w:b w:val="0"/>
                <w:i w:val="0"/>
                <w:sz w:val="17"/>
              </w:rPr>
              <w:t>調整済み軽度認定率が10.6％→15.2％へ上昇。週1回以上の通いの場は平成28年度以降0か所。一般介護予防事業費は令和5年度で1.0百万円</w:t>
            </w:r>
          </w:p>
        </w:tc>
        <w:tc>
          <w:tcPr>
            <w:tcW w:type="dxa" w:w="2341"/>
            <w:vAlign w:val="center"/>
          </w:tcPr>
          <w:p>
            <w:pPr>
              <w:spacing w:before="20" w:after="20"/>
            </w:pPr>
            <w:r>
              <w:rPr>
                <w:rFonts w:ascii="游ゴシック" w:hAnsi="游ゴシック" w:eastAsia="游ゴシック"/>
                <w:b w:val="0"/>
                <w:i w:val="0"/>
                <w:sz w:val="17"/>
              </w:rPr>
              <w:t>課題は解消しておらず深刻化。通いの場の立ち上げを含め最重点とする</w:t>
            </w:r>
          </w:p>
        </w:tc>
      </w:tr>
      <w:tr>
        <w:tc>
          <w:tcPr>
            <w:tcW w:type="dxa" w:w="1713"/>
            <w:vAlign w:val="center"/>
          </w:tcPr>
          <w:p>
            <w:pPr>
              <w:keepNext/>
              <w:spacing w:before="20" w:after="20"/>
            </w:pPr>
            <w:r>
              <w:rPr>
                <w:rFonts w:ascii="游ゴシック" w:hAnsi="游ゴシック" w:eastAsia="游ゴシック"/>
                <w:b w:val="0"/>
                <w:i w:val="0"/>
                <w:sz w:val="17"/>
              </w:rPr>
              <w:t>2　安全・安心な暮らしの確保</w:t>
            </w:r>
          </w:p>
        </w:tc>
        <w:tc>
          <w:tcPr>
            <w:tcW w:type="dxa" w:w="2780"/>
            <w:vAlign w:val="center"/>
          </w:tcPr>
          <w:p>
            <w:pPr>
              <w:keepNext/>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c>
          <w:tcPr>
            <w:tcW w:type="dxa" w:w="2917"/>
            <w:vAlign w:val="center"/>
          </w:tcPr>
          <w:p>
            <w:pPr>
              <w:keepNext/>
              <w:spacing w:before="20" w:after="20"/>
            </w:pPr>
            <w:r>
              <w:rPr>
                <w:rFonts w:ascii="游ゴシック" w:hAnsi="游ゴシック" w:eastAsia="游ゴシック"/>
                <w:b w:val="0"/>
                <w:i w:val="0"/>
                <w:sz w:val="17"/>
              </w:rPr>
              <w:t>認知症高齢者自立度Ⅱaは68人→148人、Mは7人→29人。推進員は1人→4人に増員したが初期集中支援チームの訪問実績は0件</w:t>
            </w:r>
          </w:p>
        </w:tc>
        <w:tc>
          <w:tcPr>
            <w:tcW w:type="dxa" w:w="2341"/>
            <w:vAlign w:val="center"/>
          </w:tcPr>
          <w:p>
            <w:pPr>
              <w:keepNext/>
              <w:spacing w:before="20" w:after="20"/>
            </w:pPr>
            <w:r>
              <w:rPr>
                <w:rFonts w:ascii="游ゴシック" w:hAnsi="游ゴシック" w:eastAsia="游ゴシック"/>
                <w:b w:val="0"/>
                <w:i w:val="0"/>
                <w:sz w:val="17"/>
              </w:rPr>
              <w:t>認知症は継続して重点。ただし成年後見・虐待防止・災害対応は第3期地域福祉計画に移管（第4章3参照）</w:t>
            </w:r>
          </w:p>
        </w:tc>
      </w:tr>
      <w:tr>
        <w:tc>
          <w:tcPr>
            <w:tcW w:type="dxa" w:w="1713"/>
            <w:vAlign w:val="center"/>
          </w:tcPr>
          <w:p>
            <w:pPr>
              <w:spacing w:before="20" w:after="20"/>
            </w:pPr>
            <w:r>
              <w:rPr>
                <w:rFonts w:ascii="游ゴシック" w:hAnsi="游ゴシック" w:eastAsia="游ゴシック"/>
                <w:b w:val="0"/>
                <w:i w:val="0"/>
                <w:sz w:val="17"/>
              </w:rPr>
              <w:t>3　介護サービスの充実</w:t>
            </w:r>
          </w:p>
        </w:tc>
        <w:tc>
          <w:tcPr>
            <w:tcW w:type="dxa" w:w="2780"/>
            <w:vAlign w:val="center"/>
          </w:tcPr>
          <w:p>
            <w:pPr>
              <w:spacing w:before="20" w:after="20"/>
            </w:pPr>
            <w:r>
              <w:rPr>
                <w:rFonts w:ascii="游ゴシック" w:hAnsi="游ゴシック" w:eastAsia="游ゴシック"/>
                <w:b w:val="0"/>
                <w:i w:val="0"/>
                <w:sz w:val="17"/>
              </w:rPr>
              <w:t>働きながらの介護継続に8割以上が問題を抱える（難しい16.7％、問題はあるが何とか続けていける66.7％）。介護者自身の高齢化</w:t>
            </w:r>
          </w:p>
        </w:tc>
        <w:tc>
          <w:tcPr>
            <w:tcW w:type="dxa" w:w="2917"/>
            <w:vAlign w:val="center"/>
          </w:tcPr>
          <w:p>
            <w:pPr>
              <w:spacing w:before="20" w:after="20"/>
            </w:pPr>
            <w:r>
              <w:rPr>
                <w:rFonts w:ascii="游ゴシック" w:hAnsi="游ゴシック" w:eastAsia="游ゴシック"/>
                <w:b w:val="0"/>
                <w:i w:val="0"/>
                <w:sz w:val="17"/>
              </w:rPr>
              <w:t>在宅受給率が12.2％→10.3％、在宅サービス利用率が59.3％→44.1％へ低下。居宅介護支援事業所は5→3。認定率は県内でも高い方にあるが給付月額は県内中位</w:t>
            </w:r>
          </w:p>
        </w:tc>
        <w:tc>
          <w:tcPr>
            <w:tcW w:type="dxa" w:w="2341"/>
            <w:vAlign w:val="center"/>
          </w:tcPr>
          <w:p>
            <w:pPr>
              <w:spacing w:before="20" w:after="20"/>
            </w:pPr>
            <w:r>
              <w:rPr>
                <w:rFonts w:ascii="游ゴシック" w:hAnsi="游ゴシック" w:eastAsia="游ゴシック"/>
                <w:b w:val="0"/>
                <w:i w:val="0"/>
                <w:sz w:val="17"/>
              </w:rPr>
              <w:t>在宅サービスの利用低下と、認定と利用のギャップを新たな課題として追加</w:t>
            </w:r>
          </w:p>
        </w:tc>
      </w:tr>
    </w:tbl>
    <w:p>
      <w:pPr>
        <w:spacing w:after="40"/>
      </w:pPr>
    </w:p>
    <w:p>
      <w:pPr>
        <w:pStyle w:val="Heading1"/>
        <w:keepNext/>
        <w:spacing w:before="240" w:after="100"/>
      </w:pPr>
      <w:bookmarkStart w:id="103" w:name="_Toc_003"/>
      <w:r>
        <w:rPr>
          <w:rFonts w:ascii="游ゴシック" w:hAnsi="游ゴシック" w:eastAsia="游ゴシック"/>
          <w:b/>
          <w:i w:val="0"/>
          <w:color w:val="2E74B5"/>
          <w:sz w:val="30"/>
        </w:rPr>
        <w:t>第3章　第9期計画の実施状況と評価（要約）</w:t>
      </w:r>
      <w:bookmarkEnd w:id="103"/>
    </w:p>
    <w:p>
      <w:pPr>
        <w:spacing w:before="60" w:after="60"/>
      </w:pPr>
      <w:r>
        <w:rPr>
          <w:rFonts w:ascii="游ゴシック" w:hAnsi="游ゴシック" w:eastAsia="游ゴシック"/>
          <w:b/>
          <w:i w:val="0"/>
          <w:sz w:val="21"/>
        </w:rPr>
        <w:t>第9期の見込みと実績の対比は参考1のとおりです。</w:t>
      </w:r>
      <w:r>
        <w:rPr>
          <w:rFonts w:ascii="游ゴシック" w:hAnsi="游ゴシック" w:eastAsia="游ゴシック"/>
          <w:b w:val="0"/>
          <w:i w:val="0"/>
          <w:sz w:val="21"/>
        </w:rPr>
        <w:t xml:space="preserve"> 主な評価は次のとおりです（詳細は素案 第3章）。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4"/>
        <w:gridCol w:w="7297"/>
      </w:tblGrid>
      <w:tr>
        <w:tc>
          <w:tcPr>
            <w:tcW w:type="dxa" w:w="245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297"/>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2454"/>
            <w:vAlign w:val="center"/>
          </w:tcPr>
          <w:p>
            <w:pPr>
              <w:spacing w:before="20" w:after="20"/>
            </w:pPr>
            <w:r>
              <w:rPr>
                <w:rFonts w:ascii="游ゴシック" w:hAnsi="游ゴシック" w:eastAsia="游ゴシック"/>
                <w:b w:val="0"/>
                <w:i w:val="0"/>
                <w:sz w:val="17"/>
              </w:rPr>
              <w:t>給付費</w:t>
            </w:r>
          </w:p>
        </w:tc>
        <w:tc>
          <w:tcPr>
            <w:tcW w:type="dxa" w:w="7297"/>
            <w:vAlign w:val="center"/>
          </w:tcPr>
          <w:p>
            <w:pPr>
              <w:spacing w:before="20" w:after="20"/>
            </w:pPr>
            <w:r>
              <w:rPr>
                <w:rFonts w:ascii="游ゴシック" w:hAnsi="游ゴシック" w:eastAsia="游ゴシック"/>
                <w:b w:val="0"/>
                <w:i w:val="0"/>
                <w:sz w:val="17"/>
              </w:rPr>
              <w:t>第9期が見込んだ標準給付費をやや下回って推移している（素案 第3章）</w:t>
            </w:r>
          </w:p>
        </w:tc>
      </w:tr>
      <w:tr>
        <w:tc>
          <w:tcPr>
            <w:tcW w:type="dxa" w:w="2454"/>
            <w:vAlign w:val="center"/>
          </w:tcPr>
          <w:p>
            <w:pPr>
              <w:spacing w:before="20" w:after="20"/>
            </w:pPr>
            <w:r>
              <w:rPr>
                <w:rFonts w:ascii="游ゴシック" w:hAnsi="游ゴシック" w:eastAsia="游ゴシック"/>
                <w:b w:val="0"/>
                <w:i w:val="0"/>
                <w:sz w:val="17"/>
              </w:rPr>
              <w:t>介護給付費準備基金</w:t>
            </w:r>
          </w:p>
        </w:tc>
        <w:tc>
          <w:tcPr>
            <w:tcW w:type="dxa" w:w="7297"/>
            <w:vAlign w:val="center"/>
          </w:tcPr>
          <w:p>
            <w:pPr>
              <w:spacing w:before="20" w:after="20"/>
            </w:pPr>
            <w:r>
              <w:rPr>
                <w:rFonts w:ascii="游ゴシック" w:hAnsi="游ゴシック" w:eastAsia="游ゴシック"/>
                <w:b w:val="0"/>
                <w:i w:val="0"/>
                <w:sz w:val="17"/>
              </w:rPr>
              <w:t>第9期が見込んだ3,500万円の取崩しは行われていない。残高は令和5年度末120.0百万円（町の財務書類）、令和8年度末見込210.0百万円</w:t>
            </w:r>
          </w:p>
        </w:tc>
      </w:tr>
      <w:tr>
        <w:tc>
          <w:tcPr>
            <w:tcW w:type="dxa" w:w="2454"/>
            <w:vAlign w:val="center"/>
          </w:tcPr>
          <w:p>
            <w:pPr>
              <w:keepNext/>
              <w:spacing w:before="20" w:after="20"/>
            </w:pPr>
            <w:r>
              <w:rPr>
                <w:rFonts w:ascii="游ゴシック" w:hAnsi="游ゴシック" w:eastAsia="游ゴシック"/>
                <w:b w:val="0"/>
                <w:i w:val="0"/>
                <w:sz w:val="17"/>
              </w:rPr>
              <w:t>介護予防</w:t>
            </w:r>
          </w:p>
        </w:tc>
        <w:tc>
          <w:tcPr>
            <w:tcW w:type="dxa" w:w="7297"/>
            <w:vAlign w:val="center"/>
          </w:tcPr>
          <w:p>
            <w:pPr>
              <w:keepNext/>
              <w:spacing w:before="20" w:after="20"/>
            </w:pPr>
            <w:r>
              <w:rPr>
                <w:rFonts w:ascii="游ゴシック" w:hAnsi="游ゴシック" w:eastAsia="游ゴシック"/>
                <w:b w:val="0"/>
                <w:i w:val="0"/>
                <w:sz w:val="17"/>
              </w:rPr>
              <w:t>週1回以上の通いの場が平成28年度以降0か所。調整済み軽度認定率は上昇</w:t>
            </w:r>
          </w:p>
        </w:tc>
      </w:tr>
      <w:tr>
        <w:tc>
          <w:tcPr>
            <w:tcW w:type="dxa" w:w="2454"/>
            <w:vAlign w:val="center"/>
          </w:tcPr>
          <w:p>
            <w:pPr>
              <w:spacing w:before="20" w:after="20"/>
            </w:pPr>
            <w:r>
              <w:rPr>
                <w:rFonts w:ascii="游ゴシック" w:hAnsi="游ゴシック" w:eastAsia="游ゴシック"/>
                <w:b w:val="0"/>
                <w:i w:val="0"/>
                <w:sz w:val="17"/>
              </w:rPr>
              <w:t>在宅サービス</w:t>
            </w:r>
          </w:p>
        </w:tc>
        <w:tc>
          <w:tcPr>
            <w:tcW w:type="dxa" w:w="7297"/>
            <w:vAlign w:val="center"/>
          </w:tcPr>
          <w:p>
            <w:pPr>
              <w:spacing w:before="20" w:after="20"/>
            </w:pPr>
            <w:r>
              <w:rPr>
                <w:rFonts w:ascii="游ゴシック" w:hAnsi="游ゴシック" w:eastAsia="游ゴシック"/>
                <w:b w:val="0"/>
                <w:i w:val="0"/>
                <w:sz w:val="17"/>
              </w:rPr>
              <w:t>在宅受給率・在宅サービス利用率が低下し、認定と利用のギャップが広がっている</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第4章　計画の基本的考え方</w:t>
      </w:r>
      <w:bookmarkEnd w:id="104"/>
    </w:p>
    <w:p>
      <w:pPr>
        <w:pStyle w:val="Heading2"/>
        <w:keepNext/>
        <w:spacing w:before="180" w:after="100"/>
      </w:pPr>
      <w:bookmarkStart w:id="105" w:name="_Toc_005"/>
      <w:r>
        <w:rPr>
          <w:rFonts w:ascii="游ゴシック" w:hAnsi="游ゴシック" w:eastAsia="游ゴシック"/>
          <w:b/>
          <w:i w:val="0"/>
          <w:color w:val="2E74B5"/>
          <w:sz w:val="25"/>
        </w:rPr>
        <w:t>1　基本理念と基本目標</w:t>
      </w:r>
      <w:bookmarkEnd w:id="105"/>
    </w:p>
    <w:p>
      <w:pPr>
        <w:spacing w:before="60" w:after="60"/>
      </w:pPr>
      <w:r>
        <w:rPr>
          <w:rFonts w:ascii="游ゴシック" w:hAnsi="游ゴシック" w:eastAsia="游ゴシック"/>
          <w:b w:val="0"/>
          <w:i w:val="0"/>
          <w:sz w:val="21"/>
        </w:rPr>
        <w:t>第9期計画は、第8期の基本理念を踏襲し「健康で自分らしく暮らせるまち」を掲げ、3つの基本目標を設定しています。第10期もこれを継承することを基本とし、協議会で確認します。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29"/>
        <w:gridCol w:w="2143"/>
        <w:gridCol w:w="1976"/>
        <w:gridCol w:w="4102"/>
      </w:tblGrid>
      <w:tr>
        <w:tc>
          <w:tcPr>
            <w:tcW w:type="dxa" w:w="15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3"/>
            <w:shd w:val="clear" w:fill="1F3864"/>
            <w:vAlign w:val="center"/>
          </w:tcPr>
          <w:p>
            <w:pPr>
              <w:spacing w:before="20" w:after="20"/>
              <w:jc w:val="center"/>
            </w:pPr>
            <w:r>
              <w:rPr>
                <w:rFonts w:ascii="游ゴシック" w:hAnsi="游ゴシック" w:eastAsia="游ゴシック"/>
                <w:b/>
                <w:i w:val="0"/>
                <w:color w:val="FFFFFF"/>
                <w:sz w:val="17"/>
              </w:rPr>
              <w:t>第9期（令和6〜8年度）</w:t>
            </w:r>
          </w:p>
        </w:tc>
        <w:tc>
          <w:tcPr>
            <w:tcW w:type="dxa" w:w="1976"/>
            <w:shd w:val="clear" w:fill="1F3864"/>
            <w:vAlign w:val="center"/>
          </w:tcPr>
          <w:p>
            <w:pPr>
              <w:spacing w:before="20" w:after="20"/>
              <w:jc w:val="center"/>
            </w:pPr>
            <w:r>
              <w:rPr>
                <w:rFonts w:ascii="游ゴシック" w:hAnsi="游ゴシック" w:eastAsia="游ゴシック"/>
                <w:b/>
                <w:i w:val="0"/>
                <w:color w:val="FFFFFF"/>
                <w:sz w:val="17"/>
              </w:rPr>
              <w:t>第10期（案）</w:t>
            </w:r>
          </w:p>
        </w:tc>
        <w:tc>
          <w:tcPr>
            <w:tcW w:type="dxa" w:w="4102"/>
            <w:shd w:val="clear" w:fill="1F3864"/>
            <w:vAlign w:val="center"/>
          </w:tcPr>
          <w:p>
            <w:pPr>
              <w:spacing w:before="20" w:after="20"/>
              <w:jc w:val="center"/>
            </w:pPr>
            <w:r>
              <w:rPr>
                <w:rFonts w:ascii="游ゴシック" w:hAnsi="游ゴシック" w:eastAsia="游ゴシック"/>
                <w:b/>
                <w:i w:val="0"/>
                <w:color w:val="FFFFFF"/>
                <w:sz w:val="17"/>
              </w:rPr>
              <w:t>変更の考え方</w:t>
            </w:r>
          </w:p>
        </w:tc>
      </w:tr>
      <w:tr>
        <w:tc>
          <w:tcPr>
            <w:tcW w:type="dxa" w:w="1529"/>
            <w:vAlign w:val="center"/>
          </w:tcPr>
          <w:p>
            <w:pPr>
              <w:spacing w:before="20" w:after="20"/>
            </w:pPr>
            <w:r>
              <w:rPr>
                <w:rFonts w:ascii="游ゴシック" w:hAnsi="游ゴシック" w:eastAsia="游ゴシック"/>
                <w:b w:val="0"/>
                <w:i w:val="0"/>
                <w:sz w:val="17"/>
              </w:rPr>
              <w:t>基本理念</w:t>
            </w:r>
          </w:p>
        </w:tc>
        <w:tc>
          <w:tcPr>
            <w:tcW w:type="dxa" w:w="2143"/>
            <w:vAlign w:val="center"/>
          </w:tcPr>
          <w:p>
            <w:pPr>
              <w:spacing w:before="20" w:after="20"/>
            </w:pPr>
            <w:r>
              <w:rPr>
                <w:rFonts w:ascii="游ゴシック" w:hAnsi="游ゴシック" w:eastAsia="游ゴシック"/>
                <w:b w:val="0"/>
                <w:i w:val="0"/>
                <w:sz w:val="17"/>
              </w:rPr>
              <w:t>健康で自分らしく暮らせるまち</w:t>
            </w:r>
          </w:p>
        </w:tc>
        <w:tc>
          <w:tcPr>
            <w:tcW w:type="dxa" w:w="1976"/>
            <w:vAlign w:val="center"/>
          </w:tcPr>
          <w:p>
            <w:pPr>
              <w:spacing w:before="20" w:after="20"/>
            </w:pPr>
            <w:r>
              <w:rPr>
                <w:rFonts w:ascii="游ゴシック" w:hAnsi="游ゴシック" w:eastAsia="游ゴシック"/>
                <w:b w:val="0"/>
                <w:i w:val="0"/>
                <w:sz w:val="17"/>
              </w:rPr>
              <w:t>同左（継承）</w:t>
            </w:r>
          </w:p>
        </w:tc>
        <w:tc>
          <w:tcPr>
            <w:tcW w:type="dxa" w:w="4102"/>
            <w:vAlign w:val="center"/>
          </w:tcPr>
          <w:p>
            <w:pPr>
              <w:spacing w:before="20" w:after="20"/>
            </w:pPr>
            <w:r>
              <w:rPr>
                <w:rFonts w:ascii="游ゴシック" w:hAnsi="游ゴシック" w:eastAsia="游ゴシック"/>
                <w:b w:val="0"/>
                <w:i w:val="0"/>
                <w:sz w:val="17"/>
              </w:rPr>
              <w:t>第8期から第9期へ踏襲されており、第10期も継承するのが自然。協議会で確認する</w:t>
            </w:r>
          </w:p>
        </w:tc>
      </w:tr>
      <w:tr>
        <w:tc>
          <w:tcPr>
            <w:tcW w:type="dxa" w:w="1529"/>
            <w:vAlign w:val="center"/>
          </w:tcPr>
          <w:p>
            <w:pPr>
              <w:spacing w:before="20" w:after="20"/>
            </w:pPr>
            <w:r>
              <w:rPr>
                <w:rFonts w:ascii="游ゴシック" w:hAnsi="游ゴシック" w:eastAsia="游ゴシック"/>
                <w:b w:val="0"/>
                <w:i w:val="0"/>
                <w:sz w:val="17"/>
              </w:rPr>
              <w:t>基本目標1</w:t>
            </w:r>
          </w:p>
        </w:tc>
        <w:tc>
          <w:tcPr>
            <w:tcW w:type="dxa" w:w="2143"/>
            <w:vAlign w:val="center"/>
          </w:tcPr>
          <w:p>
            <w:pPr>
              <w:spacing w:before="20" w:after="20"/>
            </w:pPr>
            <w:r>
              <w:rPr>
                <w:rFonts w:ascii="游ゴシック" w:hAnsi="游ゴシック" w:eastAsia="游ゴシック"/>
                <w:b w:val="0"/>
                <w:i w:val="0"/>
                <w:sz w:val="17"/>
              </w:rPr>
              <w:t>介護予防と生きがいづくりの推進</w:t>
            </w:r>
          </w:p>
        </w:tc>
        <w:tc>
          <w:tcPr>
            <w:tcW w:type="dxa" w:w="1976"/>
            <w:vAlign w:val="center"/>
          </w:tcPr>
          <w:p>
            <w:pPr>
              <w:spacing w:before="20" w:after="20"/>
            </w:pPr>
            <w:r>
              <w:rPr>
                <w:rFonts w:ascii="游ゴシック" w:hAnsi="游ゴシック" w:eastAsia="游ゴシック"/>
                <w:b w:val="0"/>
                <w:i w:val="0"/>
                <w:sz w:val="17"/>
              </w:rPr>
              <w:t>同左（継承）</w:t>
            </w:r>
          </w:p>
        </w:tc>
        <w:tc>
          <w:tcPr>
            <w:tcW w:type="dxa" w:w="4102"/>
            <w:vAlign w:val="center"/>
          </w:tcPr>
          <w:p>
            <w:pPr>
              <w:spacing w:before="20" w:after="20"/>
            </w:pPr>
            <w:r>
              <w:rPr>
                <w:rFonts w:ascii="游ゴシック" w:hAnsi="游ゴシック" w:eastAsia="游ゴシック"/>
                <w:b w:val="0"/>
                <w:i w:val="0"/>
                <w:sz w:val="17"/>
              </w:rPr>
              <w:t>軽度認定率の上昇と通いの場の不振を踏まえ、内容を強化する</w:t>
            </w:r>
          </w:p>
        </w:tc>
      </w:tr>
      <w:tr>
        <w:tc>
          <w:tcPr>
            <w:tcW w:type="dxa" w:w="1529"/>
            <w:vAlign w:val="center"/>
          </w:tcPr>
          <w:p>
            <w:pPr>
              <w:keepNext/>
              <w:spacing w:before="20" w:after="20"/>
            </w:pPr>
            <w:r>
              <w:rPr>
                <w:rFonts w:ascii="游ゴシック" w:hAnsi="游ゴシック" w:eastAsia="游ゴシック"/>
                <w:b w:val="0"/>
                <w:i w:val="0"/>
                <w:sz w:val="17"/>
              </w:rPr>
              <w:t>基本目標2</w:t>
            </w:r>
          </w:p>
        </w:tc>
        <w:tc>
          <w:tcPr>
            <w:tcW w:type="dxa" w:w="2143"/>
            <w:vAlign w:val="center"/>
          </w:tcPr>
          <w:p>
            <w:pPr>
              <w:keepNext/>
              <w:spacing w:before="20" w:after="20"/>
            </w:pPr>
            <w:r>
              <w:rPr>
                <w:rFonts w:ascii="游ゴシック" w:hAnsi="游ゴシック" w:eastAsia="游ゴシック"/>
                <w:b w:val="0"/>
                <w:i w:val="0"/>
                <w:sz w:val="17"/>
              </w:rPr>
              <w:t>安全・安心な暮らしの確保</w:t>
            </w:r>
          </w:p>
        </w:tc>
        <w:tc>
          <w:tcPr>
            <w:tcW w:type="dxa" w:w="1976"/>
            <w:vAlign w:val="center"/>
          </w:tcPr>
          <w:p>
            <w:pPr>
              <w:keepNext/>
              <w:spacing w:before="20" w:after="20"/>
            </w:pPr>
            <w:r>
              <w:rPr>
                <w:rFonts w:ascii="游ゴシック" w:hAnsi="游ゴシック" w:eastAsia="游ゴシック"/>
                <w:b w:val="0"/>
                <w:i w:val="0"/>
                <w:sz w:val="17"/>
              </w:rPr>
              <w:t>同左（継承・施策を再編）</w:t>
            </w:r>
          </w:p>
        </w:tc>
        <w:tc>
          <w:tcPr>
            <w:tcW w:type="dxa" w:w="4102"/>
            <w:vAlign w:val="center"/>
          </w:tcPr>
          <w:p>
            <w:pPr>
              <w:keepNext/>
              <w:spacing w:before="20" w:after="20"/>
            </w:pPr>
            <w:r>
              <w:rPr>
                <w:rFonts w:ascii="游ゴシック" w:hAnsi="游ゴシック" w:eastAsia="游ゴシック"/>
                <w:b w:val="0"/>
                <w:i w:val="0"/>
                <w:sz w:val="17"/>
              </w:rPr>
              <w:t>成年後見制度の利用促進、高齢者虐待防止、災害・感染症対応は第3期地域福祉計画に移管し、本計画では連携して推進する形に改める</w:t>
            </w:r>
          </w:p>
        </w:tc>
      </w:tr>
      <w:tr>
        <w:tc>
          <w:tcPr>
            <w:tcW w:type="dxa" w:w="1529"/>
            <w:vAlign w:val="center"/>
          </w:tcPr>
          <w:p>
            <w:pPr>
              <w:spacing w:before="20" w:after="20"/>
            </w:pPr>
            <w:r>
              <w:rPr>
                <w:rFonts w:ascii="游ゴシック" w:hAnsi="游ゴシック" w:eastAsia="游ゴシック"/>
                <w:b w:val="0"/>
                <w:i w:val="0"/>
                <w:sz w:val="17"/>
              </w:rPr>
              <w:t>基本目標3</w:t>
            </w:r>
          </w:p>
        </w:tc>
        <w:tc>
          <w:tcPr>
            <w:tcW w:type="dxa" w:w="2143"/>
            <w:vAlign w:val="center"/>
          </w:tcPr>
          <w:p>
            <w:pPr>
              <w:spacing w:before="20" w:after="20"/>
            </w:pPr>
            <w:r>
              <w:rPr>
                <w:rFonts w:ascii="游ゴシック" w:hAnsi="游ゴシック" w:eastAsia="游ゴシック"/>
                <w:b w:val="0"/>
                <w:i w:val="0"/>
                <w:sz w:val="17"/>
              </w:rPr>
              <w:t>介護サービスの充実</w:t>
            </w:r>
          </w:p>
        </w:tc>
        <w:tc>
          <w:tcPr>
            <w:tcW w:type="dxa" w:w="1976"/>
            <w:vAlign w:val="center"/>
          </w:tcPr>
          <w:p>
            <w:pPr>
              <w:spacing w:before="20" w:after="20"/>
            </w:pPr>
            <w:r>
              <w:rPr>
                <w:rFonts w:ascii="游ゴシック" w:hAnsi="游ゴシック" w:eastAsia="游ゴシック"/>
                <w:b w:val="0"/>
                <w:i w:val="0"/>
                <w:sz w:val="17"/>
              </w:rPr>
              <w:t>同左（継承）</w:t>
            </w:r>
          </w:p>
        </w:tc>
        <w:tc>
          <w:tcPr>
            <w:tcW w:type="dxa" w:w="4102"/>
            <w:vAlign w:val="center"/>
          </w:tcPr>
          <w:p>
            <w:pPr>
              <w:spacing w:before="20" w:after="20"/>
            </w:pPr>
            <w:r>
              <w:rPr>
                <w:rFonts w:ascii="游ゴシック" w:hAnsi="游ゴシック" w:eastAsia="游ゴシック"/>
                <w:b w:val="0"/>
                <w:i w:val="0"/>
                <w:sz w:val="17"/>
              </w:rPr>
              <w:t>在宅サービスの利用低下と、認定と利用のギャップへの対応を加える</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2　計画の体系（第9期からの変更）</w:t>
      </w:r>
      <w:bookmarkEnd w:id="106"/>
    </w:p>
    <w:p>
      <w:pPr>
        <w:spacing w:before="60" w:after="60"/>
      </w:pPr>
      <w:r>
        <w:rPr>
          <w:rFonts w:ascii="游ゴシック" w:hAnsi="游ゴシック" w:eastAsia="游ゴシック"/>
          <w:b w:val="0"/>
          <w:i w:val="0"/>
          <w:sz w:val="21"/>
        </w:rPr>
        <w:t>第9期の施策体系（3基本目標・14施策）と、第10期の案は次のとおりです。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2073"/>
        <w:gridCol w:w="1659"/>
        <w:gridCol w:w="3989"/>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073"/>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59"/>
            <w:shd w:val="clear" w:fill="1F3864"/>
            <w:vAlign w:val="center"/>
          </w:tcPr>
          <w:p>
            <w:pPr>
              <w:spacing w:before="20" w:after="20"/>
              <w:jc w:val="center"/>
            </w:pPr>
            <w:r>
              <w:rPr>
                <w:rFonts w:ascii="游ゴシック" w:hAnsi="游ゴシック" w:eastAsia="游ゴシック"/>
                <w:b/>
                <w:i w:val="0"/>
                <w:color w:val="FFFFFF"/>
                <w:sz w:val="17"/>
              </w:rPr>
              <w:t>第10期（案）</w:t>
            </w:r>
          </w:p>
        </w:tc>
        <w:tc>
          <w:tcPr>
            <w:tcW w:type="dxa" w:w="3989"/>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0"/>
            <w:vAlign w:val="center"/>
          </w:tcPr>
          <w:p>
            <w:pPr>
              <w:spacing w:before="20" w:after="20"/>
            </w:pPr>
            <w:r>
              <w:rPr>
                <w:rFonts w:ascii="游ゴシック" w:hAnsi="游ゴシック" w:eastAsia="游ゴシック"/>
                <w:b w:val="0"/>
                <w:i w:val="0"/>
                <w:sz w:val="17"/>
              </w:rPr>
              <w:t>1 介護予防と生きがいづくりの推進</w:t>
            </w:r>
          </w:p>
        </w:tc>
        <w:tc>
          <w:tcPr>
            <w:tcW w:type="dxa" w:w="2073"/>
            <w:vAlign w:val="center"/>
          </w:tcPr>
          <w:p>
            <w:pPr>
              <w:spacing w:before="20" w:after="20"/>
            </w:pPr>
            <w:r>
              <w:rPr>
                <w:rFonts w:ascii="游ゴシック" w:hAnsi="游ゴシック" w:eastAsia="游ゴシック"/>
                <w:b w:val="0"/>
                <w:i w:val="0"/>
                <w:sz w:val="17"/>
              </w:rPr>
              <w:t>健康づくりの推進</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介護予防・日常生活支援総合事業の推進</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val="0"/>
                <w:i w:val="0"/>
                <w:sz w:val="17"/>
              </w:rPr>
              <w:t>通いの場が平成28年度以降0か所。立ち上げそのものを施策に位置づける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生きがいづくりと社会参加の推進</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r>
              <w:rPr>
                <w:rFonts w:ascii="游ゴシック" w:hAnsi="游ゴシック" w:eastAsia="游ゴシック"/>
                <w:b w:val="0"/>
                <w:i w:val="0"/>
                <w:sz w:val="17"/>
              </w:rPr>
              <w:t>2 安全・安心な暮らしの確保</w:t>
            </w:r>
          </w:p>
        </w:tc>
        <w:tc>
          <w:tcPr>
            <w:tcW w:type="dxa" w:w="2073"/>
            <w:vAlign w:val="center"/>
          </w:tcPr>
          <w:p>
            <w:pPr>
              <w:spacing w:before="20" w:after="20"/>
            </w:pPr>
            <w:r>
              <w:rPr>
                <w:rFonts w:ascii="游ゴシック" w:hAnsi="游ゴシック" w:eastAsia="游ゴシック"/>
                <w:b w:val="0"/>
                <w:i w:val="0"/>
                <w:sz w:val="17"/>
              </w:rPr>
              <w:t>地域の支え合いの支援</w:t>
            </w:r>
          </w:p>
        </w:tc>
        <w:tc>
          <w:tcPr>
            <w:tcW w:type="dxa" w:w="1659"/>
            <w:vAlign w:val="center"/>
          </w:tcPr>
          <w:p>
            <w:pPr>
              <w:spacing w:before="20" w:after="20"/>
            </w:pPr>
            <w:r>
              <w:rPr>
                <w:rFonts w:ascii="游ゴシック" w:hAnsi="游ゴシック" w:eastAsia="游ゴシック"/>
                <w:b/>
                <w:i w:val="0"/>
                <w:sz w:val="17"/>
              </w:rPr>
              <w:t>地域福祉計画と連携</w:t>
            </w:r>
          </w:p>
        </w:tc>
        <w:tc>
          <w:tcPr>
            <w:tcW w:type="dxa" w:w="3989"/>
            <w:vAlign w:val="center"/>
          </w:tcPr>
          <w:p>
            <w:pPr>
              <w:spacing w:before="20" w:after="20"/>
            </w:pPr>
            <w:r>
              <w:rPr>
                <w:rFonts w:ascii="游ゴシック" w:hAnsi="游ゴシック" w:eastAsia="游ゴシック"/>
                <w:b w:val="0"/>
                <w:i w:val="0"/>
                <w:sz w:val="17"/>
              </w:rPr>
              <w:t>地域福祉計画 基本目標2 推進施策3「地域福祉を支える体制の整備」と重複</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包括的支援事業・任意事業の推進</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val="0"/>
                <w:i w:val="0"/>
                <w:sz w:val="17"/>
              </w:rPr>
              <w:t>居宅介護支援事業所が5→3に減少。ケアマネジメント基盤の確保を明記する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成年後見制度の利用促進</w:t>
            </w:r>
          </w:p>
        </w:tc>
        <w:tc>
          <w:tcPr>
            <w:tcW w:type="dxa" w:w="1659"/>
            <w:vAlign w:val="center"/>
          </w:tcPr>
          <w:p>
            <w:pPr>
              <w:spacing w:before="20" w:after="20"/>
            </w:pPr>
            <w:r>
              <w:rPr>
                <w:rFonts w:ascii="游ゴシック" w:hAnsi="游ゴシック" w:eastAsia="游ゴシック"/>
                <w:b/>
                <w:i w:val="0"/>
                <w:sz w:val="17"/>
              </w:rPr>
              <w:t>地域福祉計画に移管</w:t>
            </w:r>
          </w:p>
        </w:tc>
        <w:tc>
          <w:tcPr>
            <w:tcW w:type="dxa" w:w="3989"/>
            <w:vAlign w:val="center"/>
          </w:tcPr>
          <w:p>
            <w:pPr>
              <w:spacing w:before="20" w:after="20"/>
            </w:pPr>
            <w:r>
              <w:rPr>
                <w:rFonts w:ascii="游ゴシック" w:hAnsi="游ゴシック" w:eastAsia="游ゴシック"/>
                <w:b w:val="0"/>
                <w:i w:val="0"/>
                <w:sz w:val="17"/>
              </w:rPr>
              <w:t>令和8年3月に第3期地域福祉計画が「小野町第1期成年後見制度利用促進基本計画」を一体的に策定。本計画では連携先として記載する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認知症施策の充実</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val="0"/>
                <w:i w:val="0"/>
                <w:sz w:val="17"/>
              </w:rPr>
              <w:t>認知症施策推進基本計画に基づく市町村計画として包含（仕様書2(3)）。ただし見守り部分は地域福祉計画と重複するため役割を整理する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高齢者虐待防止の推進</w:t>
            </w:r>
          </w:p>
        </w:tc>
        <w:tc>
          <w:tcPr>
            <w:tcW w:type="dxa" w:w="1659"/>
            <w:vAlign w:val="center"/>
          </w:tcPr>
          <w:p>
            <w:pPr>
              <w:spacing w:before="20" w:after="20"/>
            </w:pPr>
            <w:r>
              <w:rPr>
                <w:rFonts w:ascii="游ゴシック" w:hAnsi="游ゴシック" w:eastAsia="游ゴシック"/>
                <w:b/>
                <w:i w:val="0"/>
                <w:sz w:val="17"/>
              </w:rPr>
              <w:t>地域福祉計画と連携</w:t>
            </w:r>
          </w:p>
        </w:tc>
        <w:tc>
          <w:tcPr>
            <w:tcW w:type="dxa" w:w="3989"/>
            <w:vAlign w:val="center"/>
          </w:tcPr>
          <w:p>
            <w:pPr>
              <w:spacing w:before="20" w:after="20"/>
            </w:pPr>
            <w:r>
              <w:rPr>
                <w:rFonts w:ascii="游ゴシック" w:hAnsi="游ゴシック" w:eastAsia="游ゴシック"/>
                <w:b w:val="0"/>
                <w:i w:val="0"/>
                <w:sz w:val="17"/>
              </w:rPr>
              <w:t>地域福祉計画 基本目標3 推進施策3②「高齢者虐待問題への対応」と重複</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災害・感染症対応等の充実</w:t>
            </w:r>
          </w:p>
        </w:tc>
        <w:tc>
          <w:tcPr>
            <w:tcW w:type="dxa" w:w="1659"/>
            <w:vAlign w:val="center"/>
          </w:tcPr>
          <w:p>
            <w:pPr>
              <w:spacing w:before="20" w:after="20"/>
            </w:pPr>
            <w:r>
              <w:rPr>
                <w:rFonts w:ascii="游ゴシック" w:hAnsi="游ゴシック" w:eastAsia="游ゴシック"/>
                <w:b/>
                <w:i w:val="0"/>
                <w:sz w:val="17"/>
              </w:rPr>
              <w:t>地域福祉計画と連携</w:t>
            </w:r>
          </w:p>
        </w:tc>
        <w:tc>
          <w:tcPr>
            <w:tcW w:type="dxa" w:w="3989"/>
            <w:vAlign w:val="center"/>
          </w:tcPr>
          <w:p>
            <w:pPr>
              <w:spacing w:before="20" w:after="20"/>
            </w:pPr>
            <w:r>
              <w:rPr>
                <w:rFonts w:ascii="游ゴシック" w:hAnsi="游ゴシック" w:eastAsia="游ゴシック"/>
                <w:b w:val="0"/>
                <w:i w:val="0"/>
                <w:sz w:val="17"/>
              </w:rPr>
              <w:t>地域福祉計画 基本目標3 推進施策2③「災害と感染症等の発生時への対応」と重複。本計画では避難行動要支援者・個別避難計画に絞る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多様な生活支援の充実</w:t>
            </w:r>
          </w:p>
        </w:tc>
        <w:tc>
          <w:tcPr>
            <w:tcW w:type="dxa" w:w="1659"/>
            <w:vAlign w:val="center"/>
          </w:tcPr>
          <w:p>
            <w:pPr>
              <w:spacing w:before="20" w:after="20"/>
            </w:pPr>
            <w:r>
              <w:rPr>
                <w:rFonts w:ascii="游ゴシック" w:hAnsi="游ゴシック" w:eastAsia="游ゴシック"/>
                <w:b w:val="0"/>
                <w:i w:val="0"/>
                <w:sz w:val="17"/>
              </w:rPr>
              <w:t>継承（一部連携）</w:t>
            </w:r>
          </w:p>
        </w:tc>
        <w:tc>
          <w:tcPr>
            <w:tcW w:type="dxa" w:w="3989"/>
            <w:vAlign w:val="center"/>
          </w:tcPr>
          <w:p>
            <w:pPr>
              <w:spacing w:before="20" w:after="20"/>
            </w:pPr>
            <w:r>
              <w:rPr>
                <w:rFonts w:ascii="游ゴシック" w:hAnsi="游ゴシック" w:eastAsia="游ゴシック"/>
                <w:b w:val="0"/>
                <w:i w:val="0"/>
                <w:sz w:val="17"/>
              </w:rPr>
              <w:t>生活基盤の確保・交通利便性の向上は地域福祉計画及び地域公共交通計画と接続。福祉サービスの充実は本計画で具体化</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介護人材の確保とサービスの質の向上</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r>
              <w:rPr>
                <w:rFonts w:ascii="游ゴシック" w:hAnsi="游ゴシック" w:eastAsia="游ゴシック"/>
                <w:b w:val="0"/>
                <w:i w:val="0"/>
                <w:sz w:val="17"/>
              </w:rPr>
              <w:t>3 介護サービスの充実</w:t>
            </w:r>
          </w:p>
        </w:tc>
        <w:tc>
          <w:tcPr>
            <w:tcW w:type="dxa" w:w="2073"/>
            <w:vAlign w:val="center"/>
          </w:tcPr>
          <w:p>
            <w:pPr>
              <w:spacing w:before="20" w:after="20"/>
            </w:pPr>
            <w:r>
              <w:rPr>
                <w:rFonts w:ascii="游ゴシック" w:hAnsi="游ゴシック" w:eastAsia="游ゴシック"/>
                <w:b w:val="0"/>
                <w:i w:val="0"/>
                <w:sz w:val="17"/>
              </w:rPr>
              <w:t>自立支援・重度化防止に向けた取り組み</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介護保険サービス等の充実</w:t>
            </w:r>
          </w:p>
        </w:tc>
        <w:tc>
          <w:tcPr>
            <w:tcW w:type="dxa" w:w="1659"/>
            <w:vAlign w:val="center"/>
          </w:tcPr>
          <w:p>
            <w:pPr>
              <w:spacing w:before="20" w:after="20"/>
            </w:pPr>
            <w:r>
              <w:rPr>
                <w:rFonts w:ascii="游ゴシック" w:hAnsi="游ゴシック" w:eastAsia="游ゴシック"/>
                <w:b w:val="0"/>
                <w:i w:val="0"/>
                <w:sz w:val="17"/>
              </w:rPr>
              <w:t>継承（強化）</w:t>
            </w:r>
          </w:p>
        </w:tc>
        <w:tc>
          <w:tcPr>
            <w:tcW w:type="dxa" w:w="3989"/>
            <w:vAlign w:val="center"/>
          </w:tcPr>
          <w:p>
            <w:pPr>
              <w:spacing w:before="20" w:after="20"/>
            </w:pPr>
            <w:r>
              <w:rPr>
                <w:rFonts w:ascii="游ゴシック" w:hAnsi="游ゴシック" w:eastAsia="游ゴシック"/>
                <w:b/>
                <w:i w:val="0"/>
                <w:sz w:val="17"/>
              </w:rPr>
              <w:t>「認定と利用をつなぐ支援」を新設</w:t>
            </w:r>
            <w:r>
              <w:rPr>
                <w:rFonts w:ascii="游ゴシック" w:hAnsi="游ゴシック" w:eastAsia="游ゴシック"/>
                <w:b w:val="0"/>
                <w:i w:val="0"/>
                <w:sz w:val="17"/>
              </w:rPr>
              <w:t>。認定率は県内でも高い方にあるが給付月額は県内中位であり、認定を受けてもサービス利用に至っていない層への対応を施策化する</w:t>
            </w:r>
          </w:p>
        </w:tc>
      </w:tr>
      <w:tr>
        <w:tc>
          <w:tcPr>
            <w:tcW w:type="dxa" w:w="2030"/>
            <w:vAlign w:val="center"/>
          </w:tcPr>
          <w:p>
            <w:pPr>
              <w:spacing w:before="20" w:after="20"/>
            </w:pPr>
          </w:p>
        </w:tc>
        <w:tc>
          <w:tcPr>
            <w:tcW w:type="dxa" w:w="2073"/>
            <w:vAlign w:val="center"/>
          </w:tcPr>
          <w:p>
            <w:pPr>
              <w:spacing w:before="20" w:after="20"/>
            </w:pPr>
            <w:r>
              <w:rPr>
                <w:rFonts w:ascii="游ゴシック" w:hAnsi="游ゴシック" w:eastAsia="游ゴシック"/>
                <w:b w:val="0"/>
                <w:i w:val="0"/>
                <w:sz w:val="17"/>
              </w:rPr>
              <w:t>介護サービスの見込みと保険料</w:t>
            </w:r>
          </w:p>
        </w:tc>
        <w:tc>
          <w:tcPr>
            <w:tcW w:type="dxa" w:w="1659"/>
            <w:vAlign w:val="center"/>
          </w:tcPr>
          <w:p>
            <w:pPr>
              <w:spacing w:before="20" w:after="20"/>
            </w:pPr>
            <w:r>
              <w:rPr>
                <w:rFonts w:ascii="游ゴシック" w:hAnsi="游ゴシック" w:eastAsia="游ゴシック"/>
                <w:b w:val="0"/>
                <w:i w:val="0"/>
                <w:sz w:val="17"/>
              </w:rPr>
              <w:t>継承</w:t>
            </w:r>
          </w:p>
        </w:tc>
        <w:tc>
          <w:tcPr>
            <w:tcW w:type="dxa" w:w="3989"/>
            <w:vAlign w:val="center"/>
          </w:tcPr>
          <w:p>
            <w:pPr>
              <w:spacing w:before="20" w:after="20"/>
            </w:pPr>
            <w:r>
              <w:rPr>
                <w:rFonts w:ascii="游ゴシック" w:hAnsi="游ゴシック" w:eastAsia="游ゴシック"/>
                <w:b w:val="0"/>
                <w:i w:val="0"/>
                <w:sz w:val="17"/>
              </w:rPr>
              <w:t>―</w:t>
            </w:r>
          </w:p>
        </w:tc>
      </w:tr>
    </w:tbl>
    <w:p>
      <w:pPr>
        <w:spacing w:after="40"/>
      </w:pPr>
    </w:p>
    <w:p>
      <w:pPr>
        <w:pStyle w:val="Heading2"/>
        <w:keepNext/>
        <w:spacing w:before="180" w:after="100"/>
      </w:pPr>
      <w:bookmarkStart w:id="107" w:name="_Toc_007"/>
      <w:r>
        <w:rPr>
          <w:rFonts w:ascii="游ゴシック" w:hAnsi="游ゴシック" w:eastAsia="游ゴシック"/>
          <w:b/>
          <w:i w:val="0"/>
          <w:color w:val="2E74B5"/>
          <w:sz w:val="25"/>
        </w:rPr>
        <w:t>3　関連計画との役割分担（施策の精査）</w:t>
      </w:r>
      <w:bookmarkEnd w:id="107"/>
    </w:p>
    <w:p>
      <w:pPr>
        <w:spacing w:before="60" w:after="60"/>
      </w:pPr>
      <w:r>
        <w:rPr>
          <w:rFonts w:ascii="游ゴシック" w:hAnsi="游ゴシック" w:eastAsia="游ゴシック"/>
          <w:b w:val="0"/>
          <w:i w:val="0"/>
          <w:sz w:val="21"/>
        </w:rPr>
        <w:t>第3期地域福祉計画（令和8年3月策定、令和8〜12年度）が、福祉分野の最上位計画として横断的な施策を整理しています。第9期高齢者計画の基本目標2の8施策のうち5施策が同計画と重複するため、役割分担を明確に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50"/>
        <w:gridCol w:w="3733"/>
        <w:gridCol w:w="3767"/>
      </w:tblGrid>
      <w:tr>
        <w:tc>
          <w:tcPr>
            <w:tcW w:type="dxa" w:w="2250"/>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33"/>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第10期での扱い</w:t>
            </w:r>
          </w:p>
        </w:tc>
      </w:tr>
      <w:tr>
        <w:tc>
          <w:tcPr>
            <w:tcW w:type="dxa" w:w="2250"/>
            <w:vAlign w:val="center"/>
          </w:tcPr>
          <w:p>
            <w:pPr>
              <w:spacing w:before="20" w:after="20"/>
            </w:pPr>
            <w:r>
              <w:rPr>
                <w:rFonts w:ascii="游ゴシック" w:hAnsi="游ゴシック" w:eastAsia="游ゴシック"/>
                <w:b w:val="0"/>
                <w:i w:val="0"/>
                <w:sz w:val="17"/>
              </w:rPr>
              <w:t>成年後見制度の利用促進</w:t>
            </w:r>
          </w:p>
        </w:tc>
        <w:tc>
          <w:tcPr>
            <w:tcW w:type="dxa" w:w="3733"/>
            <w:vAlign w:val="center"/>
          </w:tcPr>
          <w:p>
            <w:pPr>
              <w:spacing w:before="20" w:after="20"/>
            </w:pPr>
            <w:r>
              <w:rPr>
                <w:rFonts w:ascii="游ゴシック" w:hAnsi="游ゴシック" w:eastAsia="游ゴシック"/>
                <w:b/>
                <w:i w:val="0"/>
                <w:sz w:val="17"/>
              </w:rPr>
              <w:t>第5章「小野町第1期成年後見制度利用促進基本計画」（一体策定）</w:t>
            </w:r>
          </w:p>
        </w:tc>
        <w:tc>
          <w:tcPr>
            <w:tcW w:type="dxa" w:w="376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50"/>
            <w:vAlign w:val="center"/>
          </w:tcPr>
          <w:p>
            <w:pPr>
              <w:spacing w:before="20" w:after="20"/>
            </w:pPr>
            <w:r>
              <w:rPr>
                <w:rFonts w:ascii="游ゴシック" w:hAnsi="游ゴシック" w:eastAsia="游ゴシック"/>
                <w:b w:val="0"/>
                <w:i w:val="0"/>
                <w:sz w:val="17"/>
              </w:rPr>
              <w:t>高齢者虐待防止の推進</w:t>
            </w:r>
          </w:p>
        </w:tc>
        <w:tc>
          <w:tcPr>
            <w:tcW w:type="dxa" w:w="3733"/>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76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50"/>
            <w:vAlign w:val="center"/>
          </w:tcPr>
          <w:p>
            <w:pPr>
              <w:spacing w:before="20" w:after="20"/>
            </w:pPr>
            <w:r>
              <w:rPr>
                <w:rFonts w:ascii="游ゴシック" w:hAnsi="游ゴシック" w:eastAsia="游ゴシック"/>
                <w:b w:val="0"/>
                <w:i w:val="0"/>
                <w:sz w:val="17"/>
              </w:rPr>
              <w:t>災害・感染症対応等の充実</w:t>
            </w:r>
          </w:p>
        </w:tc>
        <w:tc>
          <w:tcPr>
            <w:tcW w:type="dxa" w:w="3733"/>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76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50"/>
            <w:vAlign w:val="center"/>
          </w:tcPr>
          <w:p>
            <w:pPr>
              <w:spacing w:before="20" w:after="20"/>
            </w:pPr>
            <w:r>
              <w:rPr>
                <w:rFonts w:ascii="游ゴシック" w:hAnsi="游ゴシック" w:eastAsia="游ゴシック"/>
                <w:b w:val="0"/>
                <w:i w:val="0"/>
                <w:sz w:val="17"/>
              </w:rPr>
              <w:t>地域の支え合いの支援</w:t>
            </w:r>
          </w:p>
        </w:tc>
        <w:tc>
          <w:tcPr>
            <w:tcW w:type="dxa" w:w="3733"/>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76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50"/>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33"/>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76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250"/>
            <w:vAlign w:val="center"/>
          </w:tcPr>
          <w:p>
            <w:pPr>
              <w:spacing w:before="20" w:after="20"/>
            </w:pPr>
            <w:r>
              <w:rPr>
                <w:rFonts w:ascii="游ゴシック" w:hAnsi="游ゴシック" w:eastAsia="游ゴシック"/>
                <w:b w:val="0"/>
                <w:i w:val="0"/>
                <w:sz w:val="17"/>
              </w:rPr>
              <w:t>認知症施策の充実（見守り部分）</w:t>
            </w:r>
          </w:p>
        </w:tc>
        <w:tc>
          <w:tcPr>
            <w:tcW w:type="dxa" w:w="3733"/>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76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。地域での見守りは地域福祉計画、初期集中支援・地域支援推進員・カフェ・医療連携は本計画</w:t>
            </w:r>
          </w:p>
        </w:tc>
      </w:tr>
    </w:tbl>
    <w:p>
      <w:pPr>
        <w:spacing w:after="40"/>
      </w:pPr>
    </w:p>
    <w:p>
      <w:pPr>
        <w:spacing w:before="60" w:after="60"/>
      </w:pPr>
      <w:r>
        <w:rPr>
          <w:rFonts w:ascii="游ゴシック" w:hAnsi="游ゴシック" w:eastAsia="游ゴシック"/>
          <w:b w:val="0"/>
          <w:i w:val="0"/>
          <w:sz w:val="21"/>
        </w:rPr>
        <w:t>一方、地域福祉計画にも高齢者に関する記載があり、本計画で具体化すべき事項は次のとおりです。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40"/>
        <w:gridCol w:w="4911"/>
      </w:tblGrid>
      <w:tr>
        <w:tc>
          <w:tcPr>
            <w:tcW w:type="dxa" w:w="4840"/>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4911"/>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840"/>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4911"/>
            <w:vAlign w:val="center"/>
          </w:tcPr>
          <w:p>
            <w:pPr>
              <w:spacing w:before="20" w:after="20"/>
            </w:pPr>
            <w:r>
              <w:rPr>
                <w:rFonts w:ascii="游ゴシック" w:hAnsi="游ゴシック" w:eastAsia="游ゴシック"/>
                <w:b w:val="0"/>
                <w:i w:val="0"/>
                <w:sz w:val="17"/>
              </w:rPr>
              <w:t>介護予防・日常生活支援総合事業、一般介護予防事業、介護予防ケアマネジメント</w:t>
            </w:r>
          </w:p>
        </w:tc>
      </w:tr>
      <w:tr>
        <w:tc>
          <w:tcPr>
            <w:tcW w:type="dxa" w:w="4840"/>
            <w:vAlign w:val="center"/>
          </w:tcPr>
          <w:p>
            <w:pPr>
              <w:keepNext/>
              <w:spacing w:before="20" w:after="20"/>
            </w:pPr>
            <w:r>
              <w:rPr>
                <w:rFonts w:ascii="游ゴシック" w:hAnsi="游ゴシック" w:eastAsia="游ゴシック"/>
                <w:b w:val="0"/>
                <w:i w:val="0"/>
                <w:sz w:val="17"/>
              </w:rPr>
              <w:t>基本目標2 推進施策2②　高齢者の介護マネジメント</w:t>
            </w:r>
          </w:p>
        </w:tc>
        <w:tc>
          <w:tcPr>
            <w:tcW w:type="dxa" w:w="4911"/>
            <w:vAlign w:val="center"/>
          </w:tcPr>
          <w:p>
            <w:pPr>
              <w:keepNext/>
              <w:spacing w:before="20" w:after="20"/>
            </w:pPr>
            <w:r>
              <w:rPr>
                <w:rFonts w:ascii="游ゴシック" w:hAnsi="游ゴシック" w:eastAsia="游ゴシック"/>
                <w:b w:val="0"/>
                <w:i w:val="0"/>
                <w:sz w:val="17"/>
              </w:rPr>
              <w:t>地域包括支援センターの体制強化、居宅介護支援事業所の確保、認定と利用をつなぐ支援</w:t>
            </w:r>
          </w:p>
        </w:tc>
      </w:tr>
      <w:tr>
        <w:tc>
          <w:tcPr>
            <w:tcW w:type="dxa" w:w="4840"/>
            <w:vAlign w:val="center"/>
          </w:tcPr>
          <w:p>
            <w:pPr>
              <w:spacing w:before="20" w:after="20"/>
            </w:pPr>
            <w:r>
              <w:rPr>
                <w:rFonts w:ascii="游ゴシック" w:hAnsi="游ゴシック" w:eastAsia="游ゴシック"/>
                <w:b w:val="0"/>
                <w:i w:val="0"/>
                <w:sz w:val="17"/>
              </w:rPr>
              <w:t>基本目標3 推進施策2①　ひとり暮らし高齢者等の緊急時への対応</w:t>
            </w:r>
          </w:p>
        </w:tc>
        <w:tc>
          <w:tcPr>
            <w:tcW w:type="dxa" w:w="4911"/>
            <w:vAlign w:val="center"/>
          </w:tcPr>
          <w:p>
            <w:pPr>
              <w:spacing w:before="20" w:after="20"/>
            </w:pPr>
            <w:r>
              <w:rPr>
                <w:rFonts w:ascii="游ゴシック" w:hAnsi="游ゴシック" w:eastAsia="游ゴシック"/>
                <w:b w:val="0"/>
                <w:i w:val="0"/>
                <w:sz w:val="17"/>
              </w:rPr>
              <w:t>緊急時の受入体制、短期入所、24時間対応の在宅サービス</w:t>
            </w:r>
          </w:p>
        </w:tc>
      </w:tr>
    </w:tbl>
    <w:p>
      <w:pPr>
        <w:spacing w:after="40"/>
      </w:pPr>
    </w:p>
    <w:p>
      <w:pPr>
        <w:spacing w:before="40" w:after="160"/>
        <w:ind w:left="113"/>
      </w:pPr>
      <w:r>
        <w:rPr>
          <w:rFonts w:ascii="游ゴシック" w:hAnsi="游ゴシック" w:eastAsia="游ゴシック"/>
          <w:b w:val="0"/>
          <w:i w:val="0"/>
          <w:sz w:val="17"/>
        </w:rPr>
        <w:t>※ この整理により、地域福祉計画との重複記載を避け、本計画は介護保険制度に基づく具体化（誰に、何を、どの体制で）に集中する構成とする。なお、第9期では成年後見制度の利用促進が基本目標2の施策として位置づけられていたが、その後に地域福祉計画が成年後見制度利用促進基本計画を一体策定したことによる変更である。</w:t>
      </w:r>
    </w:p>
    <w:p>
      <w:pPr>
        <w:pStyle w:val="Heading1"/>
        <w:keepNext/>
        <w:spacing w:before="240" w:after="100"/>
      </w:pPr>
      <w:bookmarkStart w:id="108" w:name="_Toc_008"/>
      <w:r>
        <w:rPr>
          <w:rFonts w:ascii="游ゴシック" w:hAnsi="游ゴシック" w:eastAsia="游ゴシック"/>
          <w:b/>
          <w:i w:val="0"/>
          <w:color w:val="2E74B5"/>
          <w:sz w:val="30"/>
        </w:rPr>
        <w:t>第5章　施策の展開</w:t>
      </w:r>
      <w:bookmarkEnd w:id="108"/>
    </w:p>
    <w:p>
      <w:pPr>
        <w:spacing w:before="60" w:after="60"/>
      </w:pPr>
      <w:r>
        <w:rPr>
          <w:rFonts w:ascii="游ゴシック" w:hAnsi="游ゴシック" w:eastAsia="游ゴシック"/>
          <w:b w:val="0"/>
          <w:i w:val="0"/>
          <w:sz w:val="21"/>
        </w:rPr>
        <w:t>基本目標ごとに、現状と課題、施策の方向、主な事業、財源区分、成果指標を記載します。成果指標の目標値は【データ待ち】です。</w:t>
      </w:r>
    </w:p>
    <w:p>
      <w:pPr>
        <w:pStyle w:val="Heading2"/>
        <w:keepNext/>
        <w:spacing w:before="180" w:after="100"/>
      </w:pPr>
      <w:bookmarkStart w:id="109" w:name="_Toc_009"/>
      <w:r>
        <w:rPr>
          <w:rFonts w:ascii="游ゴシック" w:hAnsi="游ゴシック" w:eastAsia="游ゴシック"/>
          <w:b/>
          <w:i w:val="0"/>
          <w:color w:val="2E74B5"/>
          <w:sz w:val="25"/>
        </w:rPr>
        <w:t>基本目標1　介護予防と生きがいづくりの推進</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99"/>
        <w:gridCol w:w="3208"/>
        <w:gridCol w:w="2022"/>
        <w:gridCol w:w="2621"/>
      </w:tblGrid>
      <w:tr>
        <w:tc>
          <w:tcPr>
            <w:tcW w:type="dxa" w:w="1899"/>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20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2022"/>
            <w:shd w:val="clear" w:fill="1F3864"/>
            <w:vAlign w:val="center"/>
          </w:tcPr>
          <w:p>
            <w:pPr>
              <w:spacing w:before="20" w:after="20"/>
              <w:jc w:val="center"/>
            </w:pPr>
            <w:r>
              <w:rPr>
                <w:rFonts w:ascii="游ゴシック" w:hAnsi="游ゴシック" w:eastAsia="游ゴシック"/>
                <w:b/>
                <w:i w:val="0"/>
                <w:color w:val="FFFFFF"/>
                <w:sz w:val="17"/>
              </w:rPr>
              <w:t>財源区分</w:t>
            </w:r>
          </w:p>
        </w:tc>
        <w:tc>
          <w:tcPr>
            <w:tcW w:type="dxa" w:w="2621"/>
            <w:shd w:val="clear" w:fill="1F3864"/>
            <w:vAlign w:val="center"/>
          </w:tcPr>
          <w:p>
            <w:pPr>
              <w:spacing w:before="20" w:after="20"/>
              <w:jc w:val="center"/>
            </w:pPr>
            <w:r>
              <w:rPr>
                <w:rFonts w:ascii="游ゴシック" w:hAnsi="游ゴシック" w:eastAsia="游ゴシック"/>
                <w:b/>
                <w:i w:val="0"/>
                <w:color w:val="FFFFFF"/>
                <w:sz w:val="17"/>
              </w:rPr>
              <w:t>成果指標（案）</w:t>
            </w:r>
          </w:p>
        </w:tc>
      </w:tr>
      <w:tr>
        <w:tc>
          <w:tcPr>
            <w:tcW w:type="dxa" w:w="1899"/>
            <w:vAlign w:val="center"/>
          </w:tcPr>
          <w:p>
            <w:pPr>
              <w:spacing w:before="20" w:after="20"/>
            </w:pPr>
            <w:r>
              <w:rPr>
                <w:rFonts w:ascii="游ゴシック" w:hAnsi="游ゴシック" w:eastAsia="游ゴシック"/>
                <w:b w:val="0"/>
                <w:i w:val="0"/>
                <w:sz w:val="17"/>
              </w:rPr>
              <w:t>1 健康づくりの推進</w:t>
            </w:r>
          </w:p>
        </w:tc>
        <w:tc>
          <w:tcPr>
            <w:tcW w:type="dxa" w:w="3208"/>
            <w:vAlign w:val="center"/>
          </w:tcPr>
          <w:p>
            <w:pPr>
              <w:spacing w:before="20" w:after="20"/>
            </w:pPr>
            <w:r>
              <w:rPr>
                <w:rFonts w:ascii="游ゴシック" w:hAnsi="游ゴシック" w:eastAsia="游ゴシック"/>
                <w:b w:val="0"/>
                <w:i w:val="0"/>
                <w:sz w:val="17"/>
              </w:rPr>
              <w:t>疾病の早期発見・治療（特定健診、後期高齢者健診、各種健診）、疾病予防と心身の健康づくり、高齢者の保健事業と介護予防の一体的実施、地域医療の強化</w:t>
            </w:r>
          </w:p>
        </w:tc>
        <w:tc>
          <w:tcPr>
            <w:tcW w:type="dxa" w:w="2022"/>
            <w:vAlign w:val="center"/>
          </w:tcPr>
          <w:p>
            <w:pPr>
              <w:spacing w:before="20" w:after="20"/>
            </w:pPr>
            <w:r>
              <w:rPr>
                <w:rFonts w:ascii="游ゴシック" w:hAnsi="游ゴシック" w:eastAsia="游ゴシック"/>
                <w:b w:val="0"/>
                <w:i w:val="0"/>
                <w:sz w:val="17"/>
              </w:rPr>
              <w:t>◎ 国保・後期高齢者医療の保健事業、地域支援事業</w:t>
            </w:r>
          </w:p>
        </w:tc>
        <w:tc>
          <w:tcPr>
            <w:tcW w:type="dxa" w:w="2621"/>
            <w:vAlign w:val="center"/>
          </w:tcPr>
          <w:p>
            <w:pPr>
              <w:spacing w:before="20" w:after="20"/>
            </w:pPr>
            <w:r>
              <w:rPr>
                <w:rFonts w:ascii="游ゴシック" w:hAnsi="游ゴシック" w:eastAsia="游ゴシック"/>
                <w:b w:val="0"/>
                <w:i w:val="0"/>
                <w:sz w:val="17"/>
              </w:rPr>
              <w:t>特定健診受診率、各種健診の受診率</w:t>
            </w:r>
          </w:p>
        </w:tc>
      </w:tr>
      <w:tr>
        <w:tc>
          <w:tcPr>
            <w:tcW w:type="dxa" w:w="1899"/>
            <w:vAlign w:val="center"/>
          </w:tcPr>
          <w:p>
            <w:pPr>
              <w:keepNext/>
              <w:spacing w:before="20" w:after="20"/>
            </w:pPr>
            <w:r>
              <w:rPr>
                <w:rFonts w:ascii="游ゴシック" w:hAnsi="游ゴシック" w:eastAsia="游ゴシック"/>
                <w:b w:val="0"/>
                <w:i w:val="0"/>
                <w:sz w:val="17"/>
              </w:rPr>
              <w:t>2 介護予防・日常生活支援総合事業の推進</w:t>
            </w:r>
          </w:p>
        </w:tc>
        <w:tc>
          <w:tcPr>
            <w:tcW w:type="dxa" w:w="3208"/>
            <w:vAlign w:val="center"/>
          </w:tcPr>
          <w:p>
            <w:pPr>
              <w:keepNext/>
              <w:spacing w:before="20" w:after="20"/>
            </w:pPr>
            <w:r>
              <w:rPr>
                <w:rFonts w:ascii="游ゴシック" w:hAnsi="游ゴシック" w:eastAsia="游ゴシック"/>
                <w:b w:val="0"/>
                <w:i w:val="0"/>
                <w:sz w:val="17"/>
              </w:rPr>
              <w:t>介護予防・生活支援サービス事業（訪問型・通所型）、一般介護予防事業、</w:t>
            </w:r>
            <w:r>
              <w:rPr>
                <w:rFonts w:ascii="游ゴシック" w:hAnsi="游ゴシック" w:eastAsia="游ゴシック"/>
                <w:b/>
                <w:i w:val="0"/>
                <w:sz w:val="17"/>
              </w:rPr>
              <w:t>通いの場の立ち上げと定着</w:t>
            </w:r>
            <w:r>
              <w:rPr>
                <w:rFonts w:ascii="游ゴシック" w:hAnsi="游ゴシック" w:eastAsia="游ゴシック"/>
                <w:b w:val="0"/>
                <w:i w:val="0"/>
                <w:sz w:val="17"/>
              </w:rPr>
              <w:t>、介護予防ケアマネジメント</w:t>
            </w:r>
          </w:p>
        </w:tc>
        <w:tc>
          <w:tcPr>
            <w:tcW w:type="dxa" w:w="2022"/>
            <w:vAlign w:val="center"/>
          </w:tcPr>
          <w:p>
            <w:pPr>
              <w:keepNext/>
              <w:spacing w:before="20" w:after="20"/>
            </w:pPr>
            <w:r>
              <w:rPr>
                <w:rFonts w:ascii="游ゴシック" w:hAnsi="游ゴシック" w:eastAsia="游ゴシック"/>
                <w:b w:val="0"/>
                <w:i w:val="0"/>
                <w:sz w:val="17"/>
              </w:rPr>
              <w:t>◎ 地域支援事業交付金</w:t>
            </w:r>
          </w:p>
        </w:tc>
        <w:tc>
          <w:tcPr>
            <w:tcW w:type="dxa" w:w="2621"/>
            <w:vAlign w:val="center"/>
          </w:tcPr>
          <w:p>
            <w:pPr>
              <w:keepNext/>
              <w:spacing w:before="20" w:after="20"/>
            </w:pPr>
            <w:r>
              <w:rPr>
                <w:rFonts w:ascii="游ゴシック" w:hAnsi="游ゴシック" w:eastAsia="游ゴシック"/>
                <w:b w:val="0"/>
                <w:i w:val="0"/>
                <w:sz w:val="17"/>
              </w:rPr>
              <w:t>週1回以上の通いの場の箇所数・参加者数・参加率、サービス別の実施件数、リスク該当者への到達率</w:t>
            </w:r>
          </w:p>
        </w:tc>
      </w:tr>
      <w:tr>
        <w:tc>
          <w:tcPr>
            <w:tcW w:type="dxa" w:w="1899"/>
            <w:vAlign w:val="center"/>
          </w:tcPr>
          <w:p>
            <w:pPr>
              <w:spacing w:before="20" w:after="20"/>
            </w:pPr>
            <w:r>
              <w:rPr>
                <w:rFonts w:ascii="游ゴシック" w:hAnsi="游ゴシック" w:eastAsia="游ゴシック"/>
                <w:b w:val="0"/>
                <w:i w:val="0"/>
                <w:sz w:val="17"/>
              </w:rPr>
              <w:t>3 生きがいづくりと社会参加の推進</w:t>
            </w:r>
          </w:p>
        </w:tc>
        <w:tc>
          <w:tcPr>
            <w:tcW w:type="dxa" w:w="3208"/>
            <w:vAlign w:val="center"/>
          </w:tcPr>
          <w:p>
            <w:pPr>
              <w:spacing w:before="20" w:after="20"/>
            </w:pPr>
            <w:r>
              <w:rPr>
                <w:rFonts w:ascii="游ゴシック" w:hAnsi="游ゴシック" w:eastAsia="游ゴシック"/>
                <w:b w:val="0"/>
                <w:i w:val="0"/>
                <w:sz w:val="17"/>
              </w:rPr>
              <w:t>就労機会の拡大（シルバー人材センター等）、交流機会の拡充（老人クラブ、サロン等）</w:t>
            </w:r>
          </w:p>
        </w:tc>
        <w:tc>
          <w:tcPr>
            <w:tcW w:type="dxa" w:w="2022"/>
            <w:vAlign w:val="center"/>
          </w:tcPr>
          <w:p>
            <w:pPr>
              <w:spacing w:before="20" w:after="20"/>
            </w:pPr>
            <w:r>
              <w:rPr>
                <w:rFonts w:ascii="游ゴシック" w:hAnsi="游ゴシック" w:eastAsia="游ゴシック"/>
                <w:b w:val="0"/>
                <w:i w:val="0"/>
                <w:sz w:val="17"/>
              </w:rPr>
              <w:t>○ 一般会計、地域支援事業</w:t>
            </w:r>
          </w:p>
        </w:tc>
        <w:tc>
          <w:tcPr>
            <w:tcW w:type="dxa" w:w="2621"/>
            <w:vAlign w:val="center"/>
          </w:tcPr>
          <w:p>
            <w:pPr>
              <w:spacing w:before="20" w:after="20"/>
            </w:pPr>
            <w:r>
              <w:rPr>
                <w:rFonts w:ascii="游ゴシック" w:hAnsi="游ゴシック" w:eastAsia="游ゴシック"/>
                <w:b w:val="0"/>
                <w:i w:val="0"/>
                <w:sz w:val="17"/>
              </w:rPr>
              <w:t>就労・交流の参加者数</w:t>
            </w:r>
          </w:p>
        </w:tc>
      </w:tr>
    </w:tbl>
    <w:p>
      <w:pPr>
        <w:spacing w:after="40"/>
      </w:pPr>
    </w:p>
    <w:p>
      <w:pPr>
        <w:spacing w:before="40" w:after="160"/>
        <w:ind w:left="113"/>
      </w:pPr>
      <w:r>
        <w:rPr>
          <w:rFonts w:ascii="游ゴシック" w:hAnsi="游ゴシック" w:eastAsia="游ゴシック"/>
          <w:b w:val="0"/>
          <w:i w:val="0"/>
          <w:sz w:val="17"/>
        </w:rPr>
        <w:t>※ 週1回以上の通いの場は平成27年度に3か所・56人があったのみで、平成28年度以降は0か所。月1回以上も令和元年度以降は1〜3か所にとどまる。県内59市町村の中では週1回以上の参加率が38位（中央値0.9％・最大15.3％）で、比較しても低水準であり、第10期は立ち上げそのものを施策として位置づける。なお、見える化システムに登録されていない町独自の取組がある可能性があるため、町の事業実績で実態を確認する。</w:t>
      </w:r>
    </w:p>
    <w:p>
      <w:pPr>
        <w:pStyle w:val="Heading2"/>
        <w:keepNext/>
        <w:spacing w:before="180" w:after="100"/>
      </w:pPr>
      <w:bookmarkStart w:id="110" w:name="_Toc_010"/>
      <w:r>
        <w:rPr>
          <w:rFonts w:ascii="游ゴシック" w:hAnsi="游ゴシック" w:eastAsia="游ゴシック"/>
          <w:b/>
          <w:i w:val="0"/>
          <w:color w:val="2E74B5"/>
          <w:sz w:val="25"/>
        </w:rPr>
        <w:t>基本目標2　安全・安心な暮らしの確保</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66"/>
        <w:gridCol w:w="3323"/>
        <w:gridCol w:w="2081"/>
        <w:gridCol w:w="2581"/>
      </w:tblGrid>
      <w:tr>
        <w:tc>
          <w:tcPr>
            <w:tcW w:type="dxa" w:w="1766"/>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323"/>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2081"/>
            <w:shd w:val="clear" w:fill="1F3864"/>
            <w:vAlign w:val="center"/>
          </w:tcPr>
          <w:p>
            <w:pPr>
              <w:spacing w:before="20" w:after="20"/>
              <w:jc w:val="center"/>
            </w:pPr>
            <w:r>
              <w:rPr>
                <w:rFonts w:ascii="游ゴシック" w:hAnsi="游ゴシック" w:eastAsia="游ゴシック"/>
                <w:b/>
                <w:i w:val="0"/>
                <w:color w:val="FFFFFF"/>
                <w:sz w:val="17"/>
              </w:rPr>
              <w:t>財源区分</w:t>
            </w:r>
          </w:p>
        </w:tc>
        <w:tc>
          <w:tcPr>
            <w:tcW w:type="dxa" w:w="2581"/>
            <w:shd w:val="clear" w:fill="1F3864"/>
            <w:vAlign w:val="center"/>
          </w:tcPr>
          <w:p>
            <w:pPr>
              <w:spacing w:before="20" w:after="20"/>
              <w:jc w:val="center"/>
            </w:pPr>
            <w:r>
              <w:rPr>
                <w:rFonts w:ascii="游ゴシック" w:hAnsi="游ゴシック" w:eastAsia="游ゴシック"/>
                <w:b/>
                <w:i w:val="0"/>
                <w:color w:val="FFFFFF"/>
                <w:sz w:val="17"/>
              </w:rPr>
              <w:t>成果指標（案）</w:t>
            </w:r>
          </w:p>
        </w:tc>
      </w:tr>
      <w:tr>
        <w:tc>
          <w:tcPr>
            <w:tcW w:type="dxa" w:w="1766"/>
            <w:vAlign w:val="center"/>
          </w:tcPr>
          <w:p>
            <w:pPr>
              <w:spacing w:before="20" w:after="20"/>
            </w:pPr>
            <w:r>
              <w:rPr>
                <w:rFonts w:ascii="游ゴシック" w:hAnsi="游ゴシック" w:eastAsia="游ゴシック"/>
                <w:b w:val="0"/>
                <w:i w:val="0"/>
                <w:sz w:val="17"/>
              </w:rPr>
              <w:t>1 地域の支え合いの支援</w:t>
            </w:r>
          </w:p>
        </w:tc>
        <w:tc>
          <w:tcPr>
            <w:tcW w:type="dxa" w:w="3323"/>
            <w:vAlign w:val="center"/>
          </w:tcPr>
          <w:p>
            <w:pPr>
              <w:spacing w:before="20" w:after="20"/>
            </w:pPr>
            <w:r>
              <w:rPr>
                <w:rFonts w:ascii="游ゴシック" w:hAnsi="游ゴシック" w:eastAsia="游ゴシック"/>
                <w:b w:val="0"/>
                <w:i w:val="0"/>
                <w:sz w:val="17"/>
              </w:rPr>
              <w:t>生活支援体制整備事業（協議体、生活支援コーディネーター）　※住民主体のネットワークづくりは地域福祉計画</w:t>
            </w:r>
          </w:p>
        </w:tc>
        <w:tc>
          <w:tcPr>
            <w:tcW w:type="dxa" w:w="2081"/>
            <w:vAlign w:val="center"/>
          </w:tcPr>
          <w:p>
            <w:pPr>
              <w:spacing w:before="20" w:after="20"/>
            </w:pPr>
            <w:r>
              <w:rPr>
                <w:rFonts w:ascii="游ゴシック" w:hAnsi="游ゴシック" w:eastAsia="游ゴシック"/>
                <w:b w:val="0"/>
                <w:i w:val="0"/>
                <w:sz w:val="17"/>
              </w:rPr>
              <w:t>◎ 包括的支援事業（社会保障充実分）</w:t>
            </w:r>
          </w:p>
        </w:tc>
        <w:tc>
          <w:tcPr>
            <w:tcW w:type="dxa" w:w="2581"/>
            <w:vAlign w:val="center"/>
          </w:tcPr>
          <w:p>
            <w:pPr>
              <w:spacing w:before="20" w:after="20"/>
            </w:pPr>
            <w:r>
              <w:rPr>
                <w:rFonts w:ascii="游ゴシック" w:hAnsi="游ゴシック" w:eastAsia="游ゴシック"/>
                <w:b w:val="0"/>
                <w:i w:val="0"/>
                <w:sz w:val="17"/>
              </w:rPr>
              <w:t>協議体の開催、コーディネーターの活動実績</w:t>
            </w:r>
          </w:p>
        </w:tc>
      </w:tr>
      <w:tr>
        <w:tc>
          <w:tcPr>
            <w:tcW w:type="dxa" w:w="1766"/>
            <w:vAlign w:val="center"/>
          </w:tcPr>
          <w:p>
            <w:pPr>
              <w:spacing w:before="20" w:after="20"/>
            </w:pPr>
            <w:r>
              <w:rPr>
                <w:rFonts w:ascii="游ゴシック" w:hAnsi="游ゴシック" w:eastAsia="游ゴシック"/>
                <w:b w:val="0"/>
                <w:i w:val="0"/>
                <w:sz w:val="17"/>
              </w:rPr>
              <w:t>2 包括的支援事業・任意事業の推進</w:t>
            </w:r>
          </w:p>
        </w:tc>
        <w:tc>
          <w:tcPr>
            <w:tcW w:type="dxa" w:w="3323"/>
            <w:vAlign w:val="center"/>
          </w:tcPr>
          <w:p>
            <w:pPr>
              <w:spacing w:before="20" w:after="20"/>
            </w:pPr>
            <w:r>
              <w:rPr>
                <w:rFonts w:ascii="游ゴシック" w:hAnsi="游ゴシック" w:eastAsia="游ゴシック"/>
                <w:b w:val="0"/>
                <w:i w:val="0"/>
                <w:sz w:val="17"/>
              </w:rPr>
              <w:t>地域包括支援センターの体制強化、総合相談、権利擁護、包括的・継続的ケアマネジメント、地域ケア会議、</w:t>
            </w:r>
            <w:r>
              <w:rPr>
                <w:rFonts w:ascii="游ゴシック" w:hAnsi="游ゴシック" w:eastAsia="游ゴシック"/>
                <w:b/>
                <w:i w:val="0"/>
                <w:sz w:val="17"/>
              </w:rPr>
              <w:t>居宅介護支援事業所の確保</w:t>
            </w:r>
            <w:r>
              <w:rPr>
                <w:rFonts w:ascii="游ゴシック" w:hAnsi="游ゴシック" w:eastAsia="游ゴシック"/>
                <w:b w:val="0"/>
                <w:i w:val="0"/>
                <w:sz w:val="17"/>
              </w:rPr>
              <w:t>、任意事業（家族介護支援、介護用品給付券等）</w:t>
            </w:r>
          </w:p>
        </w:tc>
        <w:tc>
          <w:tcPr>
            <w:tcW w:type="dxa" w:w="2081"/>
            <w:vAlign w:val="center"/>
          </w:tcPr>
          <w:p>
            <w:pPr>
              <w:spacing w:before="20" w:after="20"/>
            </w:pPr>
            <w:r>
              <w:rPr>
                <w:rFonts w:ascii="游ゴシック" w:hAnsi="游ゴシック" w:eastAsia="游ゴシック"/>
                <w:b w:val="0"/>
                <w:i w:val="0"/>
                <w:sz w:val="17"/>
              </w:rPr>
              <w:t>◎ 包括的支援事業、任意事業</w:t>
            </w:r>
          </w:p>
        </w:tc>
        <w:tc>
          <w:tcPr>
            <w:tcW w:type="dxa" w:w="2581"/>
            <w:vAlign w:val="center"/>
          </w:tcPr>
          <w:p>
            <w:pPr>
              <w:spacing w:before="20" w:after="20"/>
            </w:pPr>
            <w:r>
              <w:rPr>
                <w:rFonts w:ascii="游ゴシック" w:hAnsi="游ゴシック" w:eastAsia="游ゴシック"/>
                <w:b w:val="0"/>
                <w:i w:val="0"/>
                <w:sz w:val="17"/>
              </w:rPr>
              <w:t>相談件数、地域ケア会議の開催回数、居宅介護支援事業所数（5→3の推移）</w:t>
            </w:r>
          </w:p>
        </w:tc>
      </w:tr>
      <w:tr>
        <w:tc>
          <w:tcPr>
            <w:tcW w:type="dxa" w:w="1766"/>
            <w:vAlign w:val="center"/>
          </w:tcPr>
          <w:p>
            <w:pPr>
              <w:spacing w:before="20" w:after="20"/>
            </w:pPr>
            <w:r>
              <w:rPr>
                <w:rFonts w:ascii="游ゴシック" w:hAnsi="游ゴシック" w:eastAsia="游ゴシック"/>
                <w:b w:val="0"/>
                <w:i w:val="0"/>
                <w:sz w:val="17"/>
              </w:rPr>
              <w:t>3 認知症施策の充実</w:t>
            </w:r>
          </w:p>
        </w:tc>
        <w:tc>
          <w:tcPr>
            <w:tcW w:type="dxa" w:w="3323"/>
            <w:vAlign w:val="center"/>
          </w:tcPr>
          <w:p>
            <w:pPr>
              <w:spacing w:before="20" w:after="20"/>
            </w:pPr>
            <w:r>
              <w:rPr>
                <w:rFonts w:ascii="游ゴシック" w:hAnsi="游ゴシック" w:eastAsia="游ゴシック"/>
                <w:b w:val="0"/>
                <w:i w:val="0"/>
                <w:sz w:val="17"/>
              </w:rPr>
              <w:t>普及啓発・本人発信支援（サポーター養成、チームオレンジ）、予防（早期発見・早期対応／初期集中支援チーム）、医療・ケア、介護サービス・家族介護者への支援（認知症カフェ、地域支援推進員）</w:t>
            </w:r>
          </w:p>
        </w:tc>
        <w:tc>
          <w:tcPr>
            <w:tcW w:type="dxa" w:w="2081"/>
            <w:vAlign w:val="center"/>
          </w:tcPr>
          <w:p>
            <w:pPr>
              <w:spacing w:before="20" w:after="20"/>
            </w:pPr>
            <w:r>
              <w:rPr>
                <w:rFonts w:ascii="游ゴシック" w:hAnsi="游ゴシック" w:eastAsia="游ゴシック"/>
                <w:b w:val="0"/>
                <w:i w:val="0"/>
                <w:sz w:val="17"/>
              </w:rPr>
              <w:t>◎ 認知症総合支援事業　※地域での見守りは地域福祉計画</w:t>
            </w:r>
          </w:p>
        </w:tc>
        <w:tc>
          <w:tcPr>
            <w:tcW w:type="dxa" w:w="2581"/>
            <w:vAlign w:val="center"/>
          </w:tcPr>
          <w:p>
            <w:pPr>
              <w:spacing w:before="20" w:after="20"/>
            </w:pPr>
            <w:r>
              <w:rPr>
                <w:rFonts w:ascii="游ゴシック" w:hAnsi="游ゴシック" w:eastAsia="游ゴシック"/>
                <w:b w:val="0"/>
                <w:i w:val="0"/>
                <w:sz w:val="17"/>
              </w:rPr>
              <w:t>初期集中支援チームの訪問実績（現状0件）、認知症カフェの箇所数（現状1か所）、推進員の活動実績（配置4人）</w:t>
            </w:r>
          </w:p>
        </w:tc>
      </w:tr>
      <w:tr>
        <w:tc>
          <w:tcPr>
            <w:tcW w:type="dxa" w:w="1766"/>
            <w:vAlign w:val="center"/>
          </w:tcPr>
          <w:p>
            <w:pPr>
              <w:spacing w:before="20" w:after="20"/>
            </w:pPr>
            <w:r>
              <w:rPr>
                <w:rFonts w:ascii="游ゴシック" w:hAnsi="游ゴシック" w:eastAsia="游ゴシック"/>
                <w:b w:val="0"/>
                <w:i w:val="0"/>
                <w:sz w:val="17"/>
              </w:rPr>
              <w:t>4 災害時等の要支援者への対応</w:t>
            </w:r>
          </w:p>
        </w:tc>
        <w:tc>
          <w:tcPr>
            <w:tcW w:type="dxa" w:w="3323"/>
            <w:vAlign w:val="center"/>
          </w:tcPr>
          <w:p>
            <w:pPr>
              <w:spacing w:before="20" w:after="20"/>
            </w:pPr>
            <w:r>
              <w:rPr>
                <w:rFonts w:ascii="游ゴシック" w:hAnsi="游ゴシック" w:eastAsia="游ゴシック"/>
                <w:b w:val="0"/>
                <w:i w:val="0"/>
                <w:sz w:val="17"/>
              </w:rPr>
              <w:t>避難行動要支援者名簿、個別避難計画の策定推進、福祉避難所　※一般的な防災・感染症対策は地域福祉計画及び地域防災計画</w:t>
            </w:r>
          </w:p>
        </w:tc>
        <w:tc>
          <w:tcPr>
            <w:tcW w:type="dxa" w:w="2081"/>
            <w:vAlign w:val="center"/>
          </w:tcPr>
          <w:p>
            <w:pPr>
              <w:spacing w:before="20" w:after="20"/>
            </w:pPr>
            <w:r>
              <w:rPr>
                <w:rFonts w:ascii="游ゴシック" w:hAnsi="游ゴシック" w:eastAsia="游ゴシック"/>
                <w:b w:val="0"/>
                <w:i w:val="0"/>
                <w:sz w:val="17"/>
              </w:rPr>
              <w:t>△ 一般会計、防災関連財源</w:t>
            </w:r>
          </w:p>
        </w:tc>
        <w:tc>
          <w:tcPr>
            <w:tcW w:type="dxa" w:w="2581"/>
            <w:vAlign w:val="center"/>
          </w:tcPr>
          <w:p>
            <w:pPr>
              <w:spacing w:before="20" w:after="20"/>
            </w:pPr>
            <w:r>
              <w:rPr>
                <w:rFonts w:ascii="游ゴシック" w:hAnsi="游ゴシック" w:eastAsia="游ゴシック"/>
                <w:b w:val="0"/>
                <w:i w:val="0"/>
                <w:sz w:val="17"/>
              </w:rPr>
              <w:t>個別避難計画の策定率</w:t>
            </w:r>
          </w:p>
        </w:tc>
      </w:tr>
      <w:tr>
        <w:tc>
          <w:tcPr>
            <w:tcW w:type="dxa" w:w="1766"/>
            <w:vAlign w:val="center"/>
          </w:tcPr>
          <w:p>
            <w:pPr>
              <w:keepNext/>
              <w:spacing w:before="20" w:after="20"/>
            </w:pPr>
            <w:r>
              <w:rPr>
                <w:rFonts w:ascii="游ゴシック" w:hAnsi="游ゴシック" w:eastAsia="游ゴシック"/>
                <w:b w:val="0"/>
                <w:i w:val="0"/>
                <w:sz w:val="17"/>
              </w:rPr>
              <w:t>5 多様な生活支援の充実</w:t>
            </w:r>
          </w:p>
        </w:tc>
        <w:tc>
          <w:tcPr>
            <w:tcW w:type="dxa" w:w="3323"/>
            <w:vAlign w:val="center"/>
          </w:tcPr>
          <w:p>
            <w:pPr>
              <w:keepNext/>
              <w:spacing w:before="20" w:after="20"/>
            </w:pPr>
            <w:r>
              <w:rPr>
                <w:rFonts w:ascii="游ゴシック" w:hAnsi="游ゴシック" w:eastAsia="游ゴシック"/>
                <w:b w:val="0"/>
                <w:i w:val="0"/>
                <w:sz w:val="17"/>
              </w:rPr>
              <w:t>配食、見守り、緊急通報、住宅改修・福祉用具、移送・外出支援　※交通利便性の向上は地域公共交通計画と接続</w:t>
            </w:r>
          </w:p>
        </w:tc>
        <w:tc>
          <w:tcPr>
            <w:tcW w:type="dxa" w:w="2081"/>
            <w:vAlign w:val="center"/>
          </w:tcPr>
          <w:p>
            <w:pPr>
              <w:keepNext/>
              <w:spacing w:before="20" w:after="20"/>
            </w:pPr>
            <w:r>
              <w:rPr>
                <w:rFonts w:ascii="游ゴシック" w:hAnsi="游ゴシック" w:eastAsia="游ゴシック"/>
                <w:b w:val="0"/>
                <w:i w:val="0"/>
                <w:sz w:val="17"/>
              </w:rPr>
              <w:t>○ 地域支援事業任意事業、一般会計</w:t>
            </w:r>
          </w:p>
        </w:tc>
        <w:tc>
          <w:tcPr>
            <w:tcW w:type="dxa" w:w="2581"/>
            <w:vAlign w:val="center"/>
          </w:tcPr>
          <w:p>
            <w:pPr>
              <w:keepNext/>
              <w:spacing w:before="20" w:after="20"/>
            </w:pPr>
            <w:r>
              <w:rPr>
                <w:rFonts w:ascii="游ゴシック" w:hAnsi="游ゴシック" w:eastAsia="游ゴシック"/>
                <w:b w:val="0"/>
                <w:i w:val="0"/>
                <w:sz w:val="17"/>
              </w:rPr>
              <w:t>各事業の利用者数</w:t>
            </w:r>
          </w:p>
        </w:tc>
      </w:tr>
      <w:tr>
        <w:tc>
          <w:tcPr>
            <w:tcW w:type="dxa" w:w="1766"/>
            <w:vAlign w:val="center"/>
          </w:tcPr>
          <w:p>
            <w:pPr>
              <w:spacing w:before="20" w:after="20"/>
            </w:pPr>
            <w:r>
              <w:rPr>
                <w:rFonts w:ascii="游ゴシック" w:hAnsi="游ゴシック" w:eastAsia="游ゴシック"/>
                <w:b w:val="0"/>
                <w:i w:val="0"/>
                <w:sz w:val="17"/>
              </w:rPr>
              <w:t>6 介護人材の確保とサービスの質の向上</w:t>
            </w:r>
          </w:p>
        </w:tc>
        <w:tc>
          <w:tcPr>
            <w:tcW w:type="dxa" w:w="3323"/>
            <w:vAlign w:val="center"/>
          </w:tcPr>
          <w:p>
            <w:pPr>
              <w:spacing w:before="20" w:after="20"/>
            </w:pPr>
            <w:r>
              <w:rPr>
                <w:rFonts w:ascii="游ゴシック" w:hAnsi="游ゴシック" w:eastAsia="游ゴシック"/>
                <w:b w:val="0"/>
                <w:i w:val="0"/>
                <w:sz w:val="17"/>
              </w:rPr>
              <w:t>町内事業所の人材確保支援、ICT・介護テクノロジーの導入、生産性向上、研修</w:t>
            </w:r>
          </w:p>
        </w:tc>
        <w:tc>
          <w:tcPr>
            <w:tcW w:type="dxa" w:w="2081"/>
            <w:vAlign w:val="center"/>
          </w:tcPr>
          <w:p>
            <w:pPr>
              <w:spacing w:before="20" w:after="20"/>
            </w:pPr>
            <w:r>
              <w:rPr>
                <w:rFonts w:ascii="游ゴシック" w:hAnsi="游ゴシック" w:eastAsia="游ゴシック"/>
                <w:b w:val="0"/>
                <w:i w:val="0"/>
                <w:sz w:val="17"/>
              </w:rPr>
              <w:t>○ 地域医療介護総合確保基金、県事業、保険者機能強化推進交付金</w:t>
            </w:r>
          </w:p>
        </w:tc>
        <w:tc>
          <w:tcPr>
            <w:tcW w:type="dxa" w:w="2581"/>
            <w:vAlign w:val="center"/>
          </w:tcPr>
          <w:p>
            <w:pPr>
              <w:spacing w:before="20" w:after="20"/>
            </w:pPr>
            <w:r>
              <w:rPr>
                <w:rFonts w:ascii="游ゴシック" w:hAnsi="游ゴシック" w:eastAsia="游ゴシック"/>
                <w:b w:val="0"/>
                <w:i w:val="0"/>
                <w:sz w:val="17"/>
              </w:rPr>
              <w:t>事業所数の維持、県事業の活用状況</w:t>
            </w:r>
          </w:p>
        </w:tc>
      </w:tr>
    </w:tbl>
    <w:p>
      <w:pPr>
        <w:spacing w:after="40"/>
      </w:pPr>
    </w:p>
    <w:p>
      <w:pPr>
        <w:spacing w:before="40" w:after="160"/>
        <w:ind w:left="113"/>
      </w:pPr>
      <w:r>
        <w:rPr>
          <w:rFonts w:ascii="游ゴシック" w:hAnsi="游ゴシック" w:eastAsia="游ゴシック"/>
          <w:b w:val="0"/>
          <w:i w:val="0"/>
          <w:sz w:val="17"/>
        </w:rPr>
        <w:t>※ 第9期の「成年後見制度の利用促進」「高齢者虐待防止の推進」は、第3期地域福祉計画（成年後見制度利用促進基本計画を含む）に移管・連携する。本計画では、認知症高齢者の意思決定支援と、介護サービス事業所における虐待防止（運営基準）の観点から記載する。</w:t>
      </w:r>
    </w:p>
    <w:p>
      <w:pPr>
        <w:pStyle w:val="Heading2"/>
        <w:keepNext/>
        <w:spacing w:before="180" w:after="100"/>
      </w:pPr>
      <w:bookmarkStart w:id="111" w:name="_Toc_011"/>
      <w:r>
        <w:rPr>
          <w:rFonts w:ascii="游ゴシック" w:hAnsi="游ゴシック" w:eastAsia="游ゴシック"/>
          <w:b/>
          <w:i w:val="0"/>
          <w:color w:val="2E74B5"/>
          <w:sz w:val="25"/>
        </w:rPr>
        <w:t>基本目標3　介護サービスの充実</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1"/>
        <w:gridCol w:w="3469"/>
        <w:gridCol w:w="1996"/>
        <w:gridCol w:w="2355"/>
      </w:tblGrid>
      <w:tr>
        <w:tc>
          <w:tcPr>
            <w:tcW w:type="dxa" w:w="1931"/>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46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1996"/>
            <w:shd w:val="clear" w:fill="1F3864"/>
            <w:vAlign w:val="center"/>
          </w:tcPr>
          <w:p>
            <w:pPr>
              <w:spacing w:before="20" w:after="20"/>
              <w:jc w:val="center"/>
            </w:pPr>
            <w:r>
              <w:rPr>
                <w:rFonts w:ascii="游ゴシック" w:hAnsi="游ゴシック" w:eastAsia="游ゴシック"/>
                <w:b/>
                <w:i w:val="0"/>
                <w:color w:val="FFFFFF"/>
                <w:sz w:val="17"/>
              </w:rPr>
              <w:t>財源区分</w:t>
            </w:r>
          </w:p>
        </w:tc>
        <w:tc>
          <w:tcPr>
            <w:tcW w:type="dxa" w:w="2355"/>
            <w:shd w:val="clear" w:fill="1F3864"/>
            <w:vAlign w:val="center"/>
          </w:tcPr>
          <w:p>
            <w:pPr>
              <w:spacing w:before="20" w:after="20"/>
              <w:jc w:val="center"/>
            </w:pPr>
            <w:r>
              <w:rPr>
                <w:rFonts w:ascii="游ゴシック" w:hAnsi="游ゴシック" w:eastAsia="游ゴシック"/>
                <w:b/>
                <w:i w:val="0"/>
                <w:color w:val="FFFFFF"/>
                <w:sz w:val="17"/>
              </w:rPr>
              <w:t>成果指標（案）</w:t>
            </w:r>
          </w:p>
        </w:tc>
      </w:tr>
      <w:tr>
        <w:tc>
          <w:tcPr>
            <w:tcW w:type="dxa" w:w="1931"/>
            <w:vAlign w:val="center"/>
          </w:tcPr>
          <w:p>
            <w:pPr>
              <w:spacing w:before="20" w:after="20"/>
            </w:pPr>
            <w:r>
              <w:rPr>
                <w:rFonts w:ascii="游ゴシック" w:hAnsi="游ゴシック" w:eastAsia="游ゴシック"/>
                <w:b w:val="0"/>
                <w:i w:val="0"/>
                <w:sz w:val="17"/>
              </w:rPr>
              <w:t>1 自立支援・重度化防止に向けた取り組み</w:t>
            </w:r>
          </w:p>
        </w:tc>
        <w:tc>
          <w:tcPr>
            <w:tcW w:type="dxa" w:w="3469"/>
            <w:vAlign w:val="center"/>
          </w:tcPr>
          <w:p>
            <w:pPr>
              <w:spacing w:before="20" w:after="20"/>
            </w:pPr>
            <w:r>
              <w:rPr>
                <w:rFonts w:ascii="游ゴシック" w:hAnsi="游ゴシック" w:eastAsia="游ゴシック"/>
                <w:b w:val="0"/>
                <w:i w:val="0"/>
                <w:sz w:val="17"/>
              </w:rPr>
              <w:t>地域ケア会議による自立支援型ケアマネジメント、リハビリ専門職の関与、給付適正化</w:t>
            </w:r>
          </w:p>
        </w:tc>
        <w:tc>
          <w:tcPr>
            <w:tcW w:type="dxa" w:w="1996"/>
            <w:vAlign w:val="center"/>
          </w:tcPr>
          <w:p>
            <w:pPr>
              <w:spacing w:before="20" w:after="20"/>
            </w:pPr>
            <w:r>
              <w:rPr>
                <w:rFonts w:ascii="游ゴシック" w:hAnsi="游ゴシック" w:eastAsia="游ゴシック"/>
                <w:b w:val="0"/>
                <w:i w:val="0"/>
                <w:sz w:val="17"/>
              </w:rPr>
              <w:t>◎ 包括的支援事業、保険者機能強化推進交付金</w:t>
            </w:r>
          </w:p>
        </w:tc>
        <w:tc>
          <w:tcPr>
            <w:tcW w:type="dxa" w:w="2355"/>
            <w:vAlign w:val="center"/>
          </w:tcPr>
          <w:p>
            <w:pPr>
              <w:spacing w:before="20" w:after="20"/>
            </w:pPr>
            <w:r>
              <w:rPr>
                <w:rFonts w:ascii="游ゴシック" w:hAnsi="游ゴシック" w:eastAsia="游ゴシック"/>
                <w:b w:val="0"/>
                <w:i w:val="0"/>
                <w:sz w:val="17"/>
              </w:rPr>
              <w:t>地域ケア会議の検討件数、要介護度の維持改善率</w:t>
            </w:r>
          </w:p>
        </w:tc>
      </w:tr>
      <w:tr>
        <w:tc>
          <w:tcPr>
            <w:tcW w:type="dxa" w:w="1931"/>
            <w:vAlign w:val="center"/>
          </w:tcPr>
          <w:p>
            <w:pPr>
              <w:keepNext/>
              <w:spacing w:before="20" w:after="20"/>
            </w:pPr>
            <w:r>
              <w:rPr>
                <w:rFonts w:ascii="游ゴシック" w:hAnsi="游ゴシック" w:eastAsia="游ゴシック"/>
                <w:b w:val="0"/>
                <w:i w:val="0"/>
                <w:sz w:val="17"/>
              </w:rPr>
              <w:t>2 介護保険サービス等の充実</w:t>
            </w:r>
          </w:p>
        </w:tc>
        <w:tc>
          <w:tcPr>
            <w:tcW w:type="dxa" w:w="3469"/>
            <w:vAlign w:val="center"/>
          </w:tcPr>
          <w:p>
            <w:pPr>
              <w:keepNext/>
              <w:spacing w:before="20" w:after="20"/>
            </w:pPr>
            <w:r>
              <w:rPr>
                <w:rFonts w:ascii="游ゴシック" w:hAnsi="游ゴシック" w:eastAsia="游ゴシック"/>
                <w:b w:val="0"/>
                <w:i w:val="0"/>
                <w:sz w:val="17"/>
              </w:rPr>
              <w:t>日常生活圏域の設定、サービスの質の向上と利用者支援、文書負担軽減、</w:t>
            </w:r>
            <w:r>
              <w:rPr>
                <w:rFonts w:ascii="游ゴシック" w:hAnsi="游ゴシック" w:eastAsia="游ゴシック"/>
                <w:b/>
                <w:i w:val="0"/>
                <w:sz w:val="17"/>
              </w:rPr>
              <w:t>認定と利用をつなぐ支援</w:t>
            </w:r>
            <w:r>
              <w:rPr>
                <w:rFonts w:ascii="游ゴシック" w:hAnsi="游ゴシック" w:eastAsia="游ゴシック"/>
                <w:b w:val="0"/>
                <w:i w:val="0"/>
                <w:sz w:val="17"/>
              </w:rPr>
              <w:t>（認定後にサービス利用に至っていない層への働きかけ、未利用理由の把握）</w:t>
            </w:r>
          </w:p>
        </w:tc>
        <w:tc>
          <w:tcPr>
            <w:tcW w:type="dxa" w:w="1996"/>
            <w:vAlign w:val="center"/>
          </w:tcPr>
          <w:p>
            <w:pPr>
              <w:keepNext/>
              <w:spacing w:before="20" w:after="20"/>
            </w:pPr>
            <w:r>
              <w:rPr>
                <w:rFonts w:ascii="游ゴシック" w:hAnsi="游ゴシック" w:eastAsia="游ゴシック"/>
                <w:b w:val="0"/>
                <w:i w:val="0"/>
                <w:sz w:val="17"/>
              </w:rPr>
              <w:t>◎ 介護保険給付、包括的支援事業</w:t>
            </w:r>
          </w:p>
        </w:tc>
        <w:tc>
          <w:tcPr>
            <w:tcW w:type="dxa" w:w="2355"/>
            <w:vAlign w:val="center"/>
          </w:tcPr>
          <w:p>
            <w:pPr>
              <w:keepNext/>
              <w:spacing w:before="20" w:after="20"/>
            </w:pPr>
            <w:r>
              <w:rPr>
                <w:rFonts w:ascii="游ゴシック" w:hAnsi="游ゴシック" w:eastAsia="游ゴシック"/>
                <w:b w:val="0"/>
                <w:i w:val="0"/>
                <w:sz w:val="17"/>
              </w:rPr>
              <w:t>在宅サービス受給率、認定者に対する受給者の比率、未利用理由の把握状況</w:t>
            </w:r>
          </w:p>
        </w:tc>
      </w:tr>
      <w:tr>
        <w:tc>
          <w:tcPr>
            <w:tcW w:type="dxa" w:w="1931"/>
            <w:vAlign w:val="center"/>
          </w:tcPr>
          <w:p>
            <w:pPr>
              <w:spacing w:before="20" w:after="20"/>
            </w:pPr>
            <w:r>
              <w:rPr>
                <w:rFonts w:ascii="游ゴシック" w:hAnsi="游ゴシック" w:eastAsia="游ゴシック"/>
                <w:b w:val="0"/>
                <w:i w:val="0"/>
                <w:sz w:val="17"/>
              </w:rPr>
              <w:t>3 介護サービスの見込みと保険料</w:t>
            </w:r>
          </w:p>
        </w:tc>
        <w:tc>
          <w:tcPr>
            <w:tcW w:type="dxa" w:w="3469"/>
            <w:vAlign w:val="center"/>
          </w:tcPr>
          <w:p>
            <w:pPr>
              <w:spacing w:before="20" w:after="20"/>
            </w:pPr>
            <w:r>
              <w:rPr>
                <w:rFonts w:ascii="游ゴシック" w:hAnsi="游ゴシック" w:eastAsia="游ゴシック"/>
                <w:b w:val="0"/>
                <w:i w:val="0"/>
                <w:sz w:val="17"/>
              </w:rPr>
              <w:t>居宅・地域密着型・施設サービスの見込量、総給付費、標準給付費、地域支援事業費、保険料の算定</w:t>
            </w:r>
          </w:p>
        </w:tc>
        <w:tc>
          <w:tcPr>
            <w:tcW w:type="dxa" w:w="1996"/>
            <w:vAlign w:val="center"/>
          </w:tcPr>
          <w:p>
            <w:pPr>
              <w:spacing w:before="20" w:after="20"/>
            </w:pPr>
            <w:r>
              <w:rPr>
                <w:rFonts w:ascii="游ゴシック" w:hAnsi="游ゴシック" w:eastAsia="游ゴシック"/>
                <w:b w:val="0"/>
                <w:i w:val="0"/>
                <w:sz w:val="17"/>
              </w:rPr>
              <w:t>◎ 介護保険特別会計</w:t>
            </w:r>
          </w:p>
        </w:tc>
        <w:tc>
          <w:tcPr>
            <w:tcW w:type="dxa" w:w="2355"/>
            <w:vAlign w:val="center"/>
          </w:tcPr>
          <w:p>
            <w:pPr>
              <w:spacing w:before="20" w:after="20"/>
            </w:pPr>
            <w:r>
              <w:rPr>
                <w:rFonts w:ascii="游ゴシック" w:hAnsi="游ゴシック" w:eastAsia="游ゴシック"/>
                <w:b w:val="0"/>
                <w:i w:val="0"/>
                <w:sz w:val="17"/>
              </w:rPr>
              <w:t>保険料基準額、基金残高、収納率</w:t>
            </w:r>
          </w:p>
        </w:tc>
      </w:tr>
    </w:tbl>
    <w:p>
      <w:pPr>
        <w:spacing w:after="40"/>
      </w:pPr>
    </w:p>
    <w:p>
      <w:pPr>
        <w:pStyle w:val="Heading1"/>
        <w:keepNext/>
        <w:spacing w:before="240" w:after="100"/>
      </w:pPr>
      <w:bookmarkStart w:id="112" w:name="_Toc_012"/>
      <w:r>
        <w:rPr>
          <w:rFonts w:ascii="游ゴシック" w:hAnsi="游ゴシック" w:eastAsia="游ゴシック"/>
          <w:b/>
          <w:i w:val="0"/>
          <w:color w:val="2E74B5"/>
          <w:sz w:val="30"/>
        </w:rPr>
        <w:t>第6章　介護保険事業等の見込み（要約）</w:t>
      </w:r>
      <w:bookmarkEnd w:id="112"/>
    </w:p>
    <w:p>
      <w:pPr>
        <w:spacing w:before="60" w:after="60"/>
      </w:pPr>
      <w:r>
        <w:rPr>
          <w:rFonts w:ascii="游ゴシック" w:hAnsi="游ゴシック" w:eastAsia="游ゴシック"/>
          <w:b/>
          <w:i w:val="0"/>
          <w:sz w:val="21"/>
        </w:rPr>
        <w:t>サービス見込量は自然体推計により置き、保険料は次のケースを比較して協議会にお諮りします</w:t>
      </w:r>
      <w:r>
        <w:rPr>
          <w:rFonts w:ascii="游ゴシック" w:hAnsi="游ゴシック" w:eastAsia="游ゴシック"/>
          <w:b w:val="0"/>
          <w:i w:val="0"/>
          <w:sz w:val="21"/>
        </w:rPr>
        <w:t>（素案 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08"/>
        <w:gridCol w:w="2682"/>
        <w:gridCol w:w="2561"/>
      </w:tblGrid>
      <w:tr>
        <w:tc>
          <w:tcPr>
            <w:tcW w:type="dxa" w:w="4508"/>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682"/>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2561"/>
            <w:shd w:val="clear" w:fill="1F3864"/>
            <w:vAlign w:val="center"/>
          </w:tcPr>
          <w:p>
            <w:pPr>
              <w:spacing w:before="20" w:after="20"/>
              <w:jc w:val="center"/>
            </w:pPr>
            <w:r>
              <w:rPr>
                <w:rFonts w:ascii="游ゴシック" w:hAnsi="游ゴシック" w:eastAsia="游ゴシック"/>
                <w:b/>
                <w:i w:val="0"/>
                <w:color w:val="FFFFFF"/>
                <w:sz w:val="17"/>
              </w:rPr>
              <w:t>100円未満切上げ</w:t>
            </w:r>
          </w:p>
        </w:tc>
      </w:tr>
      <w:tr>
        <w:tc>
          <w:tcPr>
            <w:tcW w:type="dxa" w:w="4508"/>
            <w:vAlign w:val="center"/>
          </w:tcPr>
          <w:p>
            <w:pPr>
              <w:spacing w:before="20" w:after="20"/>
            </w:pPr>
            <w:r>
              <w:rPr>
                <w:rFonts w:ascii="游ゴシック" w:hAnsi="游ゴシック" w:eastAsia="游ゴシック"/>
                <w:b w:val="0"/>
                <w:i w:val="0"/>
                <w:sz w:val="17"/>
              </w:rPr>
              <w:t>標準（基金を取り崩さない）</w:t>
            </w:r>
          </w:p>
        </w:tc>
        <w:tc>
          <w:tcPr>
            <w:tcW w:type="dxa" w:w="2682"/>
            <w:vAlign w:val="center"/>
          </w:tcPr>
          <w:p>
            <w:pPr>
              <w:spacing w:before="20" w:after="20"/>
            </w:pPr>
            <w:r>
              <w:rPr>
                <w:rFonts w:ascii="游ゴシック" w:hAnsi="游ゴシック" w:eastAsia="游ゴシック"/>
                <w:b w:val="0"/>
                <w:i w:val="0"/>
                <w:sz w:val="17"/>
              </w:rPr>
              <w:t>6,053円</w:t>
            </w:r>
          </w:p>
        </w:tc>
        <w:tc>
          <w:tcPr>
            <w:tcW w:type="dxa" w:w="2561"/>
            <w:vAlign w:val="center"/>
          </w:tcPr>
          <w:p>
            <w:pPr>
              <w:spacing w:before="20" w:after="20"/>
            </w:pPr>
            <w:r>
              <w:rPr>
                <w:rFonts w:ascii="游ゴシック" w:hAnsi="游ゴシック" w:eastAsia="游ゴシック"/>
                <w:b w:val="0"/>
                <w:i w:val="0"/>
                <w:sz w:val="17"/>
              </w:rPr>
              <w:t>6,100円</w:t>
            </w:r>
          </w:p>
        </w:tc>
      </w:tr>
      <w:tr>
        <w:tc>
          <w:tcPr>
            <w:tcW w:type="dxa" w:w="4508"/>
            <w:vAlign w:val="center"/>
          </w:tcPr>
          <w:p>
            <w:pPr>
              <w:spacing w:before="20" w:after="20"/>
            </w:pPr>
            <w:r>
              <w:rPr>
                <w:rFonts w:ascii="游ゴシック" w:hAnsi="游ゴシック" w:eastAsia="游ゴシック"/>
                <w:b w:val="0"/>
                <w:i w:val="0"/>
                <w:sz w:val="17"/>
              </w:rPr>
              <w:t>基金の半分（105,000千円）を取り崩す</w:t>
            </w:r>
          </w:p>
        </w:tc>
        <w:tc>
          <w:tcPr>
            <w:tcW w:type="dxa" w:w="2682"/>
            <w:vAlign w:val="center"/>
          </w:tcPr>
          <w:p>
            <w:pPr>
              <w:spacing w:before="20" w:after="20"/>
            </w:pPr>
            <w:r>
              <w:rPr>
                <w:rFonts w:ascii="游ゴシック" w:hAnsi="游ゴシック" w:eastAsia="游ゴシック"/>
                <w:b w:val="0"/>
                <w:i w:val="0"/>
                <w:sz w:val="17"/>
              </w:rPr>
              <w:t>5,194円</w:t>
            </w:r>
          </w:p>
        </w:tc>
        <w:tc>
          <w:tcPr>
            <w:tcW w:type="dxa" w:w="2561"/>
            <w:vAlign w:val="center"/>
          </w:tcPr>
          <w:p>
            <w:pPr>
              <w:spacing w:before="20" w:after="20"/>
            </w:pPr>
            <w:r>
              <w:rPr>
                <w:rFonts w:ascii="游ゴシック" w:hAnsi="游ゴシック" w:eastAsia="游ゴシック"/>
                <w:b w:val="0"/>
                <w:i w:val="0"/>
                <w:sz w:val="17"/>
              </w:rPr>
              <w:t>5,200円</w:t>
            </w:r>
          </w:p>
        </w:tc>
      </w:tr>
      <w:tr>
        <w:tc>
          <w:tcPr>
            <w:tcW w:type="dxa" w:w="4508"/>
            <w:vAlign w:val="center"/>
          </w:tcPr>
          <w:p>
            <w:pPr>
              <w:spacing w:before="20" w:after="20"/>
            </w:pPr>
            <w:r>
              <w:rPr>
                <w:rFonts w:ascii="游ゴシック" w:hAnsi="游ゴシック" w:eastAsia="游ゴシック"/>
                <w:b w:val="0"/>
                <w:i w:val="0"/>
                <w:sz w:val="17"/>
              </w:rPr>
              <w:t>基金の全額（210,000千円）を取り崩す</w:t>
            </w:r>
          </w:p>
        </w:tc>
        <w:tc>
          <w:tcPr>
            <w:tcW w:type="dxa" w:w="2682"/>
            <w:vAlign w:val="center"/>
          </w:tcPr>
          <w:p>
            <w:pPr>
              <w:spacing w:before="20" w:after="20"/>
            </w:pPr>
            <w:r>
              <w:rPr>
                <w:rFonts w:ascii="游ゴシック" w:hAnsi="游ゴシック" w:eastAsia="游ゴシック"/>
                <w:b w:val="0"/>
                <w:i w:val="0"/>
                <w:sz w:val="17"/>
              </w:rPr>
              <w:t>4,334円</w:t>
            </w:r>
          </w:p>
        </w:tc>
        <w:tc>
          <w:tcPr>
            <w:tcW w:type="dxa" w:w="2561"/>
            <w:vAlign w:val="center"/>
          </w:tcPr>
          <w:p>
            <w:pPr>
              <w:spacing w:before="20" w:after="20"/>
            </w:pPr>
            <w:r>
              <w:rPr>
                <w:rFonts w:ascii="游ゴシック" w:hAnsi="游ゴシック" w:eastAsia="游ゴシック"/>
                <w:b w:val="0"/>
                <w:i w:val="0"/>
                <w:sz w:val="17"/>
              </w:rPr>
              <w:t>4,400円</w:t>
            </w:r>
          </w:p>
        </w:tc>
      </w:tr>
      <w:tr>
        <w:tc>
          <w:tcPr>
            <w:tcW w:type="dxa" w:w="4508"/>
            <w:vAlign w:val="center"/>
          </w:tcPr>
          <w:p>
            <w:pPr>
              <w:keepNext/>
              <w:spacing w:before="20" w:after="20"/>
            </w:pPr>
            <w:r>
              <w:rPr>
                <w:rFonts w:ascii="游ゴシック" w:hAnsi="游ゴシック" w:eastAsia="游ゴシック"/>
                <w:b w:val="0"/>
                <w:i w:val="0"/>
                <w:sz w:val="17"/>
              </w:rPr>
              <w:t>地域密着型介護老人福祉施設を1ユニット（定員10人）整備</w:t>
            </w:r>
          </w:p>
        </w:tc>
        <w:tc>
          <w:tcPr>
            <w:tcW w:type="dxa" w:w="2682"/>
            <w:vAlign w:val="center"/>
          </w:tcPr>
          <w:p>
            <w:pPr>
              <w:keepNext/>
              <w:spacing w:before="20" w:after="20"/>
            </w:pPr>
            <w:r>
              <w:rPr>
                <w:rFonts w:ascii="游ゴシック" w:hAnsi="游ゴシック" w:eastAsia="游ゴシック"/>
                <w:b w:val="0"/>
                <w:i w:val="0"/>
                <w:sz w:val="17"/>
              </w:rPr>
              <w:t>6,108円</w:t>
            </w:r>
          </w:p>
        </w:tc>
        <w:tc>
          <w:tcPr>
            <w:tcW w:type="dxa" w:w="2561"/>
            <w:vAlign w:val="center"/>
          </w:tcPr>
          <w:p>
            <w:pPr>
              <w:keepNext/>
              <w:spacing w:before="20" w:after="20"/>
            </w:pPr>
            <w:r>
              <w:rPr>
                <w:rFonts w:ascii="游ゴシック" w:hAnsi="游ゴシック" w:eastAsia="游ゴシック"/>
                <w:b w:val="0"/>
                <w:i w:val="0"/>
                <w:sz w:val="17"/>
              </w:rPr>
              <w:t>6,200円</w:t>
            </w:r>
          </w:p>
        </w:tc>
      </w:tr>
      <w:tr>
        <w:tc>
          <w:tcPr>
            <w:tcW w:type="dxa" w:w="4508"/>
            <w:vAlign w:val="center"/>
          </w:tcPr>
          <w:p>
            <w:pPr>
              <w:spacing w:before="20" w:after="20"/>
            </w:pPr>
            <w:r>
              <w:rPr>
                <w:rFonts w:ascii="游ゴシック" w:hAnsi="游ゴシック" w:eastAsia="游ゴシック"/>
                <w:b w:val="0"/>
                <w:i w:val="0"/>
                <w:sz w:val="17"/>
              </w:rPr>
              <w:t>認知症対応型共同生活介護を1ユニット（定員9人）整備</w:t>
            </w:r>
          </w:p>
        </w:tc>
        <w:tc>
          <w:tcPr>
            <w:tcW w:type="dxa" w:w="2682"/>
            <w:vAlign w:val="center"/>
          </w:tcPr>
          <w:p>
            <w:pPr>
              <w:spacing w:before="20" w:after="20"/>
            </w:pPr>
            <w:r>
              <w:rPr>
                <w:rFonts w:ascii="游ゴシック" w:hAnsi="游ゴシック" w:eastAsia="游ゴシック"/>
                <w:b w:val="0"/>
                <w:i w:val="0"/>
                <w:sz w:val="17"/>
              </w:rPr>
              <w:t>6,101円</w:t>
            </w:r>
          </w:p>
        </w:tc>
        <w:tc>
          <w:tcPr>
            <w:tcW w:type="dxa" w:w="2561"/>
            <w:vAlign w:val="center"/>
          </w:tcPr>
          <w:p>
            <w:pPr>
              <w:spacing w:before="20" w:after="20"/>
            </w:pPr>
            <w:r>
              <w:rPr>
                <w:rFonts w:ascii="游ゴシック" w:hAnsi="游ゴシック" w:eastAsia="游ゴシック"/>
                <w:b w:val="0"/>
                <w:i w:val="0"/>
                <w:sz w:val="17"/>
              </w:rPr>
              <w:t>6,200円</w:t>
            </w:r>
          </w:p>
        </w:tc>
      </w:tr>
    </w:tbl>
    <w:p>
      <w:pPr>
        <w:spacing w:after="40"/>
      </w:pPr>
    </w:p>
    <w:p>
      <w:pPr>
        <w:spacing w:before="40" w:after="160"/>
        <w:ind w:left="113"/>
      </w:pPr>
      <w:r>
        <w:rPr>
          <w:rFonts w:ascii="游ゴシック" w:hAnsi="游ゴシック" w:eastAsia="游ゴシック"/>
          <w:b w:val="0"/>
          <w:i w:val="0"/>
          <w:sz w:val="17"/>
        </w:rPr>
        <w:t>※ 標準給付費見込額（3年計）3,093,948千円。第1号被保険者負担割合23％。介護報酬改定率・負担割合が示され次第、差し替える。</w:t>
      </w:r>
    </w:p>
    <w:p>
      <w:pPr>
        <w:pStyle w:val="Heading1"/>
        <w:keepNext/>
        <w:spacing w:before="240" w:after="100"/>
      </w:pPr>
      <w:bookmarkStart w:id="113" w:name="_Toc_013"/>
      <w:r>
        <w:rPr>
          <w:rFonts w:ascii="游ゴシック" w:hAnsi="游ゴシック" w:eastAsia="游ゴシック"/>
          <w:b/>
          <w:i w:val="0"/>
          <w:color w:val="2E74B5"/>
          <w:sz w:val="30"/>
        </w:rPr>
        <w:t>参考1　第9期の見込みと実績の対比</w:t>
      </w:r>
      <w:bookmarkEnd w:id="113"/>
    </w:p>
    <w:p>
      <w:pPr>
        <w:spacing w:before="60" w:after="60"/>
      </w:pPr>
      <w:r>
        <w:rPr>
          <w:rFonts w:ascii="游ゴシック" w:hAnsi="游ゴシック" w:eastAsia="游ゴシック"/>
          <w:b w:val="0"/>
          <w:i w:val="0"/>
          <w:sz w:val="21"/>
        </w:rPr>
        <w:t>第9期計画に記載された見込額と、見える化システムで確認できる実績を対比します。令和6年度以降の決算は未受領のため、確定は町の決算によります。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7"/>
        <w:gridCol w:w="2693"/>
        <w:gridCol w:w="3041"/>
        <w:gridCol w:w="2571"/>
      </w:tblGrid>
      <w:tr>
        <w:tc>
          <w:tcPr>
            <w:tcW w:type="dxa" w:w="144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93"/>
            <w:shd w:val="clear" w:fill="1F3864"/>
            <w:vAlign w:val="center"/>
          </w:tcPr>
          <w:p>
            <w:pPr>
              <w:spacing w:before="20" w:after="20"/>
              <w:jc w:val="center"/>
            </w:pPr>
            <w:r>
              <w:rPr>
                <w:rFonts w:ascii="游ゴシック" w:hAnsi="游ゴシック" w:eastAsia="游ゴシック"/>
                <w:b/>
                <w:i w:val="0"/>
                <w:color w:val="FFFFFF"/>
                <w:sz w:val="17"/>
              </w:rPr>
              <w:t>第9期の見込み</w:t>
            </w:r>
          </w:p>
        </w:tc>
        <w:tc>
          <w:tcPr>
            <w:tcW w:type="dxa" w:w="3041"/>
            <w:shd w:val="clear" w:fill="1F3864"/>
            <w:vAlign w:val="center"/>
          </w:tcPr>
          <w:p>
            <w:pPr>
              <w:spacing w:before="20" w:after="20"/>
              <w:jc w:val="center"/>
            </w:pPr>
            <w:r>
              <w:rPr>
                <w:rFonts w:ascii="游ゴシック" w:hAnsi="游ゴシック" w:eastAsia="游ゴシック"/>
                <w:b/>
                <w:i w:val="0"/>
                <w:color w:val="FFFFFF"/>
                <w:sz w:val="17"/>
              </w:rPr>
              <w:t>実績（参考）</w:t>
            </w:r>
          </w:p>
        </w:tc>
        <w:tc>
          <w:tcPr>
            <w:tcW w:type="dxa" w:w="2571"/>
            <w:shd w:val="clear" w:fill="1F3864"/>
            <w:vAlign w:val="center"/>
          </w:tcPr>
          <w:p>
            <w:pPr>
              <w:spacing w:before="20" w:after="20"/>
              <w:jc w:val="center"/>
            </w:pPr>
            <w:r>
              <w:rPr>
                <w:rFonts w:ascii="游ゴシック" w:hAnsi="游ゴシック" w:eastAsia="游ゴシック"/>
                <w:b/>
                <w:i w:val="0"/>
                <w:color w:val="FFFFFF"/>
                <w:sz w:val="17"/>
              </w:rPr>
              <w:t>評価の視点</w:t>
            </w:r>
          </w:p>
        </w:tc>
      </w:tr>
      <w:tr>
        <w:tc>
          <w:tcPr>
            <w:tcW w:type="dxa" w:w="1447"/>
            <w:vAlign w:val="center"/>
          </w:tcPr>
          <w:p>
            <w:pPr>
              <w:spacing w:before="20" w:after="20"/>
            </w:pPr>
            <w:r>
              <w:rPr>
                <w:rFonts w:ascii="游ゴシック" w:hAnsi="游ゴシック" w:eastAsia="游ゴシック"/>
                <w:b w:val="0"/>
                <w:i w:val="0"/>
                <w:sz w:val="17"/>
              </w:rPr>
              <w:t>標準給付費見込額</w:t>
            </w:r>
          </w:p>
        </w:tc>
        <w:tc>
          <w:tcPr>
            <w:tcW w:type="dxa" w:w="2693"/>
            <w:vAlign w:val="center"/>
          </w:tcPr>
          <w:p>
            <w:pPr>
              <w:spacing w:before="20" w:after="20"/>
            </w:pPr>
            <w:r>
              <w:rPr>
                <w:rFonts w:ascii="游ゴシック" w:hAnsi="游ゴシック" w:eastAsia="游ゴシック"/>
                <w:b w:val="0"/>
                <w:i w:val="0"/>
                <w:sz w:val="17"/>
              </w:rPr>
              <w:t>R6 1,185,894千円／R7 1,189,712千円／R8 1,190,880千円（3年計3,566,486千円）</w:t>
            </w:r>
          </w:p>
        </w:tc>
        <w:tc>
          <w:tcPr>
            <w:tcW w:type="dxa" w:w="3041"/>
            <w:vAlign w:val="center"/>
          </w:tcPr>
          <w:p>
            <w:pPr>
              <w:spacing w:before="20" w:after="20"/>
            </w:pPr>
            <w:r>
              <w:rPr>
                <w:rFonts w:ascii="游ゴシック" w:hAnsi="游ゴシック" w:eastAsia="游ゴシック"/>
                <w:b w:val="0"/>
                <w:i w:val="0"/>
                <w:sz w:val="17"/>
              </w:rPr>
              <w:t>R5実績の保険給付費は1,106.0百万円</w:t>
            </w:r>
          </w:p>
        </w:tc>
        <w:tc>
          <w:tcPr>
            <w:tcW w:type="dxa" w:w="2571"/>
            <w:vAlign w:val="center"/>
          </w:tcPr>
          <w:p>
            <w:pPr>
              <w:spacing w:before="20" w:after="20"/>
            </w:pPr>
            <w:r>
              <w:rPr>
                <w:rFonts w:ascii="游ゴシック" w:hAnsi="游ゴシック" w:eastAsia="游ゴシック"/>
                <w:b w:val="0"/>
                <w:i w:val="0"/>
                <w:sz w:val="17"/>
              </w:rPr>
              <w:t>第9期はR5実績並みの横ばいで見込んでいる。実績との乖離をR6・R7決算で確認</w:t>
            </w:r>
          </w:p>
        </w:tc>
      </w:tr>
      <w:tr>
        <w:tc>
          <w:tcPr>
            <w:tcW w:type="dxa" w:w="1447"/>
            <w:vAlign w:val="center"/>
          </w:tcPr>
          <w:p>
            <w:pPr>
              <w:spacing w:before="20" w:after="20"/>
            </w:pPr>
            <w:r>
              <w:rPr>
                <w:rFonts w:ascii="游ゴシック" w:hAnsi="游ゴシック" w:eastAsia="游ゴシック"/>
                <w:b w:val="0"/>
                <w:i w:val="0"/>
                <w:sz w:val="17"/>
              </w:rPr>
              <w:t xml:space="preserve">　うち総給付費</w:t>
            </w:r>
          </w:p>
        </w:tc>
        <w:tc>
          <w:tcPr>
            <w:tcW w:type="dxa" w:w="2693"/>
            <w:vAlign w:val="center"/>
          </w:tcPr>
          <w:p>
            <w:pPr>
              <w:spacing w:before="20" w:after="20"/>
            </w:pPr>
            <w:r>
              <w:rPr>
                <w:rFonts w:ascii="游ゴシック" w:hAnsi="游ゴシック" w:eastAsia="游ゴシック"/>
                <w:b w:val="0"/>
                <w:i w:val="0"/>
                <w:sz w:val="17"/>
              </w:rPr>
              <w:t>R6 1,106,604千円／R7 1,110,764千円／R8 1,112,373千円</w:t>
            </w:r>
          </w:p>
        </w:tc>
        <w:tc>
          <w:tcPr>
            <w:tcW w:type="dxa" w:w="3041"/>
            <w:vAlign w:val="center"/>
          </w:tcPr>
          <w:p>
            <w:pPr>
              <w:spacing w:before="20" w:after="20"/>
            </w:pPr>
            <w:r>
              <w:rPr>
                <w:rFonts w:ascii="游ゴシック" w:hAnsi="游ゴシック" w:eastAsia="游ゴシック"/>
                <w:b w:val="0"/>
                <w:i w:val="0"/>
                <w:sz w:val="17"/>
              </w:rPr>
              <w:t>―</w:t>
            </w:r>
          </w:p>
        </w:tc>
        <w:tc>
          <w:tcPr>
            <w:tcW w:type="dxa" w:w="2571"/>
            <w:vAlign w:val="center"/>
          </w:tcPr>
          <w:p>
            <w:pPr>
              <w:spacing w:before="20" w:after="20"/>
            </w:pPr>
            <w:r>
              <w:rPr>
                <w:rFonts w:ascii="游ゴシック" w:hAnsi="游ゴシック" w:eastAsia="游ゴシック"/>
                <w:b w:val="0"/>
                <w:i w:val="0"/>
                <w:sz w:val="17"/>
              </w:rPr>
              <w:t>―</w:t>
            </w:r>
          </w:p>
        </w:tc>
      </w:tr>
      <w:tr>
        <w:tc>
          <w:tcPr>
            <w:tcW w:type="dxa" w:w="1447"/>
            <w:vAlign w:val="center"/>
          </w:tcPr>
          <w:p>
            <w:pPr>
              <w:spacing w:before="20" w:after="20"/>
            </w:pPr>
            <w:r>
              <w:rPr>
                <w:rFonts w:ascii="游ゴシック" w:hAnsi="游ゴシック" w:eastAsia="游ゴシック"/>
                <w:b w:val="0"/>
                <w:i w:val="0"/>
                <w:sz w:val="17"/>
              </w:rPr>
              <w:t>地域支援事業費</w:t>
            </w:r>
          </w:p>
        </w:tc>
        <w:tc>
          <w:tcPr>
            <w:tcW w:type="dxa" w:w="2693"/>
            <w:vAlign w:val="center"/>
          </w:tcPr>
          <w:p>
            <w:pPr>
              <w:spacing w:before="20" w:after="20"/>
            </w:pPr>
            <w:r>
              <w:rPr>
                <w:rFonts w:ascii="游ゴシック" w:hAnsi="游ゴシック" w:eastAsia="游ゴシック"/>
                <w:b w:val="0"/>
                <w:i w:val="0"/>
                <w:sz w:val="17"/>
              </w:rPr>
              <w:t>R6 67,320千円／R7 69,120千円／R8 70,820千円（3年計207,260千円）</w:t>
            </w:r>
          </w:p>
        </w:tc>
        <w:tc>
          <w:tcPr>
            <w:tcW w:type="dxa" w:w="3041"/>
            <w:vAlign w:val="center"/>
          </w:tcPr>
          <w:p>
            <w:pPr>
              <w:spacing w:before="20" w:after="20"/>
            </w:pPr>
            <w:r>
              <w:rPr>
                <w:rFonts w:ascii="游ゴシック" w:hAnsi="游ゴシック" w:eastAsia="游ゴシック"/>
                <w:b w:val="0"/>
                <w:i w:val="0"/>
                <w:sz w:val="17"/>
              </w:rPr>
              <w:t>R5実績は63.4百万円</w:t>
            </w:r>
          </w:p>
        </w:tc>
        <w:tc>
          <w:tcPr>
            <w:tcW w:type="dxa" w:w="2571"/>
            <w:vAlign w:val="center"/>
          </w:tcPr>
          <w:p>
            <w:pPr>
              <w:spacing w:before="20" w:after="20"/>
            </w:pPr>
            <w:r>
              <w:rPr>
                <w:rFonts w:ascii="游ゴシック" w:hAnsi="游ゴシック" w:eastAsia="游ゴシック"/>
                <w:b w:val="0"/>
                <w:i w:val="0"/>
                <w:sz w:val="17"/>
              </w:rPr>
              <w:t>見込みは実績より高い。特に介護予防・日常生活支援総合事業費（R6 36,220千円）に対し、通いの場が実質ゼロである点の整合を確認</w:t>
            </w:r>
          </w:p>
        </w:tc>
      </w:tr>
      <w:tr>
        <w:tc>
          <w:tcPr>
            <w:tcW w:type="dxa" w:w="1447"/>
            <w:vAlign w:val="center"/>
          </w:tcPr>
          <w:p>
            <w:pPr>
              <w:spacing w:before="20" w:after="20"/>
            </w:pPr>
            <w:r>
              <w:rPr>
                <w:rFonts w:ascii="游ゴシック" w:hAnsi="游ゴシック" w:eastAsia="游ゴシック"/>
                <w:b w:val="0"/>
                <w:i w:val="0"/>
                <w:sz w:val="17"/>
              </w:rPr>
              <w:t>介護給付費準備基金の取崩</w:t>
            </w:r>
          </w:p>
        </w:tc>
        <w:tc>
          <w:tcPr>
            <w:tcW w:type="dxa" w:w="2693"/>
            <w:vAlign w:val="center"/>
          </w:tcPr>
          <w:p>
            <w:pPr>
              <w:spacing w:before="20" w:after="20"/>
            </w:pPr>
            <w:r>
              <w:rPr>
                <w:rFonts w:ascii="游ゴシック" w:hAnsi="游ゴシック" w:eastAsia="游ゴシック"/>
                <w:b w:val="0"/>
                <w:i w:val="0"/>
                <w:sz w:val="17"/>
              </w:rPr>
              <w:t>3,500万円を取り崩し、保険料基準月額を6,886円から6,597円へ引下げ</w:t>
            </w:r>
          </w:p>
        </w:tc>
        <w:tc>
          <w:tcPr>
            <w:tcW w:type="dxa" w:w="3041"/>
            <w:vAlign w:val="center"/>
          </w:tcPr>
          <w:p>
            <w:pPr>
              <w:spacing w:before="20" w:after="20"/>
            </w:pPr>
            <w:r>
              <w:rPr>
                <w:rFonts w:ascii="游ゴシック" w:hAnsi="游ゴシック" w:eastAsia="游ゴシック"/>
                <w:b w:val="0"/>
                <w:i w:val="0"/>
                <w:sz w:val="17"/>
              </w:rPr>
              <w:t>H26〜R5の取崩はH26 1.9百万円・H29 18.0百万円のみ。R2以降は取崩なし。同期間に108.0百万円を積み立て、純増88.1百万円（見える化による）。残高はR5末120.0百万円（町の財務書類）</w:t>
            </w:r>
          </w:p>
        </w:tc>
        <w:tc>
          <w:tcPr>
            <w:tcW w:type="dxa" w:w="2571"/>
            <w:vAlign w:val="center"/>
          </w:tcPr>
          <w:p>
            <w:pPr>
              <w:spacing w:before="20" w:after="20"/>
            </w:pPr>
            <w:r>
              <w:rPr>
                <w:rFonts w:ascii="游ゴシック" w:hAnsi="游ゴシック" w:eastAsia="游ゴシック"/>
                <w:b/>
                <w:i w:val="0"/>
                <w:sz w:val="17"/>
              </w:rPr>
              <w:t>第9期の取崩しは行われていない（決算の繰入金は令和2〜8年度とも0円）。令和8年度末の残高見込は210.0百万円で、第10期の取崩しの原資になる</w:t>
            </w:r>
          </w:p>
        </w:tc>
      </w:tr>
      <w:tr>
        <w:tc>
          <w:tcPr>
            <w:tcW w:type="dxa" w:w="1447"/>
            <w:vAlign w:val="center"/>
          </w:tcPr>
          <w:p>
            <w:pPr>
              <w:spacing w:before="20" w:after="20"/>
            </w:pPr>
            <w:r>
              <w:rPr>
                <w:rFonts w:ascii="游ゴシック" w:hAnsi="游ゴシック" w:eastAsia="游ゴシック"/>
                <w:b w:val="0"/>
                <w:i w:val="0"/>
                <w:sz w:val="17"/>
              </w:rPr>
              <w:t>保険料基準額</w:t>
            </w:r>
          </w:p>
        </w:tc>
        <w:tc>
          <w:tcPr>
            <w:tcW w:type="dxa" w:w="2693"/>
            <w:vAlign w:val="center"/>
          </w:tcPr>
          <w:p>
            <w:pPr>
              <w:spacing w:before="20" w:after="20"/>
            </w:pPr>
            <w:r>
              <w:rPr>
                <w:rFonts w:ascii="游ゴシック" w:hAnsi="游ゴシック" w:eastAsia="游ゴシック"/>
                <w:b w:val="0"/>
                <w:i w:val="0"/>
                <w:sz w:val="17"/>
              </w:rPr>
              <w:t>月額6,600円（年額79,200円）。予定収納率99.40％</w:t>
            </w:r>
          </w:p>
        </w:tc>
        <w:tc>
          <w:tcPr>
            <w:tcW w:type="dxa" w:w="3041"/>
            <w:vAlign w:val="center"/>
          </w:tcPr>
          <w:p>
            <w:pPr>
              <w:spacing w:before="20" w:after="20"/>
            </w:pPr>
            <w:r>
              <w:rPr>
                <w:rFonts w:ascii="游ゴシック" w:hAnsi="游ゴシック" w:eastAsia="游ゴシック"/>
                <w:b w:val="0"/>
                <w:i w:val="0"/>
                <w:sz w:val="17"/>
              </w:rPr>
              <w:t>見える化の必要保険料月額はR7で6,131円</w:t>
            </w:r>
          </w:p>
        </w:tc>
        <w:tc>
          <w:tcPr>
            <w:tcW w:type="dxa" w:w="2571"/>
            <w:vAlign w:val="center"/>
          </w:tcPr>
          <w:p>
            <w:pPr>
              <w:spacing w:before="20" w:after="20"/>
            </w:pPr>
            <w:r>
              <w:rPr>
                <w:rFonts w:ascii="游ゴシック" w:hAnsi="游ゴシック" w:eastAsia="游ゴシック"/>
                <w:b w:val="0"/>
                <w:i w:val="0"/>
                <w:sz w:val="17"/>
              </w:rPr>
              <w:t>現行保険料が必要保険料を469円上回る。第10期の水準の判断材料</w:t>
            </w:r>
          </w:p>
        </w:tc>
      </w:tr>
      <w:tr>
        <w:tc>
          <w:tcPr>
            <w:tcW w:type="dxa" w:w="1447"/>
            <w:vAlign w:val="center"/>
          </w:tcPr>
          <w:p>
            <w:pPr>
              <w:keepNext/>
              <w:spacing w:before="20" w:after="20"/>
            </w:pPr>
            <w:r>
              <w:rPr>
                <w:rFonts w:ascii="游ゴシック" w:hAnsi="游ゴシック" w:eastAsia="游ゴシック"/>
                <w:b w:val="0"/>
                <w:i w:val="0"/>
                <w:sz w:val="17"/>
              </w:rPr>
              <w:t>所得段階別保険料率</w:t>
            </w:r>
          </w:p>
        </w:tc>
        <w:tc>
          <w:tcPr>
            <w:tcW w:type="dxa" w:w="2693"/>
            <w:vAlign w:val="center"/>
          </w:tcPr>
          <w:p>
            <w:pPr>
              <w:keepNext/>
              <w:spacing w:before="20" w:after="20"/>
            </w:pPr>
            <w:r>
              <w:rPr>
                <w:rFonts w:ascii="游ゴシック" w:hAnsi="游ゴシック" w:eastAsia="游ゴシック"/>
                <w:b w:val="0"/>
                <w:i w:val="0"/>
                <w:sz w:val="17"/>
              </w:rPr>
              <w:t>第1段階0.285（22,600円）、第2段階0.485（38,500円）、第3段階0.685（54,300円）、第4段階0.900（71,300円）。13段階</w:t>
            </w:r>
          </w:p>
        </w:tc>
        <w:tc>
          <w:tcPr>
            <w:tcW w:type="dxa" w:w="3041"/>
            <w:vAlign w:val="center"/>
          </w:tcPr>
          <w:p>
            <w:pPr>
              <w:keepNext/>
              <w:spacing w:before="20" w:after="20"/>
            </w:pPr>
            <w:r>
              <w:rPr>
                <w:rFonts w:ascii="游ゴシック" w:hAnsi="游ゴシック" w:eastAsia="游ゴシック"/>
                <w:b/>
                <w:i w:val="0"/>
                <w:sz w:val="17"/>
              </w:rPr>
              <w:t>所得第1〜3段階の割合は31.8％（1,094人／3,443人）。</w:t>
            </w:r>
            <w:r>
              <w:rPr>
                <w:rFonts w:ascii="游ゴシック" w:hAnsi="游ゴシック" w:eastAsia="游ゴシック"/>
                <w:b w:val="0"/>
                <w:i w:val="0"/>
                <w:sz w:val="17"/>
              </w:rPr>
              <w:t>年報 様式1 所得段階別の令和7年度末による</w:t>
            </w:r>
          </w:p>
        </w:tc>
        <w:tc>
          <w:tcPr>
            <w:tcW w:type="dxa" w:w="2571"/>
            <w:vAlign w:val="center"/>
          </w:tcPr>
          <w:p>
            <w:pPr>
              <w:keepNext/>
              <w:spacing w:before="20" w:after="20"/>
            </w:pPr>
            <w:r>
              <w:rPr>
                <w:rFonts w:ascii="游ゴシック" w:hAnsi="游ゴシック" w:eastAsia="游ゴシック"/>
                <w:b w:val="0"/>
                <w:i w:val="0"/>
                <w:sz w:val="17"/>
              </w:rPr>
              <w:t>第10期の段階設定と低所得者軽減の検討に用いる</w:t>
            </w:r>
          </w:p>
        </w:tc>
      </w:tr>
      <w:tr>
        <w:tc>
          <w:tcPr>
            <w:tcW w:type="dxa" w:w="1447"/>
            <w:vAlign w:val="center"/>
          </w:tcPr>
          <w:p>
            <w:pPr>
              <w:spacing w:before="20" w:after="20"/>
            </w:pPr>
            <w:r>
              <w:rPr>
                <w:rFonts w:ascii="游ゴシック" w:hAnsi="游ゴシック" w:eastAsia="游ゴシック"/>
                <w:b w:val="0"/>
                <w:i w:val="0"/>
                <w:sz w:val="17"/>
              </w:rPr>
              <w:t>施設サービスの見込み</w:t>
            </w:r>
          </w:p>
        </w:tc>
        <w:tc>
          <w:tcPr>
            <w:tcW w:type="dxa" w:w="2693"/>
            <w:vAlign w:val="center"/>
          </w:tcPr>
          <w:p>
            <w:pPr>
              <w:spacing w:before="20" w:after="20"/>
            </w:pPr>
            <w:r>
              <w:rPr>
                <w:rFonts w:ascii="游ゴシック" w:hAnsi="游ゴシック" w:eastAsia="游ゴシック"/>
                <w:b w:val="0"/>
                <w:i w:val="0"/>
                <w:sz w:val="17"/>
              </w:rPr>
              <w:t>介護老人福祉施設62人（187,243千円）、介護老人保健施設24人（81,076千円）、介護医療院0人</w:t>
            </w:r>
          </w:p>
        </w:tc>
        <w:tc>
          <w:tcPr>
            <w:tcW w:type="dxa" w:w="3041"/>
            <w:vAlign w:val="center"/>
          </w:tcPr>
          <w:p>
            <w:pPr>
              <w:spacing w:before="20" w:after="20"/>
            </w:pPr>
            <w:r>
              <w:rPr>
                <w:rFonts w:ascii="游ゴシック" w:hAnsi="游ゴシック" w:eastAsia="游ゴシック"/>
                <w:b w:val="0"/>
                <w:i w:val="0"/>
                <w:sz w:val="17"/>
              </w:rPr>
              <w:t>施設受給者数は129人（令和8年1月）。施設定員は112人</w:t>
            </w:r>
          </w:p>
        </w:tc>
        <w:tc>
          <w:tcPr>
            <w:tcW w:type="dxa" w:w="2571"/>
            <w:vAlign w:val="center"/>
          </w:tcPr>
          <w:p>
            <w:pPr>
              <w:spacing w:before="20" w:after="20"/>
            </w:pPr>
            <w:r>
              <w:rPr>
                <w:rFonts w:ascii="游ゴシック" w:hAnsi="游ゴシック" w:eastAsia="游ゴシック"/>
                <w:b w:val="0"/>
                <w:i w:val="0"/>
                <w:sz w:val="17"/>
              </w:rPr>
              <w:t>見込人数と受給者数の差は町外施設の利用による。自給率59.74％と整合</w:t>
            </w:r>
          </w:p>
        </w:tc>
      </w:tr>
    </w:tbl>
    <w:p>
      <w:pPr>
        <w:spacing w:after="40"/>
      </w:pPr>
    </w:p>
    <w:p>
      <w:r>
        <w:br w:type="page"/>
      </w:r>
    </w:p>
    <w:p>
      <w:pPr>
        <w:pStyle w:val="Heading1"/>
        <w:keepNext/>
        <w:spacing w:before="240" w:after="100"/>
      </w:pPr>
      <w:bookmarkStart w:id="114" w:name="_Toc_014"/>
      <w:r>
        <w:rPr>
          <w:rFonts w:ascii="游ゴシック" w:hAnsi="游ゴシック" w:eastAsia="游ゴシック"/>
          <w:b/>
          <w:i w:val="0"/>
          <w:color w:val="2E74B5"/>
          <w:sz w:val="30"/>
        </w:rPr>
        <w:t>参考2　確定に残る資料</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61"/>
        <w:gridCol w:w="5089"/>
        <w:gridCol w:w="3101"/>
      </w:tblGrid>
      <w:tr>
        <w:tc>
          <w:tcPr>
            <w:tcW w:type="dxa" w:w="1561"/>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5089"/>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3101"/>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561"/>
            <w:vAlign w:val="center"/>
          </w:tcPr>
          <w:p>
            <w:pPr>
              <w:spacing w:before="20" w:after="20"/>
            </w:pPr>
            <w:r>
              <w:rPr>
                <w:rFonts w:ascii="游ゴシック" w:hAnsi="游ゴシック" w:eastAsia="游ゴシック"/>
                <w:b w:val="0"/>
                <w:i w:val="0"/>
                <w:sz w:val="17"/>
              </w:rPr>
              <w:t>高</w:t>
            </w:r>
          </w:p>
        </w:tc>
        <w:tc>
          <w:tcPr>
            <w:tcW w:type="dxa" w:w="5089"/>
            <w:vAlign w:val="center"/>
          </w:tcPr>
          <w:p>
            <w:pPr>
              <w:spacing w:before="20" w:after="20"/>
            </w:pPr>
            <w:r>
              <w:rPr>
                <w:rFonts w:ascii="游ゴシック" w:hAnsi="游ゴシック" w:eastAsia="游ゴシック"/>
                <w:b w:val="0"/>
                <w:i w:val="0"/>
                <w:sz w:val="17"/>
              </w:rPr>
              <w:t>令和7年度の介護保険特別会計決算と基金の台帳（令和7年度末の残高）</w:t>
            </w:r>
          </w:p>
        </w:tc>
        <w:tc>
          <w:tcPr>
            <w:tcW w:type="dxa" w:w="3101"/>
            <w:vAlign w:val="center"/>
          </w:tcPr>
          <w:p>
            <w:pPr>
              <w:spacing w:before="20" w:after="20"/>
            </w:pPr>
            <w:r>
              <w:rPr>
                <w:rFonts w:ascii="游ゴシック" w:hAnsi="游ゴシック" w:eastAsia="游ゴシック"/>
                <w:b w:val="0"/>
                <w:i w:val="0"/>
                <w:sz w:val="17"/>
              </w:rPr>
              <w:t>第2章4、第6章</w:t>
            </w:r>
          </w:p>
        </w:tc>
      </w:tr>
      <w:tr>
        <w:tc>
          <w:tcPr>
            <w:tcW w:type="dxa" w:w="1561"/>
            <w:vAlign w:val="center"/>
          </w:tcPr>
          <w:p>
            <w:pPr>
              <w:spacing w:before="20" w:after="20"/>
            </w:pPr>
            <w:r>
              <w:rPr>
                <w:rFonts w:ascii="游ゴシック" w:hAnsi="游ゴシック" w:eastAsia="游ゴシック"/>
                <w:b w:val="0"/>
                <w:i w:val="0"/>
                <w:sz w:val="17"/>
              </w:rPr>
              <w:t>高</w:t>
            </w:r>
          </w:p>
        </w:tc>
        <w:tc>
          <w:tcPr>
            <w:tcW w:type="dxa" w:w="5089"/>
            <w:vAlign w:val="center"/>
          </w:tcPr>
          <w:p>
            <w:pPr>
              <w:spacing w:before="20" w:after="20"/>
            </w:pPr>
            <w:r>
              <w:rPr>
                <w:rFonts w:ascii="游ゴシック" w:hAnsi="游ゴシック" w:eastAsia="游ゴシック"/>
                <w:b w:val="0"/>
                <w:i w:val="0"/>
                <w:sz w:val="17"/>
              </w:rPr>
              <w:t>成果指標の現状値（17項目）</w:t>
            </w:r>
          </w:p>
        </w:tc>
        <w:tc>
          <w:tcPr>
            <w:tcW w:type="dxa" w:w="3101"/>
            <w:vAlign w:val="center"/>
          </w:tcPr>
          <w:p>
            <w:pPr>
              <w:spacing w:before="20" w:after="20"/>
            </w:pPr>
            <w:r>
              <w:rPr>
                <w:rFonts w:ascii="游ゴシック" w:hAnsi="游ゴシック" w:eastAsia="游ゴシック"/>
                <w:b w:val="0"/>
                <w:i w:val="0"/>
                <w:sz w:val="17"/>
              </w:rPr>
              <w:t>第5章</w:t>
            </w:r>
          </w:p>
        </w:tc>
      </w:tr>
      <w:tr>
        <w:tc>
          <w:tcPr>
            <w:tcW w:type="dxa" w:w="1561"/>
            <w:vAlign w:val="center"/>
          </w:tcPr>
          <w:p>
            <w:pPr>
              <w:spacing w:before="20" w:after="20"/>
            </w:pPr>
            <w:r>
              <w:rPr>
                <w:rFonts w:ascii="游ゴシック" w:hAnsi="游ゴシック" w:eastAsia="游ゴシック"/>
                <w:b w:val="0"/>
                <w:i w:val="0"/>
                <w:sz w:val="17"/>
              </w:rPr>
              <w:t>高</w:t>
            </w:r>
          </w:p>
        </w:tc>
        <w:tc>
          <w:tcPr>
            <w:tcW w:type="dxa" w:w="5089"/>
            <w:vAlign w:val="center"/>
          </w:tcPr>
          <w:p>
            <w:pPr>
              <w:spacing w:before="20" w:after="20"/>
            </w:pPr>
            <w:r>
              <w:rPr>
                <w:rFonts w:ascii="游ゴシック" w:hAnsi="游ゴシック" w:eastAsia="游ゴシック"/>
                <w:b w:val="0"/>
                <w:i w:val="0"/>
                <w:sz w:val="17"/>
              </w:rPr>
              <w:t>総合事業・通いの場の事業実績</w:t>
            </w:r>
          </w:p>
        </w:tc>
        <w:tc>
          <w:tcPr>
            <w:tcW w:type="dxa" w:w="3101"/>
            <w:vAlign w:val="center"/>
          </w:tcPr>
          <w:p>
            <w:pPr>
              <w:spacing w:before="20" w:after="20"/>
            </w:pPr>
            <w:r>
              <w:rPr>
                <w:rFonts w:ascii="游ゴシック" w:hAnsi="游ゴシック" w:eastAsia="游ゴシック"/>
                <w:b w:val="0"/>
                <w:i w:val="0"/>
                <w:sz w:val="17"/>
              </w:rPr>
              <w:t>第2章、第5章 基本目標1</w:t>
            </w:r>
          </w:p>
        </w:tc>
      </w:tr>
      <w:tr>
        <w:tc>
          <w:tcPr>
            <w:tcW w:type="dxa" w:w="1561"/>
            <w:vAlign w:val="center"/>
          </w:tcPr>
          <w:p>
            <w:pPr>
              <w:spacing w:before="20" w:after="20"/>
            </w:pPr>
            <w:r>
              <w:rPr>
                <w:rFonts w:ascii="游ゴシック" w:hAnsi="游ゴシック" w:eastAsia="游ゴシック"/>
                <w:b w:val="0"/>
                <w:i w:val="0"/>
                <w:sz w:val="17"/>
              </w:rPr>
              <w:t>中</w:t>
            </w:r>
          </w:p>
        </w:tc>
        <w:tc>
          <w:tcPr>
            <w:tcW w:type="dxa" w:w="5089"/>
            <w:vAlign w:val="center"/>
          </w:tcPr>
          <w:p>
            <w:pPr>
              <w:spacing w:before="20" w:after="20"/>
            </w:pPr>
            <w:r>
              <w:rPr>
                <w:rFonts w:ascii="游ゴシック" w:hAnsi="游ゴシック" w:eastAsia="游ゴシック"/>
                <w:b w:val="0"/>
                <w:i w:val="0"/>
                <w:sz w:val="17"/>
              </w:rPr>
              <w:t>令和7年度調査の個票（クロス集計17件）</w:t>
            </w:r>
          </w:p>
        </w:tc>
        <w:tc>
          <w:tcPr>
            <w:tcW w:type="dxa" w:w="3101"/>
            <w:vAlign w:val="center"/>
          </w:tcPr>
          <w:p>
            <w:pPr>
              <w:spacing w:before="20" w:after="20"/>
            </w:pPr>
            <w:r>
              <w:rPr>
                <w:rFonts w:ascii="游ゴシック" w:hAnsi="游ゴシック" w:eastAsia="游ゴシック"/>
                <w:b w:val="0"/>
                <w:i w:val="0"/>
                <w:sz w:val="17"/>
              </w:rPr>
              <w:t>第2章2</w:t>
            </w:r>
          </w:p>
        </w:tc>
      </w:tr>
      <w:tr>
        <w:tc>
          <w:tcPr>
            <w:tcW w:type="dxa" w:w="1561"/>
            <w:vAlign w:val="center"/>
          </w:tcPr>
          <w:p>
            <w:pPr>
              <w:spacing w:before="20" w:after="20"/>
            </w:pPr>
            <w:r>
              <w:rPr>
                <w:rFonts w:ascii="游ゴシック" w:hAnsi="游ゴシック" w:eastAsia="游ゴシック"/>
                <w:b w:val="0"/>
                <w:i w:val="0"/>
                <w:sz w:val="17"/>
              </w:rPr>
              <w:t>中</w:t>
            </w:r>
          </w:p>
        </w:tc>
        <w:tc>
          <w:tcPr>
            <w:tcW w:type="dxa" w:w="5089"/>
            <w:vAlign w:val="center"/>
          </w:tcPr>
          <w:p>
            <w:pPr>
              <w:spacing w:before="20" w:after="20"/>
            </w:pPr>
            <w:r>
              <w:rPr>
                <w:rFonts w:ascii="游ゴシック" w:hAnsi="游ゴシック" w:eastAsia="游ゴシック"/>
                <w:b w:val="0"/>
                <w:i w:val="0"/>
                <w:sz w:val="17"/>
              </w:rPr>
              <w:t>施設整備の予定（第10期における整備計画の有無）</w:t>
            </w:r>
          </w:p>
        </w:tc>
        <w:tc>
          <w:tcPr>
            <w:tcW w:type="dxa" w:w="3101"/>
            <w:vAlign w:val="center"/>
          </w:tcPr>
          <w:p>
            <w:pPr>
              <w:spacing w:before="20" w:after="20"/>
            </w:pPr>
            <w:r>
              <w:rPr>
                <w:rFonts w:ascii="游ゴシック" w:hAnsi="游ゴシック" w:eastAsia="游ゴシック"/>
                <w:b w:val="0"/>
                <w:i w:val="0"/>
                <w:sz w:val="17"/>
              </w:rPr>
              <w:t>第5章 基本目標3、第6章</w:t>
            </w:r>
          </w:p>
        </w:tc>
      </w:tr>
      <w:tr>
        <w:tc>
          <w:tcPr>
            <w:tcW w:type="dxa" w:w="1561"/>
            <w:vAlign w:val="center"/>
          </w:tcPr>
          <w:p>
            <w:pPr>
              <w:keepNext/>
              <w:spacing w:before="20" w:after="20"/>
            </w:pPr>
            <w:r>
              <w:rPr>
                <w:rFonts w:ascii="游ゴシック" w:hAnsi="游ゴシック" w:eastAsia="游ゴシック"/>
                <w:b w:val="0"/>
                <w:i w:val="0"/>
                <w:sz w:val="17"/>
              </w:rPr>
              <w:t>中</w:t>
            </w:r>
          </w:p>
        </w:tc>
        <w:tc>
          <w:tcPr>
            <w:tcW w:type="dxa" w:w="5089"/>
            <w:vAlign w:val="center"/>
          </w:tcPr>
          <w:p>
            <w:pPr>
              <w:keepNext/>
              <w:spacing w:before="20" w:after="20"/>
            </w:pPr>
            <w:r>
              <w:rPr>
                <w:rFonts w:ascii="游ゴシック" w:hAnsi="游ゴシック" w:eastAsia="游ゴシック"/>
                <w:b w:val="0"/>
                <w:i w:val="0"/>
                <w:sz w:val="17"/>
              </w:rPr>
              <w:t>介護報酬改定率・第1号被保険者負担割合（国）</w:t>
            </w:r>
          </w:p>
        </w:tc>
        <w:tc>
          <w:tcPr>
            <w:tcW w:type="dxa" w:w="3101"/>
            <w:vAlign w:val="center"/>
          </w:tcPr>
          <w:p>
            <w:pPr>
              <w:keepNext/>
              <w:spacing w:before="20" w:after="20"/>
            </w:pPr>
            <w:r>
              <w:rPr>
                <w:rFonts w:ascii="游ゴシック" w:hAnsi="游ゴシック" w:eastAsia="游ゴシック"/>
                <w:b w:val="0"/>
                <w:i w:val="0"/>
                <w:sz w:val="17"/>
              </w:rPr>
              <w:t>第6章</w:t>
            </w:r>
          </w:p>
        </w:tc>
      </w:tr>
      <w:tr>
        <w:tc>
          <w:tcPr>
            <w:tcW w:type="dxa" w:w="1561"/>
            <w:vAlign w:val="center"/>
          </w:tcPr>
          <w:p>
            <w:pPr>
              <w:spacing w:before="20" w:after="20"/>
            </w:pPr>
            <w:r>
              <w:rPr>
                <w:rFonts w:ascii="游ゴシック" w:hAnsi="游ゴシック" w:eastAsia="游ゴシック"/>
                <w:b w:val="0"/>
                <w:i w:val="0"/>
                <w:sz w:val="17"/>
              </w:rPr>
              <w:t>中</w:t>
            </w:r>
          </w:p>
        </w:tc>
        <w:tc>
          <w:tcPr>
            <w:tcW w:type="dxa" w:w="5089"/>
            <w:vAlign w:val="center"/>
          </w:tcPr>
          <w:p>
            <w:pPr>
              <w:spacing w:before="20" w:after="20"/>
            </w:pPr>
            <w:r>
              <w:rPr>
                <w:rFonts w:ascii="游ゴシック" w:hAnsi="游ゴシック" w:eastAsia="游ゴシック"/>
                <w:b w:val="0"/>
                <w:i w:val="0"/>
                <w:sz w:val="17"/>
              </w:rPr>
              <w:t>国の基本指針の告示（令和8年11月頃）</w:t>
            </w:r>
          </w:p>
        </w:tc>
        <w:tc>
          <w:tcPr>
            <w:tcW w:type="dxa" w:w="3101"/>
            <w:vAlign w:val="center"/>
          </w:tcPr>
          <w:p>
            <w:pPr>
              <w:spacing w:before="20" w:after="20"/>
            </w:pPr>
            <w:r>
              <w:rPr>
                <w:rFonts w:ascii="游ゴシック" w:hAnsi="游ゴシック" w:eastAsia="游ゴシック"/>
                <w:b w:val="0"/>
                <w:i w:val="0"/>
                <w:sz w:val="17"/>
              </w:rPr>
              <w:t>全体</w:t>
            </w:r>
          </w:p>
        </w:tc>
      </w:tr>
    </w:tbl>
    <w:p>
      <w:pPr>
        <w:spacing w:after="40"/>
      </w:pPr>
    </w:p>
    <w:p>
      <w:pPr>
        <w:pStyle w:val="Heading1"/>
        <w:keepNext/>
        <w:spacing w:before="240" w:after="100"/>
      </w:pPr>
      <w:bookmarkStart w:id="115" w:name="_Toc_015"/>
      <w:r>
        <w:rPr>
          <w:rFonts w:ascii="游ゴシック" w:hAnsi="游ゴシック" w:eastAsia="游ゴシック"/>
          <w:b/>
          <w:i w:val="0"/>
          <w:color w:val="2E74B5"/>
          <w:sz w:val="30"/>
        </w:rPr>
        <w:t>参考3　第5版での主な変更点</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73"/>
        <w:gridCol w:w="3777"/>
        <w:gridCol w:w="4001"/>
      </w:tblGrid>
      <w:tr>
        <w:tc>
          <w:tcPr>
            <w:tcW w:type="dxa" w:w="19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77"/>
            <w:shd w:val="clear" w:fill="1F3864"/>
            <w:vAlign w:val="center"/>
          </w:tcPr>
          <w:p>
            <w:pPr>
              <w:spacing w:before="20" w:after="20"/>
              <w:jc w:val="center"/>
            </w:pPr>
            <w:r>
              <w:rPr>
                <w:rFonts w:ascii="游ゴシック" w:hAnsi="游ゴシック" w:eastAsia="游ゴシック"/>
                <w:b/>
                <w:i w:val="0"/>
                <w:color w:val="FFFFFF"/>
                <w:sz w:val="17"/>
              </w:rPr>
              <w:t>第4版まで</w:t>
            </w:r>
          </w:p>
        </w:tc>
        <w:tc>
          <w:tcPr>
            <w:tcW w:type="dxa" w:w="4001"/>
            <w:shd w:val="clear" w:fill="1F3864"/>
            <w:vAlign w:val="center"/>
          </w:tcPr>
          <w:p>
            <w:pPr>
              <w:spacing w:before="20" w:after="20"/>
              <w:jc w:val="center"/>
            </w:pPr>
            <w:r>
              <w:rPr>
                <w:rFonts w:ascii="游ゴシック" w:hAnsi="游ゴシック" w:eastAsia="游ゴシック"/>
                <w:b/>
                <w:i w:val="0"/>
                <w:color w:val="FFFFFF"/>
                <w:sz w:val="17"/>
              </w:rPr>
              <w:t>第5版（確定版）</w:t>
            </w:r>
          </w:p>
        </w:tc>
      </w:tr>
      <w:tr>
        <w:tc>
          <w:tcPr>
            <w:tcW w:type="dxa" w:w="1973"/>
            <w:vAlign w:val="center"/>
          </w:tcPr>
          <w:p>
            <w:pPr>
              <w:spacing w:before="20" w:after="20"/>
            </w:pPr>
            <w:r>
              <w:rPr>
                <w:rFonts w:ascii="游ゴシック" w:hAnsi="游ゴシック" w:eastAsia="游ゴシック"/>
                <w:b w:val="0"/>
                <w:i w:val="0"/>
                <w:sz w:val="17"/>
              </w:rPr>
              <w:t>章の見出し</w:t>
            </w:r>
          </w:p>
        </w:tc>
        <w:tc>
          <w:tcPr>
            <w:tcW w:type="dxa" w:w="3777"/>
            <w:vAlign w:val="center"/>
          </w:tcPr>
          <w:p>
            <w:pPr>
              <w:spacing w:before="20" w:after="20"/>
            </w:pPr>
            <w:r>
              <w:rPr>
                <w:rFonts w:ascii="游ゴシック" w:hAnsi="游ゴシック" w:eastAsia="游ゴシック"/>
                <w:b w:val="0"/>
                <w:i w:val="0"/>
                <w:sz w:val="17"/>
              </w:rPr>
              <w:t>本文の章番号が素案と異なっていた（第3章 基本的考え方・第4章 施策）</w:t>
            </w:r>
          </w:p>
        </w:tc>
        <w:tc>
          <w:tcPr>
            <w:tcW w:type="dxa" w:w="4001"/>
            <w:vAlign w:val="center"/>
          </w:tcPr>
          <w:p>
            <w:pPr>
              <w:spacing w:before="20" w:after="20"/>
            </w:pPr>
            <w:r>
              <w:rPr>
                <w:rFonts w:ascii="游ゴシック" w:hAnsi="游ゴシック" w:eastAsia="游ゴシック"/>
                <w:b w:val="0"/>
                <w:i w:val="0"/>
                <w:sz w:val="17"/>
              </w:rPr>
              <w:t>素案（第16版）の章番号にそろえた（第4章 基本的考え方・第5章 施策の展開）</w:t>
            </w:r>
          </w:p>
        </w:tc>
      </w:tr>
      <w:tr>
        <w:tc>
          <w:tcPr>
            <w:tcW w:type="dxa" w:w="1973"/>
            <w:vAlign w:val="center"/>
          </w:tcPr>
          <w:p>
            <w:pPr>
              <w:spacing w:before="20" w:after="20"/>
            </w:pPr>
            <w:r>
              <w:rPr>
                <w:rFonts w:ascii="游ゴシック" w:hAnsi="游ゴシック" w:eastAsia="游ゴシック"/>
                <w:b w:val="0"/>
                <w:i w:val="0"/>
                <w:sz w:val="17"/>
              </w:rPr>
              <w:t>第3章・第6章</w:t>
            </w:r>
          </w:p>
        </w:tc>
        <w:tc>
          <w:tcPr>
            <w:tcW w:type="dxa" w:w="3777"/>
            <w:vAlign w:val="center"/>
          </w:tcPr>
          <w:p>
            <w:pPr>
              <w:spacing w:before="20" w:after="20"/>
            </w:pPr>
            <w:r>
              <w:rPr>
                <w:rFonts w:ascii="游ゴシック" w:hAnsi="游ゴシック" w:eastAsia="游ゴシック"/>
                <w:b w:val="0"/>
                <w:i w:val="0"/>
                <w:sz w:val="17"/>
              </w:rPr>
              <w:t>なし</w:t>
            </w:r>
          </w:p>
        </w:tc>
        <w:tc>
          <w:tcPr>
            <w:tcW w:type="dxa" w:w="4001"/>
            <w:vAlign w:val="center"/>
          </w:tcPr>
          <w:p>
            <w:pPr>
              <w:spacing w:before="20" w:after="20"/>
            </w:pPr>
            <w:r>
              <w:rPr>
                <w:rFonts w:ascii="游ゴシック" w:hAnsi="游ゴシック" w:eastAsia="游ゴシック"/>
                <w:b w:val="0"/>
                <w:i w:val="0"/>
                <w:sz w:val="17"/>
              </w:rPr>
              <w:t>第9期の評価と、保険料のケース（基金の3案・施設整備）の要約を加えた</w:t>
            </w:r>
          </w:p>
        </w:tc>
      </w:tr>
      <w:tr>
        <w:tc>
          <w:tcPr>
            <w:tcW w:type="dxa" w:w="1973"/>
            <w:vAlign w:val="center"/>
          </w:tcPr>
          <w:p>
            <w:pPr>
              <w:keepNext/>
              <w:spacing w:before="20" w:after="20"/>
            </w:pPr>
            <w:r>
              <w:rPr>
                <w:rFonts w:ascii="游ゴシック" w:hAnsi="游ゴシック" w:eastAsia="游ゴシック"/>
                <w:b w:val="0"/>
                <w:i w:val="0"/>
                <w:sz w:val="17"/>
              </w:rPr>
              <w:t>状況の欄</w:t>
            </w:r>
          </w:p>
        </w:tc>
        <w:tc>
          <w:tcPr>
            <w:tcW w:type="dxa" w:w="3777"/>
            <w:vAlign w:val="center"/>
          </w:tcPr>
          <w:p>
            <w:pPr>
              <w:keepNext/>
              <w:spacing w:before="20" w:after="20"/>
            </w:pPr>
            <w:r>
              <w:rPr>
                <w:rFonts w:ascii="游ゴシック" w:hAnsi="游ゴシック" w:eastAsia="游ゴシック"/>
                <w:b w:val="0"/>
                <w:i w:val="0"/>
                <w:sz w:val="17"/>
              </w:rPr>
              <w:t>受領前の記載が残っていた</w:t>
            </w:r>
          </w:p>
        </w:tc>
        <w:tc>
          <w:tcPr>
            <w:tcW w:type="dxa" w:w="4001"/>
            <w:vAlign w:val="center"/>
          </w:tcPr>
          <w:p>
            <w:pPr>
              <w:keepNext/>
              <w:spacing w:before="20" w:after="20"/>
            </w:pPr>
            <w:r>
              <w:rPr>
                <w:rFonts w:ascii="游ゴシック" w:hAnsi="游ゴシック" w:eastAsia="游ゴシック"/>
                <w:b w:val="0"/>
                <w:i w:val="0"/>
                <w:sz w:val="17"/>
              </w:rPr>
              <w:t>年報・月報・推計人口・調査結果・財務書類の受領を反映した</w:t>
            </w:r>
          </w:p>
        </w:tc>
      </w:tr>
      <w:tr>
        <w:tc>
          <w:tcPr>
            <w:tcW w:type="dxa" w:w="1973"/>
            <w:vAlign w:val="center"/>
          </w:tcPr>
          <w:p>
            <w:pPr>
              <w:spacing w:before="20" w:after="20"/>
            </w:pPr>
            <w:r>
              <w:rPr>
                <w:rFonts w:ascii="游ゴシック" w:hAnsi="游ゴシック" w:eastAsia="游ゴシック"/>
                <w:b w:val="0"/>
                <w:i w:val="0"/>
                <w:sz w:val="17"/>
              </w:rPr>
              <w:t>確定に必要な資料</w:t>
            </w:r>
          </w:p>
        </w:tc>
        <w:tc>
          <w:tcPr>
            <w:tcW w:type="dxa" w:w="3777"/>
            <w:vAlign w:val="center"/>
          </w:tcPr>
          <w:p>
            <w:pPr>
              <w:spacing w:before="20" w:after="20"/>
            </w:pPr>
            <w:r>
              <w:rPr>
                <w:rFonts w:ascii="游ゴシック" w:hAnsi="游ゴシック" w:eastAsia="游ゴシック"/>
                <w:b w:val="0"/>
                <w:i w:val="0"/>
                <w:sz w:val="17"/>
              </w:rPr>
              <w:t>15項目</w:t>
            </w:r>
          </w:p>
        </w:tc>
        <w:tc>
          <w:tcPr>
            <w:tcW w:type="dxa" w:w="4001"/>
            <w:vAlign w:val="center"/>
          </w:tcPr>
          <w:p>
            <w:pPr>
              <w:spacing w:before="20" w:after="20"/>
            </w:pPr>
            <w:r>
              <w:rPr>
                <w:rFonts w:ascii="游ゴシック" w:hAnsi="游ゴシック" w:eastAsia="游ゴシック"/>
                <w:b w:val="0"/>
                <w:i w:val="0"/>
                <w:sz w:val="17"/>
              </w:rPr>
              <w:t>残るもの7項目に絞った</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