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游ゴシック" w:cs="游ゴシック" w:eastAsia="游ゴシック" w:hAnsi="游ゴシック"/>
          <w:b/>
          <w:bCs/>
          <w:sz w:val="32"/>
          <w:szCs w:val="32"/>
        </w:rPr>
        <w:t xml:space="preserve">料金体系統一化による水産加工業への影響定量化</w:t>
      </w:r>
    </w:p>
    <w:p>
      <w:pPr>
        <w:spacing w:after="400"/>
        <w:jc w:val="center"/>
      </w:pPr>
      <w:r>
        <w:rPr>
          <w:rFonts w:ascii="游ゴシック" w:cs="游ゴシック" w:eastAsia="游ゴシック" w:hAnsi="游ゴシック"/>
          <w:color w:val="555555"/>
          <w:sz w:val="22"/>
          <w:szCs w:val="22"/>
        </w:rPr>
        <w:t xml:space="preserve">― 女川町を対象とした規模別・経過措置別シミュレーション ―</w:t>
      </w:r>
    </w:p>
    <w:p>
      <w:pPr>
        <w:pStyle w:val="Heading1"/>
      </w:pPr>
      <w:r>
        <w:rPr>
          <w:rFonts w:ascii="游ゴシック" w:cs="游ゴシック" w:eastAsia="游ゴシック" w:hAnsi="游ゴシック"/>
        </w:rPr>
        <w:t xml:space="preserve">1. 試算の目的と位置づけ</w:t>
      </w:r>
    </w:p>
    <w:p>
      <w:pPr>
        <w:spacing w:after="60" w:before="60" w:line="340"/>
        <w:jc w:val="left"/>
      </w:pPr>
      <w:r>
        <w:rPr>
          <w:rFonts w:ascii="游明朝" w:cs="游明朝" w:eastAsia="游明朝" w:hAnsi="游明朝"/>
          <w:b w:val="false"/>
          <w:bCs w:val="false"/>
          <w:sz w:val="22"/>
          <w:szCs w:val="22"/>
        </w:rPr>
        <w:t xml:space="preserve">本資料は、宮城県内水道料金体系の統一化を検討するにあたり、女川町の基幹産業である水産加工業への影響を定量化するための試算である。現行の女川町料金体系(逓減制)と、県内他団体(石巻広域・仙台市等)で一般的な逓増制の統一料金を適用した場合の影響を、使用量規模別に比較する。</w:t>
      </w:r>
    </w:p>
    <w:p>
      <w:r>
        <w:t xml:space="preserve"/>
      </w:r>
    </w:p>
    <w:p>
      <w:pPr>
        <w:spacing w:after="60" w:before="60" w:line="340"/>
        <w:jc w:val="left"/>
      </w:pPr>
      <w:r>
        <w:rPr>
          <w:rFonts w:ascii="游明朝" w:cs="游明朝" w:eastAsia="游明朝" w:hAnsi="游明朝"/>
          <w:b w:val="false"/>
          <w:bCs w:val="false"/>
          <w:sz w:val="22"/>
          <w:szCs w:val="22"/>
        </w:rPr>
        <w:t xml:space="preserve">※ 統一料金の具体的水準は今後の決定事項であるため、本試算の『統一後料金』は議論のたたき台としての仮置き値である。実際の政策設計段階では、県内既存団体の加重平均、財政条件の平準化状況、目標給水原価等を踏まえた精緻な設計が必要となる。</w:t>
      </w:r>
    </w:p>
    <w:p>
      <w:r>
        <w:t xml:space="preserve"/>
      </w:r>
    </w:p>
    <w:p>
      <w:pPr>
        <w:pStyle w:val="Heading1"/>
      </w:pPr>
      <w:r>
        <w:rPr>
          <w:rFonts w:ascii="游ゴシック" w:cs="游ゴシック" w:eastAsia="游ゴシック" w:hAnsi="游ゴシック"/>
        </w:rPr>
        <w:t xml:space="preserve">2. 試算の前提条件</w:t>
      </w:r>
    </w:p>
    <w:p>
      <w:pPr>
        <w:pStyle w:val="Heading2"/>
      </w:pPr>
      <w:r>
        <w:rPr>
          <w:rFonts w:ascii="游ゴシック" w:cs="游ゴシック" w:eastAsia="游ゴシック" w:hAnsi="游ゴシック"/>
        </w:rPr>
        <w:t xml:space="preserve">2.1 現行(女川町)の料金構造</w:t>
      </w:r>
    </w:p>
    <w:p>
      <w:pPr>
        <w:pStyle w:val="ListParagraph"/>
        <w:numPr>
          <w:ilvl w:val="0"/>
          <w:numId w:val="2"/>
        </w:numPr>
        <w:spacing w:after="40" w:before="40" w:line="320"/>
      </w:pPr>
      <w:r>
        <w:rPr>
          <w:rFonts w:ascii="游明朝" w:cs="游明朝" w:eastAsia="游明朝" w:hAnsi="游明朝"/>
          <w:sz w:val="22"/>
          <w:szCs w:val="22"/>
        </w:rPr>
        <w:t xml:space="preserve">基本料金: 0~5㎥ = 990円、6~10㎥ = 1,210円(一般用・税込)</w:t>
      </w:r>
    </w:p>
    <w:p>
      <w:pPr>
        <w:pStyle w:val="ListParagraph"/>
        <w:numPr>
          <w:ilvl w:val="0"/>
          <w:numId w:val="2"/>
        </w:numPr>
        <w:spacing w:after="40" w:before="40" w:line="320"/>
      </w:pPr>
      <w:r>
        <w:rPr>
          <w:rFonts w:ascii="游明朝" w:cs="游明朝" w:eastAsia="游明朝" w:hAnsi="游明朝"/>
          <w:sz w:val="22"/>
          <w:szCs w:val="22"/>
        </w:rPr>
        <w:t xml:space="preserve">従量料金: 11~100㎥ = 121円/㎥、101㎥超 = 110円/㎥ (『逓減制』)</w:t>
      </w:r>
    </w:p>
    <w:p>
      <w:pPr>
        <w:pStyle w:val="ListParagraph"/>
        <w:numPr>
          <w:ilvl w:val="0"/>
          <w:numId w:val="2"/>
        </w:numPr>
        <w:spacing w:after="40" w:before="40" w:line="320"/>
      </w:pPr>
      <w:r>
        <w:rPr>
          <w:rFonts w:ascii="游明朝" w:cs="游明朝" w:eastAsia="游明朝" w:hAnsi="游明朝"/>
          <w:sz w:val="22"/>
          <w:szCs w:val="22"/>
        </w:rPr>
        <w:t xml:space="preserve">メーター使用料(月額/税込): 13mm=55、20mm=77、25mm=110、40mm=220、50mm=880、75mm=1,100、100mm=1,320、150mm=3,300</w:t>
      </w:r>
    </w:p>
    <w:p>
      <w:r>
        <w:t xml:space="preserve"/>
      </w:r>
    </w:p>
    <w:p>
      <w:pPr>
        <w:pStyle w:val="Heading2"/>
      </w:pPr>
      <w:r>
        <w:rPr>
          <w:rFonts w:ascii="游ゴシック" w:cs="游ゴシック" w:eastAsia="游ゴシック" w:hAnsi="游ゴシック"/>
        </w:rPr>
        <w:t xml:space="preserve">2.2 統一料金(仮置き)の構造</w:t>
      </w:r>
    </w:p>
    <w:p>
      <w:pPr>
        <w:spacing w:after="60" w:before="60" w:line="340"/>
        <w:jc w:val="left"/>
      </w:pPr>
      <w:r>
        <w:rPr>
          <w:rFonts w:ascii="游明朝" w:cs="游明朝" w:eastAsia="游明朝" w:hAnsi="游明朝"/>
          <w:b w:val="false"/>
          <w:bCs w:val="false"/>
          <w:sz w:val="22"/>
          <w:szCs w:val="22"/>
        </w:rPr>
        <w:t xml:space="preserve">県内主要団体で多く採用されている口径別基本料金+段階逓増型を想定。基本料金・水量料金とも一般的な水準を議論用に設定した。</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口径</w:t>
            </w:r>
          </w:p>
        </w:tc>
        <w:tc>
          <w:tcPr>
            <w:tcW w:type="dxa" w:w="220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基本料金(月額・税抜)</w:t>
            </w:r>
          </w:p>
        </w:tc>
        <w:tc>
          <w:tcPr>
            <w:tcW w:type="dxa" w:w="248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水量区分</w:t>
            </w:r>
          </w:p>
        </w:tc>
        <w:tc>
          <w:tcPr>
            <w:tcW w:type="dxa" w:w="248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水量料金(税抜)</w:t>
            </w:r>
          </w:p>
        </w:tc>
      </w:tr>
      <w:tr>
        <w:tc>
          <w:tcPr>
            <w:tcW w:type="dxa" w:w="2200"/>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13mm</w:t>
            </w:r>
          </w:p>
        </w:tc>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1,210円</w:t>
            </w:r>
          </w:p>
        </w:tc>
        <w:tc>
          <w:tcPr>
            <w:tcW w:type="dxa" w:w="24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~10㎥(基本水量に含む)</w:t>
            </w:r>
          </w:p>
        </w:tc>
        <w:tc>
          <w:tcPr>
            <w:tcW w:type="dxa" w:w="24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0円</w:t>
            </w:r>
          </w:p>
        </w:tc>
      </w:tr>
      <w:tr>
        <w:tc>
          <w:tcPr>
            <w:tcW w:type="dxa" w:w="2200"/>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20mm</w:t>
            </w:r>
          </w:p>
        </w:tc>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1,672円</w:t>
            </w:r>
          </w:p>
        </w:tc>
        <w:tc>
          <w:tcPr>
            <w:tcW w:type="dxa" w:w="24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11~20㎥</w:t>
            </w:r>
          </w:p>
        </w:tc>
        <w:tc>
          <w:tcPr>
            <w:tcW w:type="dxa" w:w="24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165円/㎥</w:t>
            </w:r>
          </w:p>
        </w:tc>
      </w:tr>
      <w:tr>
        <w:tc>
          <w:tcPr>
            <w:tcW w:type="dxa" w:w="2200"/>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25mm</w:t>
            </w:r>
          </w:p>
        </w:tc>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2,200円</w:t>
            </w:r>
          </w:p>
        </w:tc>
        <w:tc>
          <w:tcPr>
            <w:tcW w:type="dxa" w:w="24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21~50㎥</w:t>
            </w:r>
          </w:p>
        </w:tc>
        <w:tc>
          <w:tcPr>
            <w:tcW w:type="dxa" w:w="24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220円/㎥</w:t>
            </w:r>
          </w:p>
        </w:tc>
      </w:tr>
      <w:tr>
        <w:tc>
          <w:tcPr>
            <w:tcW w:type="dxa" w:w="2200"/>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40mm</w:t>
            </w:r>
          </w:p>
        </w:tc>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4,400円</w:t>
            </w:r>
          </w:p>
        </w:tc>
        <w:tc>
          <w:tcPr>
            <w:tcW w:type="dxa" w:w="24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51~200㎥</w:t>
            </w:r>
          </w:p>
        </w:tc>
        <w:tc>
          <w:tcPr>
            <w:tcW w:type="dxa" w:w="24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275円/㎥</w:t>
            </w:r>
          </w:p>
        </w:tc>
      </w:tr>
      <w:tr>
        <w:tc>
          <w:tcPr>
            <w:tcW w:type="dxa" w:w="2200"/>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50mm</w:t>
            </w:r>
          </w:p>
        </w:tc>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7,700円</w:t>
            </w:r>
          </w:p>
        </w:tc>
        <w:tc>
          <w:tcPr>
            <w:tcW w:type="dxa" w:w="24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201~500㎥</w:t>
            </w:r>
          </w:p>
        </w:tc>
        <w:tc>
          <w:tcPr>
            <w:tcW w:type="dxa" w:w="24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330円/㎥</w:t>
            </w:r>
          </w:p>
        </w:tc>
      </w:tr>
      <w:tr>
        <w:tc>
          <w:tcPr>
            <w:tcW w:type="dxa" w:w="2200"/>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75mm</w:t>
            </w:r>
          </w:p>
        </w:tc>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15,400円</w:t>
            </w:r>
          </w:p>
        </w:tc>
        <w:tc>
          <w:tcPr>
            <w:tcW w:type="dxa" w:w="24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501~1,000㎥</w:t>
            </w:r>
          </w:p>
        </w:tc>
        <w:tc>
          <w:tcPr>
            <w:tcW w:type="dxa" w:w="24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385円/㎥</w:t>
            </w:r>
          </w:p>
        </w:tc>
      </w:tr>
      <w:tr>
        <w:tc>
          <w:tcPr>
            <w:tcW w:type="dxa" w:w="2200"/>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100mm</w:t>
            </w:r>
          </w:p>
        </w:tc>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27,500円</w:t>
            </w:r>
          </w:p>
        </w:tc>
        <w:tc>
          <w:tcPr>
            <w:tcW w:type="dxa" w:w="24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1,001㎥超</w:t>
            </w:r>
          </w:p>
        </w:tc>
        <w:tc>
          <w:tcPr>
            <w:tcW w:type="dxa" w:w="24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440円/㎥</w:t>
            </w:r>
          </w:p>
        </w:tc>
      </w:tr>
      <w:tr>
        <w:tc>
          <w:tcPr>
            <w:tcW w:type="dxa" w:w="2200"/>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150mm</w:t>
            </w:r>
          </w:p>
        </w:tc>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55,000円</w:t>
            </w:r>
          </w:p>
        </w:tc>
        <w:tc>
          <w:tcPr>
            <w:tcW w:type="dxa" w:w="24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w:t>
            </w:r>
          </w:p>
        </w:tc>
        <w:tc>
          <w:tcPr>
            <w:tcW w:type="dxa" w:w="24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w:t>
            </w:r>
          </w:p>
        </w:tc>
      </w:tr>
    </w:tbl>
    <w:p>
      <w:r>
        <w:t xml:space="preserve"/>
      </w:r>
    </w:p>
    <w:p>
      <w:pPr>
        <w:pStyle w:val="Heading2"/>
      </w:pPr>
      <w:r>
        <w:rPr>
          <w:rFonts w:ascii="游ゴシック" w:cs="游ゴシック" w:eastAsia="游ゴシック" w:hAnsi="游ゴシック"/>
        </w:rPr>
        <w:t xml:space="preserve">2.3 対象セグメント(水産加工団地19社の分布想定)</w:t>
      </w:r>
    </w:p>
    <w:p>
      <w:pPr>
        <w:spacing w:after="60" w:before="60" w:line="340"/>
        <w:jc w:val="left"/>
      </w:pPr>
      <w:r>
        <w:rPr>
          <w:rFonts w:ascii="游明朝" w:cs="游明朝" w:eastAsia="游明朝" w:hAnsi="游明朝"/>
          <w:b w:val="false"/>
          <w:bCs w:val="false"/>
          <w:sz w:val="22"/>
          <w:szCs w:val="22"/>
        </w:rPr>
        <w:t xml:space="preserve">女川町水産加工団地用地使用事業者19社について、規模別の分布を以下のように想定した。女川町公表情報に基づく事業者数と、水産加工業の一般的な水使用パターンから設定。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60"/>
        <w:gridCol w:w="1800"/>
        <w:gridCol w:w="1500"/>
        <w:gridCol w:w="2500"/>
      </w:tblGrid>
      <w:tr>
        <w:tc>
          <w:tcPr>
            <w:tcW w:type="dxa" w:w="200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区分</w:t>
            </w:r>
          </w:p>
        </w:tc>
        <w:tc>
          <w:tcPr>
            <w:tcW w:type="dxa" w:w="156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メーター口径</w:t>
            </w:r>
          </w:p>
        </w:tc>
        <w:tc>
          <w:tcPr>
            <w:tcW w:type="dxa" w:w="180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月間使用量</w:t>
            </w:r>
          </w:p>
        </w:tc>
        <w:tc>
          <w:tcPr>
            <w:tcW w:type="dxa" w:w="150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想定社数</w:t>
            </w:r>
          </w:p>
        </w:tc>
        <w:tc>
          <w:tcPr>
            <w:tcW w:type="dxa" w:w="250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典型例</w:t>
            </w:r>
          </w:p>
        </w:tc>
      </w:tr>
      <w:tr>
        <w:tc>
          <w:tcPr>
            <w:tcW w:type="dxa" w:w="2000"/>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tcPr>
          <w:p>
            <w:pPr>
              <w:jc w:val="left"/>
            </w:pPr>
            <w:r>
              <w:rPr>
                <w:rFonts w:ascii="游ゴシック" w:cs="游ゴシック" w:eastAsia="游ゴシック" w:hAnsi="游ゴシック"/>
                <w:b/>
                <w:bCs/>
                <w:color w:val="000000"/>
                <w:sz w:val="18"/>
                <w:szCs w:val="18"/>
              </w:rPr>
              <w:t xml:space="preserve">小規模</w:t>
            </w:r>
          </w:p>
        </w:tc>
        <w:tc>
          <w:tcPr>
            <w:tcW w:type="dxa" w:w="15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25mm</w:t>
            </w:r>
          </w:p>
        </w:tc>
        <w:tc>
          <w:tcPr>
            <w:tcW w:type="dxa" w:w="1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200㎥/月</w:t>
            </w:r>
          </w:p>
        </w:tc>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5社</w:t>
            </w:r>
          </w:p>
        </w:tc>
        <w:tc>
          <w:tcPr>
            <w:tcW w:type="dxa" w:w="2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color w:val="000000"/>
                <w:sz w:val="18"/>
                <w:szCs w:val="18"/>
              </w:rPr>
              <w:t xml:space="preserve">個人・家族経営の加工場</w:t>
            </w:r>
          </w:p>
        </w:tc>
      </w:tr>
      <w:tr>
        <w:tc>
          <w:tcPr>
            <w:tcW w:type="dxa" w:w="2000"/>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tcPr>
          <w:p>
            <w:pPr>
              <w:jc w:val="left"/>
            </w:pPr>
            <w:r>
              <w:rPr>
                <w:rFonts w:ascii="游ゴシック" w:cs="游ゴシック" w:eastAsia="游ゴシック" w:hAnsi="游ゴシック"/>
                <w:b/>
                <w:bCs/>
                <w:color w:val="000000"/>
                <w:sz w:val="18"/>
                <w:szCs w:val="18"/>
              </w:rPr>
              <w:t xml:space="preserve">中規模</w:t>
            </w:r>
          </w:p>
        </w:tc>
        <w:tc>
          <w:tcPr>
            <w:tcW w:type="dxa" w:w="15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50mm</w:t>
            </w:r>
          </w:p>
        </w:tc>
        <w:tc>
          <w:tcPr>
            <w:tcW w:type="dxa" w:w="1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1,000㎥/月</w:t>
            </w:r>
          </w:p>
        </w:tc>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8社</w:t>
            </w:r>
          </w:p>
        </w:tc>
        <w:tc>
          <w:tcPr>
            <w:tcW w:type="dxa" w:w="2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color w:val="000000"/>
                <w:sz w:val="18"/>
                <w:szCs w:val="18"/>
              </w:rPr>
              <w:t xml:space="preserve">一般的な水産加工会社</w:t>
            </w:r>
          </w:p>
        </w:tc>
      </w:tr>
      <w:tr>
        <w:tc>
          <w:tcPr>
            <w:tcW w:type="dxa" w:w="2000"/>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tcPr>
          <w:p>
            <w:pPr>
              <w:jc w:val="left"/>
            </w:pPr>
            <w:r>
              <w:rPr>
                <w:rFonts w:ascii="游ゴシック" w:cs="游ゴシック" w:eastAsia="游ゴシック" w:hAnsi="游ゴシック"/>
                <w:b/>
                <w:bCs/>
                <w:color w:val="000000"/>
                <w:sz w:val="18"/>
                <w:szCs w:val="18"/>
              </w:rPr>
              <w:t xml:space="preserve">大規模</w:t>
            </w:r>
          </w:p>
        </w:tc>
        <w:tc>
          <w:tcPr>
            <w:tcW w:type="dxa" w:w="15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75mm</w:t>
            </w:r>
          </w:p>
        </w:tc>
        <w:tc>
          <w:tcPr>
            <w:tcW w:type="dxa" w:w="1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3,000㎥/月</w:t>
            </w:r>
          </w:p>
        </w:tc>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5社</w:t>
            </w:r>
          </w:p>
        </w:tc>
        <w:tc>
          <w:tcPr>
            <w:tcW w:type="dxa" w:w="2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color w:val="000000"/>
                <w:sz w:val="18"/>
                <w:szCs w:val="18"/>
              </w:rPr>
              <w:t xml:space="preserve">冷凍・加工の主要事業者</w:t>
            </w:r>
          </w:p>
        </w:tc>
      </w:tr>
      <w:tr>
        <w:tc>
          <w:tcPr>
            <w:tcW w:type="dxa" w:w="2000"/>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tcPr>
          <w:p>
            <w:pPr>
              <w:jc w:val="left"/>
            </w:pPr>
            <w:r>
              <w:rPr>
                <w:rFonts w:ascii="游ゴシック" w:cs="游ゴシック" w:eastAsia="游ゴシック" w:hAnsi="游ゴシック"/>
                <w:b/>
                <w:bCs/>
                <w:color w:val="000000"/>
                <w:sz w:val="18"/>
                <w:szCs w:val="18"/>
              </w:rPr>
              <w:t xml:space="preserve">超大口</w:t>
            </w:r>
          </w:p>
        </w:tc>
        <w:tc>
          <w:tcPr>
            <w:tcW w:type="dxa" w:w="15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100mm</w:t>
            </w:r>
          </w:p>
        </w:tc>
        <w:tc>
          <w:tcPr>
            <w:tcW w:type="dxa" w:w="1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8,000㎥/月</w:t>
            </w:r>
          </w:p>
        </w:tc>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1社</w:t>
            </w:r>
          </w:p>
        </w:tc>
        <w:tc>
          <w:tcPr>
            <w:tcW w:type="dxa" w:w="2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color w:val="000000"/>
                <w:sz w:val="18"/>
                <w:szCs w:val="18"/>
              </w:rPr>
              <w:t xml:space="preserve">大手(高政・万石の粒等)規模</w:t>
            </w:r>
          </w:p>
        </w:tc>
      </w:tr>
    </w:tbl>
    <w:p>
      <w:r>
        <w:t xml:space="preserve"/>
      </w:r>
    </w:p>
    <w:p>
      <w:pPr>
        <w:pStyle w:val="Heading1"/>
      </w:pPr>
      <w:r>
        <w:rPr>
          <w:rFonts w:ascii="游ゴシック" w:cs="游ゴシック" w:eastAsia="游ゴシック" w:hAnsi="游ゴシック"/>
        </w:rPr>
        <w:t xml:space="preserve">3. セグメント別の定量影響(単月)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560"/>
        <w:gridCol w:w="1600"/>
        <w:gridCol w:w="1600"/>
        <w:gridCol w:w="1400"/>
      </w:tblGrid>
      <w:tr>
        <w:tc>
          <w:tcPr>
            <w:tcW w:type="dxa" w:w="180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区分</w:t>
            </w:r>
          </w:p>
        </w:tc>
        <w:tc>
          <w:tcPr>
            <w:tcW w:type="dxa" w:w="140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使用量</w:t>
            </w:r>
          </w:p>
        </w:tc>
        <w:tc>
          <w:tcPr>
            <w:tcW w:type="dxa" w:w="156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現行(女川)</w:t>
            </w:r>
          </w:p>
        </w:tc>
        <w:tc>
          <w:tcPr>
            <w:tcW w:type="dxa" w:w="160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統一(逓増仮)</w:t>
            </w:r>
          </w:p>
        </w:tc>
        <w:tc>
          <w:tcPr>
            <w:tcW w:type="dxa" w:w="160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月額差額</w:t>
            </w:r>
          </w:p>
        </w:tc>
        <w:tc>
          <w:tcPr>
            <w:tcW w:type="dxa" w:w="140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変化率</w:t>
            </w:r>
          </w:p>
        </w:tc>
      </w:tr>
      <w:tr>
        <w:tc>
          <w:tcPr>
            <w:tcW w:type="dxa" w:w="1800"/>
            <w:tcBorders>
              <w:top w:val="single" w:color="999999" w:sz="4"/>
              <w:left w:val="single" w:color="999999" w:sz="4"/>
              <w:bottom w:val="single" w:color="999999" w:sz="4"/>
              <w:right w:val="single" w:color="999999" w:sz="4"/>
            </w:tcBorders>
            <w:shd w:fill="DEEBF7" w:val="clear"/>
            <w:tcMar>
              <w:top w:type="dxa" w:w="70"/>
              <w:left w:type="dxa" w:w="100"/>
              <w:bottom w:type="dxa" w:w="70"/>
              <w:right w:type="dxa" w:w="100"/>
            </w:tcMar>
          </w:tcPr>
          <w:p>
            <w:pPr>
              <w:jc w:val="left"/>
            </w:pPr>
            <w:r>
              <w:rPr>
                <w:rFonts w:ascii="游ゴシック" w:cs="游ゴシック" w:eastAsia="游ゴシック" w:hAnsi="游ゴシック"/>
                <w:b/>
                <w:bCs/>
                <w:color w:val="000000"/>
                <w:sz w:val="18"/>
                <w:szCs w:val="18"/>
              </w:rPr>
              <w:t xml:space="preserve">一般家庭</w:t>
            </w:r>
          </w:p>
        </w:tc>
        <w:tc>
          <w:tcPr>
            <w:tcW w:type="dxa" w:w="14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20mm/20㎥</w:t>
            </w:r>
          </w:p>
        </w:tc>
        <w:tc>
          <w:tcPr>
            <w:tcW w:type="dxa" w:w="15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2,497円</w:t>
            </w:r>
          </w:p>
        </w:tc>
        <w:tc>
          <w:tcPr>
            <w:tcW w:type="dxa" w:w="1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3,654円</w:t>
            </w:r>
          </w:p>
        </w:tc>
        <w:tc>
          <w:tcPr>
            <w:tcW w:type="dxa" w:w="1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bCs/>
                <w:color w:val="C00000"/>
                <w:sz w:val="18"/>
                <w:szCs w:val="18"/>
              </w:rPr>
              <w:t xml:space="preserve">+1,157円</w:t>
            </w:r>
          </w:p>
        </w:tc>
        <w:tc>
          <w:tcPr>
            <w:tcW w:type="dxa" w:w="14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C00000"/>
                <w:sz w:val="18"/>
                <w:szCs w:val="18"/>
              </w:rPr>
              <w:t xml:space="preserve">+46.3%</w:t>
            </w:r>
          </w:p>
        </w:tc>
      </w:tr>
      <w:tr>
        <w:tc>
          <w:tcPr>
            <w:tcW w:type="dxa" w:w="1800"/>
            <w:tcBorders>
              <w:top w:val="single" w:color="999999" w:sz="4"/>
              <w:left w:val="single" w:color="999999" w:sz="4"/>
              <w:bottom w:val="single" w:color="999999" w:sz="4"/>
              <w:right w:val="single" w:color="999999" w:sz="4"/>
            </w:tcBorders>
            <w:shd w:fill="FFF2CC" w:val="clear"/>
            <w:tcMar>
              <w:top w:type="dxa" w:w="70"/>
              <w:left w:type="dxa" w:w="100"/>
              <w:bottom w:type="dxa" w:w="70"/>
              <w:right w:type="dxa" w:w="100"/>
            </w:tcMar>
          </w:tcPr>
          <w:p>
            <w:pPr>
              <w:jc w:val="left"/>
            </w:pPr>
            <w:r>
              <w:rPr>
                <w:rFonts w:ascii="游ゴシック" w:cs="游ゴシック" w:eastAsia="游ゴシック" w:hAnsi="游ゴシック"/>
                <w:b/>
                <w:bCs/>
                <w:color w:val="000000"/>
                <w:sz w:val="18"/>
                <w:szCs w:val="18"/>
              </w:rPr>
              <w:t xml:space="preserve">小規模加工</w:t>
            </w:r>
          </w:p>
        </w:tc>
        <w:tc>
          <w:tcPr>
            <w:tcW w:type="dxa" w:w="14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25mm/200㎥</w:t>
            </w:r>
          </w:p>
        </w:tc>
        <w:tc>
          <w:tcPr>
            <w:tcW w:type="dxa" w:w="15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23,210円</w:t>
            </w:r>
          </w:p>
        </w:tc>
        <w:tc>
          <w:tcPr>
            <w:tcW w:type="dxa" w:w="1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60,500円</w:t>
            </w:r>
          </w:p>
        </w:tc>
        <w:tc>
          <w:tcPr>
            <w:tcW w:type="dxa" w:w="1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bCs/>
                <w:color w:val="C00000"/>
                <w:sz w:val="18"/>
                <w:szCs w:val="18"/>
              </w:rPr>
              <w:t xml:space="preserve">+37,290円</w:t>
            </w:r>
          </w:p>
        </w:tc>
        <w:tc>
          <w:tcPr>
            <w:tcW w:type="dxa" w:w="14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C00000"/>
                <w:sz w:val="18"/>
                <w:szCs w:val="18"/>
              </w:rPr>
              <w:t xml:space="preserve">+160.7%</w:t>
            </w:r>
          </w:p>
        </w:tc>
      </w:tr>
      <w:tr>
        <w:tc>
          <w:tcPr>
            <w:tcW w:type="dxa" w:w="1800"/>
            <w:tcBorders>
              <w:top w:val="single" w:color="999999" w:sz="4"/>
              <w:left w:val="single" w:color="999999" w:sz="4"/>
              <w:bottom w:val="single" w:color="999999" w:sz="4"/>
              <w:right w:val="single" w:color="999999" w:sz="4"/>
            </w:tcBorders>
            <w:shd w:fill="FFF2CC" w:val="clear"/>
            <w:tcMar>
              <w:top w:type="dxa" w:w="70"/>
              <w:left w:type="dxa" w:w="100"/>
              <w:bottom w:type="dxa" w:w="70"/>
              <w:right w:type="dxa" w:w="100"/>
            </w:tcMar>
          </w:tcPr>
          <w:p>
            <w:pPr>
              <w:jc w:val="left"/>
            </w:pPr>
            <w:r>
              <w:rPr>
                <w:rFonts w:ascii="游ゴシック" w:cs="游ゴシック" w:eastAsia="游ゴシック" w:hAnsi="游ゴシック"/>
                <w:b/>
                <w:bCs/>
                <w:color w:val="000000"/>
                <w:sz w:val="18"/>
                <w:szCs w:val="18"/>
              </w:rPr>
              <w:t xml:space="preserve">中規模加工</w:t>
            </w:r>
          </w:p>
        </w:tc>
        <w:tc>
          <w:tcPr>
            <w:tcW w:type="dxa" w:w="14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50mm/1,000㎥</w:t>
            </w:r>
          </w:p>
        </w:tc>
        <w:tc>
          <w:tcPr>
            <w:tcW w:type="dxa" w:w="15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111,980円</w:t>
            </w:r>
          </w:p>
        </w:tc>
        <w:tc>
          <w:tcPr>
            <w:tcW w:type="dxa" w:w="1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388,410円</w:t>
            </w:r>
          </w:p>
        </w:tc>
        <w:tc>
          <w:tcPr>
            <w:tcW w:type="dxa" w:w="1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bCs/>
                <w:color w:val="C00000"/>
                <w:sz w:val="18"/>
                <w:szCs w:val="18"/>
              </w:rPr>
              <w:t xml:space="preserve">+276,430円</w:t>
            </w:r>
          </w:p>
        </w:tc>
        <w:tc>
          <w:tcPr>
            <w:tcW w:type="dxa" w:w="14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C00000"/>
                <w:sz w:val="18"/>
                <w:szCs w:val="18"/>
              </w:rPr>
              <w:t xml:space="preserve">+246.9%</w:t>
            </w:r>
          </w:p>
        </w:tc>
      </w:tr>
      <w:tr>
        <w:tc>
          <w:tcPr>
            <w:tcW w:type="dxa" w:w="1800"/>
            <w:tcBorders>
              <w:top w:val="single" w:color="999999" w:sz="4"/>
              <w:left w:val="single" w:color="999999" w:sz="4"/>
              <w:bottom w:val="single" w:color="999999" w:sz="4"/>
              <w:right w:val="single" w:color="999999" w:sz="4"/>
            </w:tcBorders>
            <w:shd w:fill="F8CBAD" w:val="clear"/>
            <w:tcMar>
              <w:top w:type="dxa" w:w="70"/>
              <w:left w:type="dxa" w:w="100"/>
              <w:bottom w:type="dxa" w:w="70"/>
              <w:right w:type="dxa" w:w="100"/>
            </w:tcMar>
          </w:tcPr>
          <w:p>
            <w:pPr>
              <w:jc w:val="left"/>
            </w:pPr>
            <w:r>
              <w:rPr>
                <w:rFonts w:ascii="游ゴシック" w:cs="游ゴシック" w:eastAsia="游ゴシック" w:hAnsi="游ゴシック"/>
                <w:b/>
                <w:bCs/>
                <w:color w:val="000000"/>
                <w:sz w:val="18"/>
                <w:szCs w:val="18"/>
              </w:rPr>
              <w:t xml:space="preserve">大規模加工</w:t>
            </w:r>
          </w:p>
        </w:tc>
        <w:tc>
          <w:tcPr>
            <w:tcW w:type="dxa" w:w="14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75mm/3,000㎥</w:t>
            </w:r>
          </w:p>
        </w:tc>
        <w:tc>
          <w:tcPr>
            <w:tcW w:type="dxa" w:w="15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332,200円</w:t>
            </w:r>
          </w:p>
        </w:tc>
        <w:tc>
          <w:tcPr>
            <w:tcW w:type="dxa" w:w="1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1,364,880円</w:t>
            </w:r>
          </w:p>
        </w:tc>
        <w:tc>
          <w:tcPr>
            <w:tcW w:type="dxa" w:w="1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bCs/>
                <w:color w:val="C00000"/>
                <w:sz w:val="18"/>
                <w:szCs w:val="18"/>
              </w:rPr>
              <w:t xml:space="preserve">+1,032,680円</w:t>
            </w:r>
          </w:p>
        </w:tc>
        <w:tc>
          <w:tcPr>
            <w:tcW w:type="dxa" w:w="14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C00000"/>
                <w:sz w:val="18"/>
                <w:szCs w:val="18"/>
              </w:rPr>
              <w:t xml:space="preserve">+310.9%</w:t>
            </w:r>
          </w:p>
        </w:tc>
      </w:tr>
      <w:tr>
        <w:tc>
          <w:tcPr>
            <w:tcW w:type="dxa" w:w="1800"/>
            <w:tcBorders>
              <w:top w:val="single" w:color="999999" w:sz="4"/>
              <w:left w:val="single" w:color="999999" w:sz="4"/>
              <w:bottom w:val="single" w:color="999999" w:sz="4"/>
              <w:right w:val="single" w:color="999999" w:sz="4"/>
            </w:tcBorders>
            <w:shd w:fill="F8CBAD" w:val="clear"/>
            <w:tcMar>
              <w:top w:type="dxa" w:w="70"/>
              <w:left w:type="dxa" w:w="100"/>
              <w:bottom w:type="dxa" w:w="70"/>
              <w:right w:type="dxa" w:w="100"/>
            </w:tcMar>
          </w:tcPr>
          <w:p>
            <w:pPr>
              <w:jc w:val="left"/>
            </w:pPr>
            <w:r>
              <w:rPr>
                <w:rFonts w:ascii="游ゴシック" w:cs="游ゴシック" w:eastAsia="游ゴシック" w:hAnsi="游ゴシック"/>
                <w:b/>
                <w:bCs/>
                <w:color w:val="000000"/>
                <w:sz w:val="18"/>
                <w:szCs w:val="18"/>
              </w:rPr>
              <w:t xml:space="preserve">超大口加工</w:t>
            </w:r>
          </w:p>
        </w:tc>
        <w:tc>
          <w:tcPr>
            <w:tcW w:type="dxa" w:w="14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100mm/8,000㎥</w:t>
            </w:r>
          </w:p>
        </w:tc>
        <w:tc>
          <w:tcPr>
            <w:tcW w:type="dxa" w:w="15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882,420円</w:t>
            </w:r>
          </w:p>
        </w:tc>
        <w:tc>
          <w:tcPr>
            <w:tcW w:type="dxa" w:w="1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3,798,190円</w:t>
            </w:r>
          </w:p>
        </w:tc>
        <w:tc>
          <w:tcPr>
            <w:tcW w:type="dxa" w:w="1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bCs/>
                <w:color w:val="C00000"/>
                <w:sz w:val="18"/>
                <w:szCs w:val="18"/>
              </w:rPr>
              <w:t xml:space="preserve">+2,915,770円</w:t>
            </w:r>
          </w:p>
        </w:tc>
        <w:tc>
          <w:tcPr>
            <w:tcW w:type="dxa" w:w="14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C00000"/>
                <w:sz w:val="18"/>
                <w:szCs w:val="18"/>
              </w:rPr>
              <w:t xml:space="preserve">+330.4%</w:t>
            </w:r>
          </w:p>
        </w:tc>
      </w:tr>
    </w:tbl>
    <w:p>
      <w:r>
        <w:t xml:space="preserve"/>
      </w:r>
    </w:p>
    <w:p>
      <w:pPr>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57500"/>
                    </a:xfrm>
                    <a:prstGeom prst="rect">
                      <a:avLst/>
                    </a:prstGeom>
                  </pic:spPr>
                </pic:pic>
              </a:graphicData>
            </a:graphic>
          </wp:inline>
        </w:drawing>
      </w:r>
    </w:p>
    <w:p>
      <w:pPr>
        <w:spacing w:after="200" w:before="40"/>
        <w:jc w:val="center"/>
      </w:pPr>
      <w:r>
        <w:rPr>
          <w:rFonts w:ascii="游ゴシック" w:cs="游ゴシック" w:eastAsia="游ゴシック" w:hAnsi="游ゴシック"/>
          <w:i/>
          <w:iCs/>
          <w:color w:val="555555"/>
          <w:sz w:val="18"/>
          <w:szCs w:val="18"/>
        </w:rPr>
        <w:t xml:space="preserve">図1  使用量区分別 月額料金水準の比較(対数軸)</w:t>
      </w:r>
    </w:p>
    <w:p>
      <w:r>
        <w:t xml:space="preserve"/>
      </w:r>
    </w:p>
    <w:p>
      <w:pPr>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200" w:before="40"/>
        <w:jc w:val="center"/>
      </w:pPr>
      <w:r>
        <w:rPr>
          <w:rFonts w:ascii="游ゴシック" w:cs="游ゴシック" w:eastAsia="游ゴシック" w:hAnsi="游ゴシック"/>
          <w:i/>
          <w:iCs/>
          <w:color w:val="555555"/>
          <w:sz w:val="18"/>
          <w:szCs w:val="18"/>
        </w:rPr>
        <w:t xml:space="preserve">図2  使用量区分別 料金変化率 ― 大口ほど影響が拡大する構造</w:t>
      </w:r>
    </w:p>
    <w:p>
      <w:r>
        <w:t xml:space="preserve"/>
      </w:r>
    </w:p>
    <w:p>
      <w:pPr>
        <w:spacing w:after="60" w:before="60" w:line="340"/>
        <w:jc w:val="left"/>
      </w:pPr>
      <w:r>
        <w:rPr>
          <w:rFonts w:ascii="游明朝" w:cs="游明朝" w:eastAsia="游明朝" w:hAnsi="游明朝"/>
          <w:b/>
          <w:bCs/>
          <w:sz w:val="22"/>
          <w:szCs w:val="22"/>
        </w:rPr>
        <w:t xml:space="preserve">主な発見</w:t>
      </w:r>
    </w:p>
    <w:p>
      <w:pPr>
        <w:pStyle w:val="ListParagraph"/>
        <w:numPr>
          <w:ilvl w:val="0"/>
          <w:numId w:val="2"/>
        </w:numPr>
        <w:spacing w:after="40" w:before="40" w:line="320"/>
      </w:pPr>
      <w:r>
        <w:rPr>
          <w:rFonts w:ascii="游明朝" w:cs="游明朝" w:eastAsia="游明朝" w:hAnsi="游明朝"/>
          <w:sz w:val="22"/>
          <w:szCs w:val="22"/>
        </w:rPr>
        <w:t xml:space="preserve">一般家庭への影響は+46%程度にとどまるが、水産加工業の大口使用者では+160~330%と劇的な負担増となる</w:t>
      </w:r>
    </w:p>
    <w:p>
      <w:pPr>
        <w:pStyle w:val="ListParagraph"/>
        <w:numPr>
          <w:ilvl w:val="0"/>
          <w:numId w:val="2"/>
        </w:numPr>
        <w:spacing w:after="40" w:before="40" w:line="320"/>
      </w:pPr>
      <w:r>
        <w:rPr>
          <w:rFonts w:ascii="游明朝" w:cs="游明朝" w:eastAsia="游明朝" w:hAnsi="游明朝"/>
          <w:sz w:val="22"/>
          <w:szCs w:val="22"/>
        </w:rPr>
        <w:t xml:space="preserve">この非対称な影響は、女川町の現行体系が『逓減制』であるのに対し、想定統一体系が『逓増制』であるため、大口ほど構造変化の影響を強く受ける</w:t>
      </w:r>
    </w:p>
    <w:p>
      <w:pPr>
        <w:pStyle w:val="ListParagraph"/>
        <w:numPr>
          <w:ilvl w:val="0"/>
          <w:numId w:val="2"/>
        </w:numPr>
        <w:spacing w:after="40" w:before="40" w:line="320"/>
      </w:pPr>
      <w:r>
        <w:rPr>
          <w:rFonts w:ascii="游明朝" w:cs="游明朝" w:eastAsia="游明朝" w:hAnsi="游明朝"/>
          <w:sz w:val="22"/>
          <w:szCs w:val="22"/>
        </w:rPr>
        <w:t xml:space="preserve">超大口加工業者1社で年間約3,499万円の負担増は、事業継続性に直結する規模</w:t>
      </w:r>
    </w:p>
    <w:p>
      <w:r>
        <w:t xml:space="preserve"/>
      </w:r>
    </w:p>
    <w:p>
      <w:pPr>
        <w:pStyle w:val="Heading1"/>
      </w:pPr>
      <w:r>
        <w:rPr>
          <w:rFonts w:ascii="游ゴシック" w:cs="游ゴシック" w:eastAsia="游ゴシック" w:hAnsi="游ゴシック"/>
        </w:rPr>
        <w:t xml:space="preserve">4. 水産加工業全体への集計影響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120"/>
        <w:gridCol w:w="2120"/>
        <w:gridCol w:w="2120"/>
      </w:tblGrid>
      <w:tr>
        <w:tc>
          <w:tcPr>
            <w:tcW w:type="dxa" w:w="200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区分</w:t>
            </w:r>
          </w:p>
        </w:tc>
        <w:tc>
          <w:tcPr>
            <w:tcW w:type="dxa" w:w="100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社数</w:t>
            </w:r>
          </w:p>
        </w:tc>
        <w:tc>
          <w:tcPr>
            <w:tcW w:type="dxa" w:w="212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現行月額合計</w:t>
            </w:r>
          </w:p>
        </w:tc>
        <w:tc>
          <w:tcPr>
            <w:tcW w:type="dxa" w:w="212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統一月額合計</w:t>
            </w:r>
          </w:p>
        </w:tc>
        <w:tc>
          <w:tcPr>
            <w:tcW w:type="dxa" w:w="212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月額差額合計</w:t>
            </w:r>
          </w:p>
        </w:tc>
      </w:tr>
      <w:tr>
        <w:tc>
          <w:tcPr>
            <w:tcW w:type="dxa" w:w="2000"/>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tcPr>
          <w:p>
            <w:pPr>
              <w:jc w:val="left"/>
            </w:pPr>
            <w:r>
              <w:rPr>
                <w:rFonts w:ascii="游ゴシック" w:cs="游ゴシック" w:eastAsia="游ゴシック" w:hAnsi="游ゴシック"/>
                <w:b w:val="false"/>
                <w:bCs w:val="false"/>
                <w:color w:val="000000"/>
                <w:sz w:val="18"/>
                <w:szCs w:val="18"/>
              </w:rPr>
              <w:t xml:space="preserve">小規模</w:t>
            </w:r>
          </w:p>
        </w:tc>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5社</w:t>
            </w:r>
          </w:p>
        </w:tc>
        <w:tc>
          <w:tcPr>
            <w:tcW w:type="dxa" w:w="212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116,050円</w:t>
            </w:r>
          </w:p>
        </w:tc>
        <w:tc>
          <w:tcPr>
            <w:tcW w:type="dxa" w:w="212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302,500円</w:t>
            </w:r>
          </w:p>
        </w:tc>
        <w:tc>
          <w:tcPr>
            <w:tcW w:type="dxa" w:w="212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C00000"/>
                <w:sz w:val="18"/>
                <w:szCs w:val="18"/>
              </w:rPr>
              <w:t xml:space="preserve">+186,450円</w:t>
            </w:r>
          </w:p>
        </w:tc>
      </w:tr>
      <w:tr>
        <w:tc>
          <w:tcPr>
            <w:tcW w:type="dxa" w:w="2000"/>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tcPr>
          <w:p>
            <w:pPr>
              <w:jc w:val="left"/>
            </w:pPr>
            <w:r>
              <w:rPr>
                <w:rFonts w:ascii="游ゴシック" w:cs="游ゴシック" w:eastAsia="游ゴシック" w:hAnsi="游ゴシック"/>
                <w:b w:val="false"/>
                <w:bCs w:val="false"/>
                <w:color w:val="000000"/>
                <w:sz w:val="18"/>
                <w:szCs w:val="18"/>
              </w:rPr>
              <w:t xml:space="preserve">中規模</w:t>
            </w:r>
          </w:p>
        </w:tc>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8社</w:t>
            </w:r>
          </w:p>
        </w:tc>
        <w:tc>
          <w:tcPr>
            <w:tcW w:type="dxa" w:w="212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895,840円</w:t>
            </w:r>
          </w:p>
        </w:tc>
        <w:tc>
          <w:tcPr>
            <w:tcW w:type="dxa" w:w="212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3,107,280円</w:t>
            </w:r>
          </w:p>
        </w:tc>
        <w:tc>
          <w:tcPr>
            <w:tcW w:type="dxa" w:w="212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C00000"/>
                <w:sz w:val="18"/>
                <w:szCs w:val="18"/>
              </w:rPr>
              <w:t xml:space="preserve">+2,211,440円</w:t>
            </w:r>
          </w:p>
        </w:tc>
      </w:tr>
      <w:tr>
        <w:tc>
          <w:tcPr>
            <w:tcW w:type="dxa" w:w="2000"/>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tcPr>
          <w:p>
            <w:pPr>
              <w:jc w:val="left"/>
            </w:pPr>
            <w:r>
              <w:rPr>
                <w:rFonts w:ascii="游ゴシック" w:cs="游ゴシック" w:eastAsia="游ゴシック" w:hAnsi="游ゴシック"/>
                <w:b w:val="false"/>
                <w:bCs w:val="false"/>
                <w:color w:val="000000"/>
                <w:sz w:val="18"/>
                <w:szCs w:val="18"/>
              </w:rPr>
              <w:t xml:space="preserve">大規模</w:t>
            </w:r>
          </w:p>
        </w:tc>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5社</w:t>
            </w:r>
          </w:p>
        </w:tc>
        <w:tc>
          <w:tcPr>
            <w:tcW w:type="dxa" w:w="212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1,661,000円</w:t>
            </w:r>
          </w:p>
        </w:tc>
        <w:tc>
          <w:tcPr>
            <w:tcW w:type="dxa" w:w="212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6,824,400円</w:t>
            </w:r>
          </w:p>
        </w:tc>
        <w:tc>
          <w:tcPr>
            <w:tcW w:type="dxa" w:w="212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C00000"/>
                <w:sz w:val="18"/>
                <w:szCs w:val="18"/>
              </w:rPr>
              <w:t xml:space="preserve">+5,163,400円</w:t>
            </w:r>
          </w:p>
        </w:tc>
      </w:tr>
      <w:tr>
        <w:tc>
          <w:tcPr>
            <w:tcW w:type="dxa" w:w="2000"/>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tcPr>
          <w:p>
            <w:pPr>
              <w:jc w:val="left"/>
            </w:pPr>
            <w:r>
              <w:rPr>
                <w:rFonts w:ascii="游ゴシック" w:cs="游ゴシック" w:eastAsia="游ゴシック" w:hAnsi="游ゴシック"/>
                <w:b w:val="false"/>
                <w:bCs w:val="false"/>
                <w:color w:val="000000"/>
                <w:sz w:val="18"/>
                <w:szCs w:val="18"/>
              </w:rPr>
              <w:t xml:space="preserve">超大口</w:t>
            </w:r>
          </w:p>
        </w:tc>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1社</w:t>
            </w:r>
          </w:p>
        </w:tc>
        <w:tc>
          <w:tcPr>
            <w:tcW w:type="dxa" w:w="212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882,420円</w:t>
            </w:r>
          </w:p>
        </w:tc>
        <w:tc>
          <w:tcPr>
            <w:tcW w:type="dxa" w:w="212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3,798,190円</w:t>
            </w:r>
          </w:p>
        </w:tc>
        <w:tc>
          <w:tcPr>
            <w:tcW w:type="dxa" w:w="212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C00000"/>
                <w:sz w:val="18"/>
                <w:szCs w:val="18"/>
              </w:rPr>
              <w:t xml:space="preserve">+2,915,770円</w:t>
            </w:r>
          </w:p>
        </w:tc>
      </w:tr>
      <w:tr>
        <w:tc>
          <w:tcPr>
            <w:tcW w:type="dxa" w:w="2000"/>
            <w:tcBorders>
              <w:top w:val="single" w:color="999999" w:sz="4"/>
              <w:left w:val="single" w:color="999999" w:sz="4"/>
              <w:bottom w:val="single" w:color="999999" w:sz="4"/>
              <w:right w:val="single" w:color="999999" w:sz="4"/>
            </w:tcBorders>
            <w:shd w:fill="1F4E78" w:val="clear"/>
            <w:tcMar>
              <w:top w:type="dxa" w:w="70"/>
              <w:left w:type="dxa" w:w="100"/>
              <w:bottom w:type="dxa" w:w="70"/>
              <w:right w:type="dxa" w:w="100"/>
            </w:tcMar>
          </w:tcPr>
          <w:p>
            <w:pPr>
              <w:jc w:val="left"/>
            </w:pPr>
            <w:r>
              <w:rPr>
                <w:rFonts w:ascii="游ゴシック" w:cs="游ゴシック" w:eastAsia="游ゴシック" w:hAnsi="游ゴシック"/>
                <w:b/>
                <w:bCs/>
                <w:color w:val="FFFFFF"/>
                <w:sz w:val="18"/>
                <w:szCs w:val="18"/>
              </w:rPr>
              <w:t xml:space="preserve">合計(月額)</w:t>
            </w:r>
          </w:p>
        </w:tc>
        <w:tc>
          <w:tcPr>
            <w:tcW w:type="dxa" w:w="1000"/>
            <w:tcBorders>
              <w:top w:val="single" w:color="999999" w:sz="4"/>
              <w:left w:val="single" w:color="999999" w:sz="4"/>
              <w:bottom w:val="single" w:color="999999" w:sz="4"/>
              <w:right w:val="single" w:color="999999" w:sz="4"/>
            </w:tcBorders>
            <w:shd w:fill="1F4E78" w:val="clear"/>
            <w:tcMar>
              <w:top w:type="dxa" w:w="70"/>
              <w:left w:type="dxa" w:w="100"/>
              <w:bottom w:type="dxa" w:w="70"/>
              <w:right w:type="dxa" w:w="100"/>
            </w:tcMar>
          </w:tcPr>
          <w:p>
            <w:pPr>
              <w:jc w:val="center"/>
            </w:pPr>
            <w:r>
              <w:rPr>
                <w:rFonts w:ascii="游ゴシック" w:cs="游ゴシック" w:eastAsia="游ゴシック" w:hAnsi="游ゴシック"/>
                <w:b/>
                <w:bCs/>
                <w:color w:val="FFFFFF"/>
                <w:sz w:val="18"/>
                <w:szCs w:val="18"/>
              </w:rPr>
              <w:t xml:space="preserve">19社</w:t>
            </w:r>
          </w:p>
        </w:tc>
        <w:tc>
          <w:tcPr>
            <w:tcW w:type="dxa" w:w="2120"/>
            <w:tcBorders>
              <w:top w:val="single" w:color="999999" w:sz="4"/>
              <w:left w:val="single" w:color="999999" w:sz="4"/>
              <w:bottom w:val="single" w:color="999999" w:sz="4"/>
              <w:right w:val="single" w:color="999999" w:sz="4"/>
            </w:tcBorders>
            <w:shd w:fill="1F4E78" w:val="clear"/>
            <w:tcMar>
              <w:top w:type="dxa" w:w="70"/>
              <w:left w:type="dxa" w:w="100"/>
              <w:bottom w:type="dxa" w:w="70"/>
              <w:right w:type="dxa" w:w="100"/>
            </w:tcMar>
          </w:tcPr>
          <w:p>
            <w:pPr>
              <w:jc w:val="right"/>
            </w:pPr>
            <w:r>
              <w:rPr>
                <w:rFonts w:ascii="游ゴシック" w:cs="游ゴシック" w:eastAsia="游ゴシック" w:hAnsi="游ゴシック"/>
                <w:b/>
                <w:bCs/>
                <w:color w:val="FFFFFF"/>
                <w:sz w:val="18"/>
                <w:szCs w:val="18"/>
              </w:rPr>
              <w:t xml:space="preserve">3,555,310円</w:t>
            </w:r>
          </w:p>
        </w:tc>
        <w:tc>
          <w:tcPr>
            <w:tcW w:type="dxa" w:w="2120"/>
            <w:tcBorders>
              <w:top w:val="single" w:color="999999" w:sz="4"/>
              <w:left w:val="single" w:color="999999" w:sz="4"/>
              <w:bottom w:val="single" w:color="999999" w:sz="4"/>
              <w:right w:val="single" w:color="999999" w:sz="4"/>
            </w:tcBorders>
            <w:shd w:fill="1F4E78" w:val="clear"/>
            <w:tcMar>
              <w:top w:type="dxa" w:w="70"/>
              <w:left w:type="dxa" w:w="100"/>
              <w:bottom w:type="dxa" w:w="70"/>
              <w:right w:type="dxa" w:w="100"/>
            </w:tcMar>
          </w:tcPr>
          <w:p>
            <w:pPr>
              <w:jc w:val="right"/>
            </w:pPr>
            <w:r>
              <w:rPr>
                <w:rFonts w:ascii="游ゴシック" w:cs="游ゴシック" w:eastAsia="游ゴシック" w:hAnsi="游ゴシック"/>
                <w:b/>
                <w:bCs/>
                <w:color w:val="FFFFFF"/>
                <w:sz w:val="18"/>
                <w:szCs w:val="18"/>
              </w:rPr>
              <w:t xml:space="preserve">14,032,370円</w:t>
            </w:r>
          </w:p>
        </w:tc>
        <w:tc>
          <w:tcPr>
            <w:tcW w:type="dxa" w:w="2120"/>
            <w:tcBorders>
              <w:top w:val="single" w:color="999999" w:sz="4"/>
              <w:left w:val="single" w:color="999999" w:sz="4"/>
              <w:bottom w:val="single" w:color="999999" w:sz="4"/>
              <w:right w:val="single" w:color="999999" w:sz="4"/>
            </w:tcBorders>
            <w:shd w:fill="1F4E78" w:val="clear"/>
            <w:tcMar>
              <w:top w:type="dxa" w:w="70"/>
              <w:left w:type="dxa" w:w="100"/>
              <w:bottom w:type="dxa" w:w="70"/>
              <w:right w:type="dxa" w:w="100"/>
            </w:tcMar>
          </w:tcPr>
          <w:p>
            <w:pPr>
              <w:jc w:val="right"/>
            </w:pPr>
            <w:r>
              <w:rPr>
                <w:rFonts w:ascii="游ゴシック" w:cs="游ゴシック" w:eastAsia="游ゴシック" w:hAnsi="游ゴシック"/>
                <w:b/>
                <w:bCs/>
                <w:color w:val="FFFFFF"/>
                <w:sz w:val="18"/>
                <w:szCs w:val="18"/>
              </w:rPr>
              <w:t xml:space="preserve">+10,477,060円</w:t>
            </w:r>
          </w:p>
        </w:tc>
      </w:tr>
      <w:tr>
        <w:tc>
          <w:tcPr>
            <w:tcW w:type="dxa" w:w="2000"/>
            <w:tcBorders>
              <w:top w:val="single" w:color="999999" w:sz="4"/>
              <w:left w:val="single" w:color="999999" w:sz="4"/>
              <w:bottom w:val="single" w:color="999999" w:sz="4"/>
              <w:right w:val="single" w:color="999999" w:sz="4"/>
            </w:tcBorders>
            <w:shd w:fill="2E75B6" w:val="clear"/>
            <w:tcMar>
              <w:top w:type="dxa" w:w="70"/>
              <w:left w:type="dxa" w:w="100"/>
              <w:bottom w:type="dxa" w:w="70"/>
              <w:right w:type="dxa" w:w="100"/>
            </w:tcMar>
          </w:tcPr>
          <w:p>
            <w:pPr>
              <w:jc w:val="left"/>
            </w:pPr>
            <w:r>
              <w:rPr>
                <w:rFonts w:ascii="游ゴシック" w:cs="游ゴシック" w:eastAsia="游ゴシック" w:hAnsi="游ゴシック"/>
                <w:b/>
                <w:bCs/>
                <w:color w:val="FFFFFF"/>
                <w:sz w:val="18"/>
                <w:szCs w:val="18"/>
              </w:rPr>
              <w:t xml:space="preserve">合計(年額)</w:t>
            </w:r>
          </w:p>
        </w:tc>
        <w:tc>
          <w:tcPr>
            <w:tcW w:type="dxa" w:w="1000"/>
            <w:tcBorders>
              <w:top w:val="single" w:color="999999" w:sz="4"/>
              <w:left w:val="single" w:color="999999" w:sz="4"/>
              <w:bottom w:val="single" w:color="999999" w:sz="4"/>
              <w:right w:val="single" w:color="999999" w:sz="4"/>
            </w:tcBorders>
            <w:shd w:fill="2E75B6" w:val="clear"/>
            <w:tcMar>
              <w:top w:type="dxa" w:w="70"/>
              <w:left w:type="dxa" w:w="100"/>
              <w:bottom w:type="dxa" w:w="70"/>
              <w:right w:type="dxa" w:w="100"/>
            </w:tcMar>
          </w:tcPr>
          <w:p>
            <w:pPr>
              <w:jc w:val="center"/>
            </w:pPr>
            <w:r>
              <w:rPr>
                <w:rFonts w:ascii="游ゴシック" w:cs="游ゴシック" w:eastAsia="游ゴシック" w:hAnsi="游ゴシック"/>
                <w:b/>
                <w:bCs/>
                <w:color w:val="FFFFFF"/>
                <w:sz w:val="18"/>
                <w:szCs w:val="18"/>
              </w:rPr>
              <w:t xml:space="preserve">19社</w:t>
            </w:r>
          </w:p>
        </w:tc>
        <w:tc>
          <w:tcPr>
            <w:tcW w:type="dxa" w:w="2120"/>
            <w:tcBorders>
              <w:top w:val="single" w:color="999999" w:sz="4"/>
              <w:left w:val="single" w:color="999999" w:sz="4"/>
              <w:bottom w:val="single" w:color="999999" w:sz="4"/>
              <w:right w:val="single" w:color="999999" w:sz="4"/>
            </w:tcBorders>
            <w:shd w:fill="2E75B6" w:val="clear"/>
            <w:tcMar>
              <w:top w:type="dxa" w:w="70"/>
              <w:left w:type="dxa" w:w="100"/>
              <w:bottom w:type="dxa" w:w="70"/>
              <w:right w:type="dxa" w:w="100"/>
            </w:tcMar>
          </w:tcPr>
          <w:p>
            <w:pPr>
              <w:jc w:val="right"/>
            </w:pPr>
            <w:r>
              <w:rPr>
                <w:rFonts w:ascii="游ゴシック" w:cs="游ゴシック" w:eastAsia="游ゴシック" w:hAnsi="游ゴシック"/>
                <w:b/>
                <w:bCs/>
                <w:color w:val="FFFFFF"/>
                <w:sz w:val="18"/>
                <w:szCs w:val="18"/>
              </w:rPr>
              <w:t xml:space="preserve">約4,266万円</w:t>
            </w:r>
          </w:p>
        </w:tc>
        <w:tc>
          <w:tcPr>
            <w:tcW w:type="dxa" w:w="2120"/>
            <w:tcBorders>
              <w:top w:val="single" w:color="999999" w:sz="4"/>
              <w:left w:val="single" w:color="999999" w:sz="4"/>
              <w:bottom w:val="single" w:color="999999" w:sz="4"/>
              <w:right w:val="single" w:color="999999" w:sz="4"/>
            </w:tcBorders>
            <w:shd w:fill="2E75B6" w:val="clear"/>
            <w:tcMar>
              <w:top w:type="dxa" w:w="70"/>
              <w:left w:type="dxa" w:w="100"/>
              <w:bottom w:type="dxa" w:w="70"/>
              <w:right w:type="dxa" w:w="100"/>
            </w:tcMar>
          </w:tcPr>
          <w:p>
            <w:pPr>
              <w:jc w:val="right"/>
            </w:pPr>
            <w:r>
              <w:rPr>
                <w:rFonts w:ascii="游ゴシック" w:cs="游ゴシック" w:eastAsia="游ゴシック" w:hAnsi="游ゴシック"/>
                <w:b/>
                <w:bCs/>
                <w:color w:val="FFFFFF"/>
                <w:sz w:val="18"/>
                <w:szCs w:val="18"/>
              </w:rPr>
              <w:t xml:space="preserve">約1億6,839万円</w:t>
            </w:r>
          </w:p>
        </w:tc>
        <w:tc>
          <w:tcPr>
            <w:tcW w:type="dxa" w:w="2120"/>
            <w:tcBorders>
              <w:top w:val="single" w:color="999999" w:sz="4"/>
              <w:left w:val="single" w:color="999999" w:sz="4"/>
              <w:bottom w:val="single" w:color="999999" w:sz="4"/>
              <w:right w:val="single" w:color="999999" w:sz="4"/>
            </w:tcBorders>
            <w:shd w:fill="2E75B6" w:val="clear"/>
            <w:tcMar>
              <w:top w:type="dxa" w:w="70"/>
              <w:left w:type="dxa" w:w="100"/>
              <w:bottom w:type="dxa" w:w="70"/>
              <w:right w:type="dxa" w:w="100"/>
            </w:tcMar>
          </w:tcPr>
          <w:p>
            <w:pPr>
              <w:jc w:val="right"/>
            </w:pPr>
            <w:r>
              <w:rPr>
                <w:rFonts w:ascii="游ゴシック" w:cs="游ゴシック" w:eastAsia="游ゴシック" w:hAnsi="游ゴシック"/>
                <w:b/>
                <w:bCs/>
                <w:color w:val="FFFFFF"/>
                <w:sz w:val="18"/>
                <w:szCs w:val="18"/>
              </w:rPr>
              <w:t xml:space="preserve">+約1億2,572万円</w:t>
            </w:r>
          </w:p>
        </w:tc>
      </w:tr>
    </w:tbl>
    <w:p>
      <w:r>
        <w:t xml:space="preserve"/>
      </w:r>
    </w:p>
    <w:p>
      <w:pPr>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spacing w:after="200" w:before="40"/>
        <w:jc w:val="center"/>
      </w:pPr>
      <w:r>
        <w:rPr>
          <w:rFonts w:ascii="游ゴシック" w:cs="游ゴシック" w:eastAsia="游ゴシック" w:hAnsi="游ゴシック"/>
          <w:i/>
          <w:iCs/>
          <w:color w:val="555555"/>
          <w:sz w:val="18"/>
          <w:szCs w:val="18"/>
        </w:rPr>
        <w:t xml:space="preserve">図3  水産加工団地19社のセグメント別月額負担</w:t>
      </w:r>
    </w:p>
    <w:p>
      <w:r>
        <w:t xml:space="preserve"/>
      </w:r>
    </w:p>
    <w:p>
      <w:pPr>
        <w:spacing w:after="60" w:before="60" w:line="340"/>
        <w:jc w:val="left"/>
      </w:pPr>
      <w:r>
        <w:rPr>
          <w:rFonts w:ascii="游明朝" w:cs="游明朝" w:eastAsia="游明朝" w:hAnsi="游明朝"/>
          <w:b/>
          <w:bCs/>
          <w:sz w:val="22"/>
          <w:szCs w:val="22"/>
        </w:rPr>
        <w:t xml:space="preserve">全体インパクトの要約</w:t>
      </w:r>
    </w:p>
    <w:p>
      <w:pPr>
        <w:pStyle w:val="ListParagraph"/>
        <w:numPr>
          <w:ilvl w:val="0"/>
          <w:numId w:val="2"/>
        </w:numPr>
        <w:spacing w:after="40" w:before="40" w:line="320"/>
      </w:pPr>
      <w:r>
        <w:rPr>
          <w:rFonts w:ascii="游明朝" w:cs="游明朝" w:eastAsia="游明朝" w:hAnsi="游明朝"/>
          <w:sz w:val="22"/>
          <w:szCs w:val="22"/>
        </w:rPr>
        <w:t xml:space="preserve">女川町水産加工業全体で、年間約1億2,500万円の追加負担が発生する試算</w:t>
      </w:r>
    </w:p>
    <w:p>
      <w:pPr>
        <w:pStyle w:val="ListParagraph"/>
        <w:numPr>
          <w:ilvl w:val="0"/>
          <w:numId w:val="2"/>
        </w:numPr>
        <w:spacing w:after="40" w:before="40" w:line="320"/>
      </w:pPr>
      <w:r>
        <w:rPr>
          <w:rFonts w:ascii="游明朝" w:cs="游明朝" w:eastAsia="游明朝" w:hAnsi="游明朝"/>
          <w:sz w:val="22"/>
          <w:szCs w:val="22"/>
        </w:rPr>
        <w:t xml:space="preserve">現行の約4.0倍の水道コストとなり、売上高に占める水道コストが1~2%から4~8%に上昇する可能性</w:t>
      </w:r>
    </w:p>
    <w:p>
      <w:pPr>
        <w:pStyle w:val="ListParagraph"/>
        <w:numPr>
          <w:ilvl w:val="0"/>
          <w:numId w:val="2"/>
        </w:numPr>
        <w:spacing w:after="40" w:before="40" w:line="320"/>
      </w:pPr>
      <w:r>
        <w:rPr>
          <w:rFonts w:ascii="游明朝" w:cs="游明朝" w:eastAsia="游明朝" w:hAnsi="游明朝"/>
          <w:sz w:val="22"/>
          <w:szCs w:val="22"/>
        </w:rPr>
        <w:t xml:space="preserve">これは限界利益を圧迫し、域外移転・事業縮小・廃業リスクを現実的なものとする水準</w:t>
      </w:r>
    </w:p>
    <w:p>
      <w:r>
        <w:t xml:space="preserve"/>
      </w:r>
    </w:p>
    <w:p>
      <w:pPr>
        <w:pStyle w:val="Heading1"/>
      </w:pPr>
      <w:r>
        <w:rPr>
          <w:rFonts w:ascii="游ゴシック" w:cs="游ゴシック" w:eastAsia="游ゴシック" w:hAnsi="游ゴシック"/>
        </w:rPr>
        <w:t xml:space="preserve">5. 逓増度の感応度分析</w:t>
      </w:r>
    </w:p>
    <w:p>
      <w:pPr>
        <w:spacing w:after="60" w:before="60" w:line="340"/>
        <w:jc w:val="left"/>
      </w:pPr>
      <w:r>
        <w:rPr>
          <w:rFonts w:ascii="游明朝" w:cs="游明朝" w:eastAsia="游明朝" w:hAnsi="游明朝"/>
          <w:b w:val="false"/>
          <w:bCs w:val="false"/>
          <w:sz w:val="22"/>
          <w:szCs w:val="22"/>
        </w:rPr>
        <w:t xml:space="preserve">統一料金の逓増度設計により影響は大きく変動する。中規模加工業者(口径50mm/1,000㎥)での感応度を示す。</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逓増度パターン</w:t>
            </w:r>
          </w:p>
        </w:tc>
        <w:tc>
          <w:tcPr>
            <w:tcW w:type="dxa" w:w="232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超過最高単価</w:t>
            </w:r>
          </w:p>
        </w:tc>
        <w:tc>
          <w:tcPr>
            <w:tcW w:type="dxa" w:w="232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統一料金</w:t>
            </w:r>
          </w:p>
        </w:tc>
        <w:tc>
          <w:tcPr>
            <w:tcW w:type="dxa" w:w="232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変化率</w:t>
            </w:r>
          </w:p>
        </w:tc>
      </w:tr>
      <w:tr>
        <w:tc>
          <w:tcPr>
            <w:tcW w:type="dxa" w:w="2400"/>
            <w:tcBorders>
              <w:top w:val="single" w:color="999999" w:sz="4"/>
              <w:left w:val="single" w:color="999999" w:sz="4"/>
              <w:bottom w:val="single" w:color="999999" w:sz="4"/>
              <w:right w:val="single" w:color="999999" w:sz="4"/>
            </w:tcBorders>
            <w:shd w:fill="E2EFDA" w:val="clear"/>
            <w:tcMar>
              <w:top w:type="dxa" w:w="70"/>
              <w:left w:type="dxa" w:w="100"/>
              <w:bottom w:type="dxa" w:w="70"/>
              <w:right w:type="dxa" w:w="100"/>
            </w:tcMar>
          </w:tcPr>
          <w:p>
            <w:pPr>
              <w:jc w:val="left"/>
            </w:pPr>
            <w:r>
              <w:rPr>
                <w:rFonts w:ascii="游ゴシック" w:cs="游ゴシック" w:eastAsia="游ゴシック" w:hAnsi="游ゴシック"/>
                <w:b w:val="false"/>
                <w:bCs w:val="false"/>
                <w:color w:val="000000"/>
                <w:sz w:val="18"/>
                <w:szCs w:val="18"/>
              </w:rPr>
              <w:t xml:space="preserve">弱い逓増</w:t>
            </w:r>
          </w:p>
        </w:tc>
        <w:tc>
          <w:tcPr>
            <w:tcW w:type="dxa" w:w="232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260円/㎥</w:t>
            </w:r>
          </w:p>
        </w:tc>
        <w:tc>
          <w:tcPr>
            <w:tcW w:type="dxa" w:w="232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256,520円</w:t>
            </w:r>
          </w:p>
        </w:tc>
        <w:tc>
          <w:tcPr>
            <w:tcW w:type="dxa" w:w="232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C00000"/>
                <w:sz w:val="18"/>
                <w:szCs w:val="18"/>
              </w:rPr>
              <w:t xml:space="preserve">+129.1%</w:t>
            </w:r>
          </w:p>
        </w:tc>
      </w:tr>
      <w:tr>
        <w:tc>
          <w:tcPr>
            <w:tcW w:type="dxa" w:w="2400"/>
            <w:tcBorders>
              <w:top w:val="single" w:color="999999" w:sz="4"/>
              <w:left w:val="single" w:color="999999" w:sz="4"/>
              <w:bottom w:val="single" w:color="999999" w:sz="4"/>
              <w:right w:val="single" w:color="999999" w:sz="4"/>
            </w:tcBorders>
            <w:shd w:fill="FFF2CC" w:val="clear"/>
            <w:tcMar>
              <w:top w:type="dxa" w:w="70"/>
              <w:left w:type="dxa" w:w="100"/>
              <w:bottom w:type="dxa" w:w="70"/>
              <w:right w:type="dxa" w:w="100"/>
            </w:tcMar>
          </w:tcPr>
          <w:p>
            <w:pPr>
              <w:jc w:val="left"/>
            </w:pPr>
            <w:r>
              <w:rPr>
                <w:rFonts w:ascii="游ゴシック" w:cs="游ゴシック" w:eastAsia="游ゴシック" w:hAnsi="游ゴシック"/>
                <w:b w:val="false"/>
                <w:bCs w:val="false"/>
                <w:color w:val="000000"/>
                <w:sz w:val="18"/>
                <w:szCs w:val="18"/>
              </w:rPr>
              <w:t xml:space="preserve">標準逓増(試算採用)</w:t>
            </w:r>
          </w:p>
        </w:tc>
        <w:tc>
          <w:tcPr>
            <w:tcW w:type="dxa" w:w="232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440円/㎥</w:t>
            </w:r>
          </w:p>
        </w:tc>
        <w:tc>
          <w:tcPr>
            <w:tcW w:type="dxa" w:w="232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388,410円</w:t>
            </w:r>
          </w:p>
        </w:tc>
        <w:tc>
          <w:tcPr>
            <w:tcW w:type="dxa" w:w="232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C00000"/>
                <w:sz w:val="18"/>
                <w:szCs w:val="18"/>
              </w:rPr>
              <w:t xml:space="preserve">+246.9%</w:t>
            </w:r>
          </w:p>
        </w:tc>
      </w:tr>
      <w:tr>
        <w:tc>
          <w:tcPr>
            <w:tcW w:type="dxa" w:w="2400"/>
            <w:tcBorders>
              <w:top w:val="single" w:color="999999" w:sz="4"/>
              <w:left w:val="single" w:color="999999" w:sz="4"/>
              <w:bottom w:val="single" w:color="999999" w:sz="4"/>
              <w:right w:val="single" w:color="999999" w:sz="4"/>
            </w:tcBorders>
            <w:shd w:fill="F8CBAD" w:val="clear"/>
            <w:tcMar>
              <w:top w:type="dxa" w:w="70"/>
              <w:left w:type="dxa" w:w="100"/>
              <w:bottom w:type="dxa" w:w="70"/>
              <w:right w:type="dxa" w:w="100"/>
            </w:tcMar>
          </w:tcPr>
          <w:p>
            <w:pPr>
              <w:jc w:val="left"/>
            </w:pPr>
            <w:r>
              <w:rPr>
                <w:rFonts w:ascii="游ゴシック" w:cs="游ゴシック" w:eastAsia="游ゴシック" w:hAnsi="游ゴシック"/>
                <w:b w:val="false"/>
                <w:bCs w:val="false"/>
                <w:color w:val="000000"/>
                <w:sz w:val="18"/>
                <w:szCs w:val="18"/>
              </w:rPr>
              <w:t xml:space="preserve">強い逓増</w:t>
            </w:r>
          </w:p>
        </w:tc>
        <w:tc>
          <w:tcPr>
            <w:tcW w:type="dxa" w:w="232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630円/㎥</w:t>
            </w:r>
          </w:p>
        </w:tc>
        <w:tc>
          <w:tcPr>
            <w:tcW w:type="dxa" w:w="232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000000"/>
                <w:sz w:val="18"/>
                <w:szCs w:val="18"/>
              </w:rPr>
              <w:t xml:space="preserve">531,190円</w:t>
            </w:r>
          </w:p>
        </w:tc>
        <w:tc>
          <w:tcPr>
            <w:tcW w:type="dxa" w:w="232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color w:val="C00000"/>
                <w:sz w:val="18"/>
                <w:szCs w:val="18"/>
              </w:rPr>
              <w:t xml:space="preserve">+374.4%</w:t>
            </w:r>
          </w:p>
        </w:tc>
      </w:tr>
    </w:tbl>
    <w:p>
      <w:r>
        <w:t xml:space="preserve"/>
      </w:r>
    </w:p>
    <w:p>
      <w:pPr>
        <w:spacing w:after="60" w:before="60" w:line="340"/>
        <w:jc w:val="left"/>
      </w:pPr>
      <w:r>
        <w:rPr>
          <w:rFonts w:ascii="游明朝" w:cs="游明朝" w:eastAsia="游明朝" w:hAnsi="游明朝"/>
          <w:b w:val="false"/>
          <w:bCs w:val="false"/>
          <w:sz w:val="22"/>
          <w:szCs w:val="22"/>
        </w:rPr>
        <w:t xml:space="preserve">含意として、統一後の逓増度を『弱い逓増』に抑える設計でも現行逓減制からは大きく乖離し、水産加工業への負担は2倍超となる。大口産業保護を重視する場合、逓増度設計自体に加えて『産業用区分の別設計』が必要となる可能性がある。</w:t>
      </w:r>
    </w:p>
    <w:p>
      <w:r>
        <w:t xml:space="preserve"/>
      </w:r>
    </w:p>
    <w:p>
      <w:pPr>
        <w:pStyle w:val="Heading1"/>
      </w:pPr>
      <w:r>
        <w:rPr>
          <w:rFonts w:ascii="游ゴシック" w:cs="游ゴシック" w:eastAsia="游ゴシック" w:hAnsi="游ゴシック"/>
        </w:rPr>
        <w:t xml:space="preserve">6. 激変緩和措置(経過措置)の効果</w:t>
      </w:r>
    </w:p>
    <w:p>
      <w:pPr>
        <w:spacing w:after="60" w:before="60" w:line="340"/>
        <w:jc w:val="left"/>
      </w:pPr>
      <w:r>
        <w:rPr>
          <w:rFonts w:ascii="游明朝" w:cs="游明朝" w:eastAsia="游明朝" w:hAnsi="游明朝"/>
          <w:b w:val="false"/>
          <w:bCs w:val="false"/>
          <w:sz w:val="22"/>
          <w:szCs w:val="22"/>
        </w:rPr>
        <w:t xml:space="preserve">香川県の広域化事例では、企業団設立後10年間は旧事業体ごとの区分経理を維持し、財政条件の平準化を経て料金統一を達成する設計となっている。この方式を宮城県版に適用した場合の中規模加工業者(50mm/1,000㎥)への影響を、5年段階・10年段階で比較する。</w:t>
      </w:r>
    </w:p>
    <w:p>
      <w:r>
        <w:t xml:space="preserve"/>
      </w:r>
    </w:p>
    <w:p>
      <w:pPr>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857500"/>
                    </a:xfrm>
                    <a:prstGeom prst="rect">
                      <a:avLst/>
                    </a:prstGeom>
                  </pic:spPr>
                </pic:pic>
              </a:graphicData>
            </a:graphic>
          </wp:inline>
        </w:drawing>
      </w:r>
    </w:p>
    <w:p>
      <w:pPr>
        <w:spacing w:after="200" w:before="40"/>
        <w:jc w:val="center"/>
      </w:pPr>
      <w:r>
        <w:rPr>
          <w:rFonts w:ascii="游ゴシック" w:cs="游ゴシック" w:eastAsia="游ゴシック" w:hAnsi="游ゴシック"/>
          <w:i/>
          <w:iCs/>
          <w:color w:val="555555"/>
          <w:sz w:val="18"/>
          <w:szCs w:val="18"/>
        </w:rPr>
        <w:t xml:space="preserve">図4  激変緩和措置の効果(中規模加工業者・口径50mm・1,000㎥/月)</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経過年</w:t>
            </w:r>
          </w:p>
        </w:tc>
        <w:tc>
          <w:tcPr>
            <w:tcW w:type="dxa" w:w="252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5年段階統一</w:t>
            </w:r>
          </w:p>
        </w:tc>
        <w:tc>
          <w:tcPr>
            <w:tcW w:type="dxa" w:w="252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10年段階統一</w:t>
            </w:r>
          </w:p>
        </w:tc>
        <w:tc>
          <w:tcPr>
            <w:tcW w:type="dxa" w:w="252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一括統一(参考)</w:t>
            </w:r>
          </w:p>
        </w:tc>
      </w:tr>
      <w:tr>
        <w:tc>
          <w:tcPr>
            <w:tcW w:type="dxa" w:w="1800"/>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1年目</w:t>
            </w:r>
          </w:p>
        </w:tc>
        <w:tc>
          <w:tcPr>
            <w:tcW w:type="dxa" w:w="252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167,266円(+49.4%)</w:t>
            </w:r>
          </w:p>
        </w:tc>
        <w:tc>
          <w:tcPr>
            <w:tcW w:type="dxa" w:w="252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bCs/>
                <w:color w:val="548235"/>
                <w:sz w:val="18"/>
                <w:szCs w:val="18"/>
              </w:rPr>
              <w:t xml:space="preserve">139,623円(+24.7%)</w:t>
            </w:r>
          </w:p>
        </w:tc>
        <w:tc>
          <w:tcPr>
            <w:tcW w:type="dxa" w:w="252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C00000"/>
                <w:sz w:val="18"/>
                <w:szCs w:val="18"/>
              </w:rPr>
              <w:t xml:space="preserve">388,410円(+246.9%)</w:t>
            </w:r>
          </w:p>
        </w:tc>
      </w:tr>
      <w:tr>
        <w:tc>
          <w:tcPr>
            <w:tcW w:type="dxa" w:w="1800"/>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3年目</w:t>
            </w:r>
          </w:p>
        </w:tc>
        <w:tc>
          <w:tcPr>
            <w:tcW w:type="dxa" w:w="252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277,838円(+148.1%)</w:t>
            </w:r>
          </w:p>
        </w:tc>
        <w:tc>
          <w:tcPr>
            <w:tcW w:type="dxa" w:w="252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bCs/>
                <w:color w:val="548235"/>
                <w:sz w:val="18"/>
                <w:szCs w:val="18"/>
              </w:rPr>
              <w:t xml:space="preserve">194,909円(+74.1%)</w:t>
            </w:r>
          </w:p>
        </w:tc>
        <w:tc>
          <w:tcPr>
            <w:tcW w:type="dxa" w:w="252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C00000"/>
                <w:sz w:val="18"/>
                <w:szCs w:val="18"/>
              </w:rPr>
              <w:t xml:space="preserve">388,410円(+246.9%)</w:t>
            </w:r>
          </w:p>
        </w:tc>
      </w:tr>
      <w:tr>
        <w:tc>
          <w:tcPr>
            <w:tcW w:type="dxa" w:w="1800"/>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5年目</w:t>
            </w:r>
          </w:p>
        </w:tc>
        <w:tc>
          <w:tcPr>
            <w:tcW w:type="dxa" w:w="252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C00000"/>
                <w:sz w:val="18"/>
                <w:szCs w:val="18"/>
              </w:rPr>
              <w:t xml:space="preserve">388,410円(+246.9%)</w:t>
            </w:r>
          </w:p>
        </w:tc>
        <w:tc>
          <w:tcPr>
            <w:tcW w:type="dxa" w:w="252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bCs/>
                <w:color w:val="548235"/>
                <w:sz w:val="18"/>
                <w:szCs w:val="18"/>
              </w:rPr>
              <w:t xml:space="preserve">250,195円(+123.4%)</w:t>
            </w:r>
          </w:p>
        </w:tc>
        <w:tc>
          <w:tcPr>
            <w:tcW w:type="dxa" w:w="252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C00000"/>
                <w:sz w:val="18"/>
                <w:szCs w:val="18"/>
              </w:rPr>
              <w:t xml:space="preserve">388,410円(+246.9%)</w:t>
            </w:r>
          </w:p>
        </w:tc>
      </w:tr>
      <w:tr>
        <w:tc>
          <w:tcPr>
            <w:tcW w:type="dxa" w:w="1800"/>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10年目</w:t>
            </w:r>
          </w:p>
        </w:tc>
        <w:tc>
          <w:tcPr>
            <w:tcW w:type="dxa" w:w="252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(統一完了)</w:t>
            </w:r>
          </w:p>
        </w:tc>
        <w:tc>
          <w:tcPr>
            <w:tcW w:type="dxa" w:w="252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C00000"/>
                <w:sz w:val="18"/>
                <w:szCs w:val="18"/>
              </w:rPr>
              <w:t xml:space="preserve">388,410円(+246.9%)</w:t>
            </w:r>
          </w:p>
        </w:tc>
        <w:tc>
          <w:tcPr>
            <w:tcW w:type="dxa" w:w="252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color w:val="000000"/>
                <w:sz w:val="18"/>
                <w:szCs w:val="18"/>
              </w:rPr>
              <w:t xml:space="preserve">(既に統一済)</w:t>
            </w:r>
          </w:p>
        </w:tc>
      </w:tr>
    </w:tbl>
    <w:p>
      <w:r>
        <w:t xml:space="preserve"/>
      </w:r>
    </w:p>
    <w:p>
      <w:pPr>
        <w:spacing w:after="60" w:before="60" w:line="340"/>
        <w:jc w:val="left"/>
      </w:pPr>
      <w:r>
        <w:rPr>
          <w:rFonts w:ascii="游明朝" w:cs="游明朝" w:eastAsia="游明朝" w:hAnsi="游明朝"/>
          <w:b/>
          <w:bCs/>
          <w:sz w:val="22"/>
          <w:szCs w:val="22"/>
        </w:rPr>
        <w:t xml:space="preserve">経過措置の含意</w:t>
      </w:r>
    </w:p>
    <w:p>
      <w:pPr>
        <w:pStyle w:val="ListParagraph"/>
        <w:numPr>
          <w:ilvl w:val="0"/>
          <w:numId w:val="2"/>
        </w:numPr>
        <w:spacing w:after="40" w:before="40" w:line="320"/>
      </w:pPr>
      <w:r>
        <w:rPr>
          <w:rFonts w:ascii="游明朝" w:cs="游明朝" w:eastAsia="游明朝" w:hAnsi="游明朝"/>
          <w:sz w:val="22"/>
          <w:szCs w:val="22"/>
        </w:rPr>
        <w:t xml:space="preserve">10年段階統一を採れば、初年度の負担増は+25%程度に抑えられ、企業の設備投資・生産性向上対策の時間が確保できる</w:t>
      </w:r>
    </w:p>
    <w:p>
      <w:pPr>
        <w:pStyle w:val="ListParagraph"/>
        <w:numPr>
          <w:ilvl w:val="0"/>
          <w:numId w:val="2"/>
        </w:numPr>
        <w:spacing w:after="40" w:before="40" w:line="320"/>
      </w:pPr>
      <w:r>
        <w:rPr>
          <w:rFonts w:ascii="游明朝" w:cs="游明朝" w:eastAsia="游明朝" w:hAnsi="游明朝"/>
          <w:sz w:val="22"/>
          <w:szCs w:val="22"/>
        </w:rPr>
        <w:t xml:space="preserve">一方、5年段階統一では3年目から+148%と急速に負担が増え、緩和効果が限定的</w:t>
      </w:r>
    </w:p>
    <w:p>
      <w:pPr>
        <w:pStyle w:val="ListParagraph"/>
        <w:numPr>
          <w:ilvl w:val="0"/>
          <w:numId w:val="2"/>
        </w:numPr>
        <w:spacing w:after="40" w:before="40" w:line="320"/>
      </w:pPr>
      <w:r>
        <w:rPr>
          <w:rFonts w:ascii="游明朝" w:cs="游明朝" w:eastAsia="游明朝" w:hAnsi="游明朝"/>
          <w:sz w:val="22"/>
          <w:szCs w:val="22"/>
        </w:rPr>
        <w:t xml:space="preserve">経過期間中に、水の回収率(リサイクル)向上や節水型設備導入への補助制度を併設することで、統一完了時点の実質負担を抑制できる可能性がある</w:t>
      </w:r>
    </w:p>
    <w:p>
      <w:r>
        <w:t xml:space="preserve"/>
      </w:r>
    </w:p>
    <w:p>
      <w:pPr>
        <w:pStyle w:val="Heading1"/>
      </w:pPr>
      <w:r>
        <w:rPr>
          <w:rFonts w:ascii="游ゴシック" w:cs="游ゴシック" w:eastAsia="游ゴシック" w:hAnsi="游ゴシック"/>
        </w:rPr>
        <w:t xml:space="preserve">7. 水産加工業への定性的影響(考慮すべき観点)</w:t>
      </w:r>
    </w:p>
    <w:p>
      <w:pPr>
        <w:pStyle w:val="Heading2"/>
      </w:pPr>
      <w:r>
        <w:rPr>
          <w:rFonts w:ascii="游ゴシック" w:cs="游ゴシック" w:eastAsia="游ゴシック" w:hAnsi="游ゴシック"/>
        </w:rPr>
        <w:t xml:space="preserve">7.1 事業継続性への影響</w:t>
      </w:r>
    </w:p>
    <w:p>
      <w:pPr>
        <w:pStyle w:val="ListParagraph"/>
        <w:numPr>
          <w:ilvl w:val="0"/>
          <w:numId w:val="2"/>
        </w:numPr>
        <w:spacing w:after="40" w:before="40" w:line="320"/>
      </w:pPr>
      <w:r>
        <w:rPr>
          <w:rFonts w:ascii="游明朝" w:cs="游明朝" w:eastAsia="游明朝" w:hAnsi="游明朝"/>
          <w:sz w:val="22"/>
          <w:szCs w:val="22"/>
        </w:rPr>
        <w:t xml:space="preserve">水産加工業の売上高営業利益率は一般に3~5%程度と低く、水道コストの3~4倍増は利益圧迫が深刻</w:t>
      </w:r>
    </w:p>
    <w:p>
      <w:pPr>
        <w:pStyle w:val="ListParagraph"/>
        <w:numPr>
          <w:ilvl w:val="0"/>
          <w:numId w:val="2"/>
        </w:numPr>
        <w:spacing w:after="40" w:before="40" w:line="320"/>
      </w:pPr>
      <w:r>
        <w:rPr>
          <w:rFonts w:ascii="游明朝" w:cs="游明朝" w:eastAsia="游明朝" w:hAnsi="游明朝"/>
          <w:sz w:val="22"/>
          <w:szCs w:val="22"/>
        </w:rPr>
        <w:t xml:space="preserve">特に冷凍・下処理・洗浄工程で水を大量使用する業態(さんま・さけ等の大量処理工程)では影響が大きい</w:t>
      </w:r>
    </w:p>
    <w:p>
      <w:pPr>
        <w:pStyle w:val="ListParagraph"/>
        <w:numPr>
          <w:ilvl w:val="0"/>
          <w:numId w:val="2"/>
        </w:numPr>
        <w:spacing w:after="40" w:before="40" w:line="320"/>
      </w:pPr>
      <w:r>
        <w:rPr>
          <w:rFonts w:ascii="游明朝" w:cs="游明朝" w:eastAsia="游明朝" w:hAnsi="游明朝"/>
          <w:sz w:val="22"/>
          <w:szCs w:val="22"/>
        </w:rPr>
        <w:t xml:space="preserve">震災復興で再建した事業者が、統一化のタイミングで再び経営判断を迫られる形となる懸念</w:t>
      </w:r>
    </w:p>
    <w:p>
      <w:r>
        <w:t xml:space="preserve"/>
      </w:r>
    </w:p>
    <w:p>
      <w:pPr>
        <w:pStyle w:val="Heading2"/>
      </w:pPr>
      <w:r>
        <w:rPr>
          <w:rFonts w:ascii="游ゴシック" w:cs="游ゴシック" w:eastAsia="游ゴシック" w:hAnsi="游ゴシック"/>
        </w:rPr>
        <w:t xml:space="preserve">7.2 地域経済への波及</w:t>
      </w:r>
    </w:p>
    <w:p>
      <w:pPr>
        <w:pStyle w:val="ListParagraph"/>
        <w:numPr>
          <w:ilvl w:val="0"/>
          <w:numId w:val="2"/>
        </w:numPr>
        <w:spacing w:after="40" w:before="40" w:line="320"/>
      </w:pPr>
      <w:r>
        <w:rPr>
          <w:rFonts w:ascii="游明朝" w:cs="游明朝" w:eastAsia="游明朝" w:hAnsi="游明朝"/>
          <w:sz w:val="22"/>
          <w:szCs w:val="22"/>
        </w:rPr>
        <w:t xml:space="preserve">水産加工業は女川町の基幹産業であり、町の雇用と漁業者の出口(買い付け先)を支える</w:t>
      </w:r>
    </w:p>
    <w:p>
      <w:pPr>
        <w:pStyle w:val="ListParagraph"/>
        <w:numPr>
          <w:ilvl w:val="0"/>
          <w:numId w:val="2"/>
        </w:numPr>
        <w:spacing w:after="40" w:before="40" w:line="320"/>
      </w:pPr>
      <w:r>
        <w:rPr>
          <w:rFonts w:ascii="游明朝" w:cs="游明朝" w:eastAsia="游明朝" w:hAnsi="游明朝"/>
          <w:sz w:val="22"/>
          <w:szCs w:val="22"/>
        </w:rPr>
        <w:t xml:space="preserve">加工業の縮小は漁業の採算悪化、漁業就業者の減少、さらなる人口減少という負の連鎖につながりうる</w:t>
      </w:r>
    </w:p>
    <w:p>
      <w:pPr>
        <w:pStyle w:val="ListParagraph"/>
        <w:numPr>
          <w:ilvl w:val="0"/>
          <w:numId w:val="2"/>
        </w:numPr>
        <w:spacing w:after="40" w:before="40" w:line="320"/>
      </w:pPr>
      <w:r>
        <w:rPr>
          <w:rFonts w:ascii="游明朝" w:cs="游明朝" w:eastAsia="游明朝" w:hAnsi="游明朝"/>
          <w:sz w:val="22"/>
          <w:szCs w:val="22"/>
        </w:rPr>
        <w:t xml:space="preserve">原発関連交付金のある女川町一般会計とは別に、水道事業会計は独立採算が原則。水道料金引上げは産業政策の一般財源補てんでは解消できない</w:t>
      </w:r>
    </w:p>
    <w:p>
      <w:r>
        <w:t xml:space="preserve"/>
      </w:r>
    </w:p>
    <w:p>
      <w:pPr>
        <w:pStyle w:val="Heading2"/>
      </w:pPr>
      <w:r>
        <w:rPr>
          <w:rFonts w:ascii="游ゴシック" w:cs="游ゴシック" w:eastAsia="游ゴシック" w:hAnsi="游ゴシック"/>
        </w:rPr>
        <w:t xml:space="preserve">7.3 他の臨海団体との比較</w:t>
      </w:r>
    </w:p>
    <w:p>
      <w:pPr>
        <w:pStyle w:val="ListParagraph"/>
        <w:numPr>
          <w:ilvl w:val="0"/>
          <w:numId w:val="2"/>
        </w:numPr>
        <w:spacing w:after="40" w:before="40" w:line="320"/>
      </w:pPr>
      <w:r>
        <w:rPr>
          <w:rFonts w:ascii="游明朝" w:cs="游明朝" w:eastAsia="游明朝" w:hAnsi="游明朝"/>
          <w:sz w:val="22"/>
          <w:szCs w:val="22"/>
        </w:rPr>
        <w:t xml:space="preserve">気仙沼市・石巻市等の水産業を持つ団体でも類似の構造的影響が発生する可能性が高い。県内水産加工業全体での統一影響試算が必要</w:t>
      </w:r>
    </w:p>
    <w:p>
      <w:pPr>
        <w:pStyle w:val="ListParagraph"/>
        <w:numPr>
          <w:ilvl w:val="0"/>
          <w:numId w:val="2"/>
        </w:numPr>
        <w:spacing w:after="40" w:before="40" w:line="320"/>
      </w:pPr>
      <w:r>
        <w:rPr>
          <w:rFonts w:ascii="游明朝" w:cs="游明朝" w:eastAsia="游明朝" w:hAnsi="游明朝"/>
          <w:sz w:val="22"/>
          <w:szCs w:val="22"/>
        </w:rPr>
        <w:t xml:space="preserve">女川町固有の『船舶用区分』『湯屋用区分』をどう統合するかは、同時並行で検討すべき論点</w:t>
      </w:r>
    </w:p>
    <w:p>
      <w:r>
        <w:t xml:space="preserve"/>
      </w:r>
    </w:p>
    <w:p>
      <w:pPr>
        <w:pStyle w:val="Heading1"/>
      </w:pPr>
      <w:r>
        <w:rPr>
          <w:rFonts w:ascii="游ゴシック" w:cs="游ゴシック" w:eastAsia="游ゴシック" w:hAnsi="游ゴシック"/>
        </w:rPr>
        <w:t xml:space="preserve">8. 政策的含意と次の検討課題</w:t>
      </w:r>
    </w:p>
    <w:p>
      <w:pPr>
        <w:pStyle w:val="Heading2"/>
      </w:pPr>
      <w:r>
        <w:rPr>
          <w:rFonts w:ascii="游ゴシック" w:cs="游ゴシック" w:eastAsia="游ゴシック" w:hAnsi="游ゴシック"/>
        </w:rPr>
        <w:t xml:space="preserve">8.1 定量化から導かれる政策選択肢</w:t>
      </w:r>
    </w:p>
    <w:p>
      <w:pPr>
        <w:pStyle w:val="ListParagraph"/>
        <w:numPr>
          <w:ilvl w:val="0"/>
          <w:numId w:val="2"/>
        </w:numPr>
        <w:spacing w:after="40" w:before="40" w:line="320"/>
      </w:pPr>
      <w:r>
        <w:rPr>
          <w:rFonts w:ascii="游明朝" w:cs="游明朝" w:eastAsia="游明朝" w:hAnsi="游明朝"/>
          <w:sz w:val="22"/>
          <w:szCs w:val="22"/>
        </w:rPr>
        <w:t xml:space="preserve">選択肢A: 現行の逓減制要素を部分的に維持する『産業用特例区分』を統一体系に組み込み、水産加工業への極端な負担増を回避</w:t>
      </w:r>
    </w:p>
    <w:p>
      <w:pPr>
        <w:pStyle w:val="ListParagraph"/>
        <w:numPr>
          <w:ilvl w:val="0"/>
          <w:numId w:val="2"/>
        </w:numPr>
        <w:spacing w:after="40" w:before="40" w:line="320"/>
      </w:pPr>
      <w:r>
        <w:rPr>
          <w:rFonts w:ascii="游明朝" w:cs="游明朝" w:eastAsia="游明朝" w:hAnsi="游明朝"/>
          <w:sz w:val="22"/>
          <w:szCs w:val="22"/>
        </w:rPr>
        <w:t xml:space="preserve">選択肢B: 10年以上の長期経過措置を設定し、段階的な料金平準化により事業者の適応時間を確保</w:t>
      </w:r>
    </w:p>
    <w:p>
      <w:pPr>
        <w:pStyle w:val="ListParagraph"/>
        <w:numPr>
          <w:ilvl w:val="0"/>
          <w:numId w:val="2"/>
        </w:numPr>
        <w:spacing w:after="40" w:before="40" w:line="320"/>
      </w:pPr>
      <w:r>
        <w:rPr>
          <w:rFonts w:ascii="游明朝" w:cs="游明朝" w:eastAsia="游明朝" w:hAnsi="游明朝"/>
          <w:sz w:val="22"/>
          <w:szCs w:val="22"/>
        </w:rPr>
        <w:t xml:space="preserve">選択肢C: 節水設備導入補助・水再利用設備補助等を料金改定と同時にパッケージ化し、実質負担を抑制</w:t>
      </w:r>
    </w:p>
    <w:p>
      <w:pPr>
        <w:pStyle w:val="ListParagraph"/>
        <w:numPr>
          <w:ilvl w:val="0"/>
          <w:numId w:val="2"/>
        </w:numPr>
        <w:spacing w:after="40" w:before="40" w:line="320"/>
      </w:pPr>
      <w:r>
        <w:rPr>
          <w:rFonts w:ascii="游明朝" w:cs="游明朝" w:eastAsia="游明朝" w:hAnsi="游明朝"/>
          <w:sz w:val="22"/>
          <w:szCs w:val="22"/>
        </w:rPr>
        <w:t xml:space="preserve">選択肢D: 工業用水道との接続・代替供給(気仙沼臨海工業用水道等、既存事例の拡大)も選択肢</w:t>
      </w:r>
    </w:p>
    <w:p>
      <w:r>
        <w:t xml:space="preserve"/>
      </w:r>
    </w:p>
    <w:p>
      <w:pPr>
        <w:pStyle w:val="Heading2"/>
      </w:pPr>
      <w:r>
        <w:rPr>
          <w:rFonts w:ascii="游ゴシック" w:cs="游ゴシック" w:eastAsia="游ゴシック" w:hAnsi="游ゴシック"/>
        </w:rPr>
        <w:t xml:space="preserve">8.2 次の検討段階で必要なデータ</w:t>
      </w:r>
    </w:p>
    <w:p>
      <w:pPr>
        <w:pStyle w:val="ListParagraph"/>
        <w:numPr>
          <w:ilvl w:val="0"/>
          <w:numId w:val="2"/>
        </w:numPr>
        <w:spacing w:after="40" w:before="40" w:line="320"/>
      </w:pPr>
      <w:r>
        <w:rPr>
          <w:rFonts w:ascii="游明朝" w:cs="游明朝" w:eastAsia="游明朝" w:hAnsi="游明朝"/>
          <w:sz w:val="22"/>
          <w:szCs w:val="22"/>
        </w:rPr>
        <w:t xml:space="preserve">女川町水産加工業者19社の実使用水量データ(事業者別・月別・年間)の実測値取得</w:t>
      </w:r>
    </w:p>
    <w:p>
      <w:pPr>
        <w:pStyle w:val="ListParagraph"/>
        <w:numPr>
          <w:ilvl w:val="0"/>
          <w:numId w:val="2"/>
        </w:numPr>
        <w:spacing w:after="40" w:before="40" w:line="320"/>
      </w:pPr>
      <w:r>
        <w:rPr>
          <w:rFonts w:ascii="游明朝" w:cs="游明朝" w:eastAsia="游明朝" w:hAnsi="游明朝"/>
          <w:sz w:val="22"/>
          <w:szCs w:val="22"/>
        </w:rPr>
        <w:t xml:space="preserve">水産加工業者の売上高・営業利益データに基づく料金改定耐性分析</w:t>
      </w:r>
    </w:p>
    <w:p>
      <w:pPr>
        <w:pStyle w:val="ListParagraph"/>
        <w:numPr>
          <w:ilvl w:val="0"/>
          <w:numId w:val="2"/>
        </w:numPr>
        <w:spacing w:after="40" w:before="40" w:line="320"/>
      </w:pPr>
      <w:r>
        <w:rPr>
          <w:rFonts w:ascii="游明朝" w:cs="游明朝" w:eastAsia="游明朝" w:hAnsi="游明朝"/>
          <w:sz w:val="22"/>
          <w:szCs w:val="22"/>
        </w:rPr>
        <w:t xml:space="preserve">県内臨海団体(気仙沼市・石巻市・塩竈市・南三陸町等)の水産加工業水使用実態調査</w:t>
      </w:r>
    </w:p>
    <w:p>
      <w:pPr>
        <w:pStyle w:val="ListParagraph"/>
        <w:numPr>
          <w:ilvl w:val="0"/>
          <w:numId w:val="2"/>
        </w:numPr>
        <w:spacing w:after="40" w:before="40" w:line="320"/>
      </w:pPr>
      <w:r>
        <w:rPr>
          <w:rFonts w:ascii="游明朝" w:cs="游明朝" w:eastAsia="游明朝" w:hAnsi="游明朝"/>
          <w:sz w:val="22"/>
          <w:szCs w:val="22"/>
        </w:rPr>
        <w:t xml:space="preserve">県内既存団体の加重平均料金の算出と、目標給水原価を踏まえた実効統一料金の設計</w:t>
      </w:r>
    </w:p>
    <w:p>
      <w:pPr>
        <w:pStyle w:val="ListParagraph"/>
        <w:numPr>
          <w:ilvl w:val="0"/>
          <w:numId w:val="2"/>
        </w:numPr>
        <w:spacing w:after="40" w:before="40" w:line="320"/>
      </w:pPr>
      <w:r>
        <w:rPr>
          <w:rFonts w:ascii="游明朝" w:cs="游明朝" w:eastAsia="游明朝" w:hAnsi="游明朝"/>
          <w:sz w:val="22"/>
          <w:szCs w:val="22"/>
        </w:rPr>
        <w:t xml:space="preserve">節水・再利用技術導入による使用量削減ポテンシャルの業種別試算</w:t>
      </w:r>
    </w:p>
    <w:p>
      <w:r>
        <w:t xml:space="preserve"/>
      </w:r>
    </w:p>
    <w:p>
      <w:pPr>
        <w:pStyle w:val="Heading1"/>
      </w:pPr>
      <w:r>
        <w:rPr>
          <w:rFonts w:ascii="游ゴシック" w:cs="游ゴシック" w:eastAsia="游ゴシック" w:hAnsi="游ゴシック"/>
        </w:rPr>
        <w:t xml:space="preserve">9. 試算上の留意事項</w:t>
      </w:r>
    </w:p>
    <w:p>
      <w:pPr>
        <w:spacing w:after="60" w:before="60" w:line="340"/>
        <w:jc w:val="left"/>
      </w:pPr>
      <w:r>
        <w:rPr>
          <w:rFonts w:ascii="游明朝" w:cs="游明朝" w:eastAsia="游明朝" w:hAnsi="游明朝"/>
          <w:b w:val="false"/>
          <w:bCs w:val="false"/>
          <w:sz w:val="22"/>
          <w:szCs w:val="22"/>
        </w:rPr>
        <w:t xml:space="preserve">本資料は女川町公表情報を基にした議論用の試算であり、以下の限界がある。</w:t>
      </w:r>
    </w:p>
    <w:p>
      <w:pPr>
        <w:pStyle w:val="ListParagraph"/>
        <w:numPr>
          <w:ilvl w:val="0"/>
          <w:numId w:val="2"/>
        </w:numPr>
        <w:spacing w:after="40" w:before="40" w:line="320"/>
      </w:pPr>
      <w:r>
        <w:rPr>
          <w:rFonts w:ascii="游明朝" w:cs="游明朝" w:eastAsia="游明朝" w:hAnsi="游明朝"/>
          <w:sz w:val="22"/>
          <w:szCs w:val="22"/>
        </w:rPr>
        <w:t xml:space="preserve">水産加工団地19社の規模分布は、公表情報(用地使用19社)と一般的な水産加工業の特性から想定したもので、実使用量の実測値ではない</w:t>
      </w:r>
    </w:p>
    <w:p>
      <w:pPr>
        <w:pStyle w:val="ListParagraph"/>
        <w:numPr>
          <w:ilvl w:val="0"/>
          <w:numId w:val="2"/>
        </w:numPr>
        <w:spacing w:after="40" w:before="40" w:line="320"/>
      </w:pPr>
      <w:r>
        <w:rPr>
          <w:rFonts w:ascii="游明朝" w:cs="游明朝" w:eastAsia="游明朝" w:hAnsi="游明朝"/>
          <w:sz w:val="22"/>
          <w:szCs w:val="22"/>
        </w:rPr>
        <w:t xml:space="preserve">統一後料金は『標準的な逓増型』を仮置きしたもので、実際の統一料金水準は政策決定事項</w:t>
      </w:r>
    </w:p>
    <w:p>
      <w:pPr>
        <w:pStyle w:val="ListParagraph"/>
        <w:numPr>
          <w:ilvl w:val="0"/>
          <w:numId w:val="2"/>
        </w:numPr>
        <w:spacing w:after="40" w:before="40" w:line="320"/>
      </w:pPr>
      <w:r>
        <w:rPr>
          <w:rFonts w:ascii="游明朝" w:cs="游明朝" w:eastAsia="游明朝" w:hAnsi="游明朝"/>
          <w:sz w:val="22"/>
          <w:szCs w:val="22"/>
        </w:rPr>
        <w:t xml:space="preserve">女川町の料金体系は消費税込表示、統一仮置き料金は税抜ベースで消費税を上乗せ計算している</w:t>
      </w:r>
    </w:p>
    <w:p>
      <w:pPr>
        <w:pStyle w:val="ListParagraph"/>
        <w:numPr>
          <w:ilvl w:val="0"/>
          <w:numId w:val="2"/>
        </w:numPr>
        <w:spacing w:after="40" w:before="40" w:line="320"/>
      </w:pPr>
      <w:r>
        <w:rPr>
          <w:rFonts w:ascii="游明朝" w:cs="游明朝" w:eastAsia="游明朝" w:hAnsi="游明朝"/>
          <w:sz w:val="22"/>
          <w:szCs w:val="22"/>
        </w:rPr>
        <w:t xml:space="preserve">水産加工業の水使用量は季節変動(漁期)が大きいため、年間平均使用量の推定には追加データが必要</w:t>
      </w:r>
    </w:p>
    <w:p>
      <w:pPr>
        <w:pStyle w:val="ListParagraph"/>
        <w:numPr>
          <w:ilvl w:val="0"/>
          <w:numId w:val="2"/>
        </w:numPr>
        <w:spacing w:after="40" w:before="40" w:line="320"/>
      </w:pPr>
      <w:r>
        <w:rPr>
          <w:rFonts w:ascii="游明朝" w:cs="游明朝" w:eastAsia="游明朝" w:hAnsi="游明朝"/>
          <w:sz w:val="22"/>
          <w:szCs w:val="22"/>
        </w:rPr>
        <w:t xml:space="preserve">原発関連交付金による町単独の産業支援策の可能性は本試算では考慮していない</w:t>
      </w:r>
    </w:p>
    <w:p>
      <w:r>
        <w:t xml:space="preserve"/>
      </w:r>
    </w:p>
    <w:p>
      <w:pPr>
        <w:pStyle w:val="Heading1"/>
      </w:pPr>
      <w:r>
        <w:rPr>
          <w:rFonts w:ascii="游ゴシック" w:cs="游ゴシック" w:eastAsia="游ゴシック" w:hAnsi="游ゴシック"/>
        </w:rPr>
        <w:t xml:space="preserve">出典・参考資料</w:t>
      </w:r>
    </w:p>
    <w:p>
      <w:pPr>
        <w:pStyle w:val="ListParagraph"/>
        <w:numPr>
          <w:ilvl w:val="0"/>
          <w:numId w:val="2"/>
        </w:numPr>
        <w:spacing w:after="40" w:before="40" w:line="320"/>
      </w:pPr>
      <w:r>
        <w:rPr>
          <w:rFonts w:ascii="游明朝" w:cs="游明朝" w:eastAsia="游明朝" w:hAnsi="游明朝"/>
          <w:sz w:val="22"/>
          <w:szCs w:val="22"/>
        </w:rPr>
        <w:t xml:space="preserve">女川町公式ウェブサイト「上下水道料金及び支払方法」(令和6年4月以降適用)</w:t>
      </w:r>
    </w:p>
    <w:p>
      <w:pPr>
        <w:pStyle w:val="ListParagraph"/>
        <w:numPr>
          <w:ilvl w:val="0"/>
          <w:numId w:val="2"/>
        </w:numPr>
        <w:spacing w:after="40" w:before="40" w:line="320"/>
      </w:pPr>
      <w:r>
        <w:rPr>
          <w:rFonts w:ascii="游明朝" w:cs="游明朝" w:eastAsia="游明朝" w:hAnsi="游明朝"/>
          <w:sz w:val="22"/>
          <w:szCs w:val="22"/>
        </w:rPr>
        <w:t xml:space="preserve">女川町公式ウェブサイト「女川町水産加工団地排水処理施設整備等事業」、「産業」</w:t>
      </w:r>
    </w:p>
    <w:p>
      <w:pPr>
        <w:pStyle w:val="ListParagraph"/>
        <w:numPr>
          <w:ilvl w:val="0"/>
          <w:numId w:val="2"/>
        </w:numPr>
        <w:spacing w:after="40" w:before="40" w:line="320"/>
      </w:pPr>
      <w:r>
        <w:rPr>
          <w:rFonts w:ascii="游明朝" w:cs="游明朝" w:eastAsia="游明朝" w:hAnsi="游明朝"/>
          <w:sz w:val="22"/>
          <w:szCs w:val="22"/>
        </w:rPr>
        <w:t xml:space="preserve">石巻地方広域水道企業団「水道料金の改定について」(令和5年4月改定・基本料金20%増・水量料金16~22%増)</w:t>
      </w:r>
    </w:p>
    <w:p>
      <w:pPr>
        <w:pStyle w:val="ListParagraph"/>
        <w:numPr>
          <w:ilvl w:val="0"/>
          <w:numId w:val="2"/>
        </w:numPr>
        <w:spacing w:after="40" w:before="40" w:line="320"/>
      </w:pPr>
      <w:r>
        <w:rPr>
          <w:rFonts w:ascii="游明朝" w:cs="游明朝" w:eastAsia="游明朝" w:hAnsi="游明朝"/>
          <w:sz w:val="22"/>
          <w:szCs w:val="22"/>
        </w:rPr>
        <w:t xml:space="preserve">仙台市水道局「水道料金のしくみと料金表」</w:t>
      </w:r>
    </w:p>
    <w:p>
      <w:pPr>
        <w:pStyle w:val="ListParagraph"/>
        <w:numPr>
          <w:ilvl w:val="0"/>
          <w:numId w:val="2"/>
        </w:numPr>
        <w:spacing w:after="40" w:before="40" w:line="320"/>
      </w:pPr>
      <w:r>
        <w:rPr>
          <w:rFonts w:ascii="游明朝" w:cs="游明朝" w:eastAsia="游明朝" w:hAnsi="游明朝"/>
          <w:sz w:val="22"/>
          <w:szCs w:val="22"/>
        </w:rPr>
        <w:t xml:space="preserve">香川県広域水道企業団「香川県水道広域化基本計画」(経過措置の参考事例)</w:t>
      </w:r>
    </w:p>
    <w:p>
      <w:pPr>
        <w:pStyle w:val="ListParagraph"/>
        <w:numPr>
          <w:ilvl w:val="0"/>
          <w:numId w:val="2"/>
        </w:numPr>
        <w:spacing w:after="40" w:before="40" w:line="320"/>
      </w:pPr>
      <w:r>
        <w:rPr>
          <w:rFonts w:ascii="游明朝" w:cs="游明朝" w:eastAsia="游明朝" w:hAnsi="游明朝"/>
          <w:sz w:val="22"/>
          <w:szCs w:val="22"/>
        </w:rPr>
        <w:t xml:space="preserve">日本経済新聞「女川町地方卸売市場・水産加工団地公募で19社選定」報道</w:t>
      </w:r>
    </w:p>
    <w:p>
      <w:pPr>
        <w:pStyle w:val="ListParagraph"/>
        <w:numPr>
          <w:ilvl w:val="0"/>
          <w:numId w:val="2"/>
        </w:numPr>
        <w:spacing w:after="40" w:before="40" w:line="320"/>
      </w:pPr>
      <w:r>
        <w:rPr>
          <w:rFonts w:ascii="游明朝" w:cs="游明朝" w:eastAsia="游明朝" w:hAnsi="游明朝"/>
          <w:sz w:val="22"/>
          <w:szCs w:val="22"/>
        </w:rPr>
        <w:t xml:space="preserve">国土交通省「水資源の利用状況」(工業用水全般の参考)</w:t>
      </w:r>
    </w:p>
    <w:p>
      <w:r>
        <w:t xml:space="preserve"/>
      </w:r>
    </w:p>
    <w:p>
      <w:pPr>
        <w:spacing w:after="60" w:before="60" w:line="340"/>
        <w:jc w:val="left"/>
      </w:pPr>
      <w:r>
        <w:rPr>
          <w:rFonts w:ascii="游明朝" w:cs="游明朝" w:eastAsia="游明朝" w:hAnsi="游明朝"/>
          <w:b w:val="false"/>
          <w:bCs w:val="false"/>
          <w:sz w:val="22"/>
          <w:szCs w:val="22"/>
        </w:rPr>
        <w:t xml:space="preserve">※ 本資料の数値は宮城県水道料金体系統一化検討の初期議論を目的とした試算です。実際の政策設計には、女川町および関係団体の最新経営データ、使用水量実績、事業者別影響試算を踏まえた精緻な検討が必要です。</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sz w:val="20"/>
        <w:szCs w:val="20"/>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888888"/>
        <w:sz w:val="18"/>
        <w:szCs w:val="18"/>
      </w:rPr>
      <w:t xml:space="preserve">水産加工業への影響定量化</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游明朝" w:cs="游明朝" w:eastAsia="游明朝" w:hAnsi="游明朝"/>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8" w:sz="12" w:space="4"/>
      </w:pBdr>
      <w:spacing w:after="180" w:before="360"/>
      <w:outlineLvl w:val="0"/>
    </w:pPr>
    <w:rPr>
      <w:rFonts w:ascii="游ゴシック" w:cs="游ゴシック" w:eastAsia="游ゴシック" w:hAnsi="游ゴシック"/>
      <w:b/>
      <w:bCs/>
      <w:color w:val="1F4E78"/>
      <w:sz w:val="28"/>
      <w:szCs w:val="28"/>
    </w:rPr>
  </w:style>
  <w:style w:type="paragraph" w:styleId="Heading2">
    <w:name w:val="Heading 2"/>
    <w:basedOn w:val="Normal"/>
    <w:next w:val="Normal"/>
    <w:qFormat/>
    <w:pPr>
      <w:spacing w:after="120" w:before="240"/>
      <w:outlineLvl w:val="1"/>
    </w:pPr>
    <w:rPr>
      <w:rFonts w:ascii="游ゴシック" w:cs="游ゴシック" w:eastAsia="游ゴシック" w:hAnsi="游ゴシック"/>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01bb8ff381faa69a6e701cd15192b81f8b4c008.png"/><Relationship Id="rId10" Type="http://schemas.openxmlformats.org/officeDocument/2006/relationships/image" Target="media/28e732ae69589d93a72aa0bba3a7a7002a339411.png"/><Relationship Id="rId11" Type="http://schemas.openxmlformats.org/officeDocument/2006/relationships/image" Target="media/698bdaf82c80d2577cf1f31b2246f49a7f2ac9c8.png"/><Relationship Id="rId12" Type="http://schemas.openxmlformats.org/officeDocument/2006/relationships/image" Target="media/2935bdee1ed5fe859131823861d953505600fc4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料金体系統一化による水産加工業への影響定量化</dc:title>
  <dc:subject>令和8年度上下水道経営指標評価書作成等業務委託</dc:subject>
  <dc:creator>若山諒太</dc:creator>
  <cp:lastModifiedBy>若山諒太</cp:lastModifiedBy>
  <cp:revision>1</cp:revision>
  <dcterms:created xsi:type="dcterms:W3CDTF">2026-09-28T08:19:30Z</dcterms:created>
  <dcterms:modified xsi:type="dcterms:W3CDTF">2026-09-28T08:19:30Z</dcterms:modified>
  <cp:category>ビズアップ公共コンサルティング株式会社</cp:category>
</cp:coreProperties>
</file>

<file path=docProps/custom.xml><?xml version="1.0" encoding="utf-8"?>
<Properties xmlns="http://schemas.openxmlformats.org/officeDocument/2006/custom-properties" xmlns:vt="http://schemas.openxmlformats.org/officeDocument/2006/docPropsVTypes"/>
</file>