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游ゴシック" w:cs="游ゴシック" w:eastAsia="游ゴシック" w:hAnsi="游ゴシック"/>
          <w:b/>
          <w:bCs/>
          <w:sz w:val="32"/>
          <w:szCs w:val="32"/>
        </w:rPr>
        <w:t xml:space="preserve">県内臨海水産加工団体の料金体系比較と影響試算</w:t>
      </w:r>
    </w:p>
    <w:p>
      <w:pPr>
        <w:spacing w:after="400"/>
        <w:jc w:val="center"/>
      </w:pPr>
      <w:r>
        <w:rPr>
          <w:rFonts w:ascii="游ゴシック" w:cs="游ゴシック" w:eastAsia="游ゴシック" w:hAnsi="游ゴシック"/>
          <w:color w:val="555555"/>
          <w:sz w:val="22"/>
          <w:szCs w:val="22"/>
        </w:rPr>
        <w:t xml:space="preserve">― 女川町・気仙沼市・石巻広域・塩竈市の4団体横断分析 ―</w:t>
      </w:r>
    </w:p>
    <w:p>
      <w:pPr>
        <w:pBdr>
          <w:top w:val="single" w:sz="8" w:space="4" w:color="C00000"/>
          <w:left w:val="single" w:sz="8" w:space="4" w:color="C00000"/>
          <w:bottom w:val="single" w:sz="8" w:space="4" w:color="C00000"/>
          <w:right w:val="single" w:sz="8" w:space="4" w:color="C00000"/>
        </w:pBdr>
        <w:spacing w:before="240" w:after="240"/>
      </w:pPr>
      <w:r>
        <w:rPr>
          <w:b/>
          <w:color w:val="C00000"/>
        </w:rPr>
        <w:t xml:space="preserve">【本資料の位置づけ】</w:t>
      </w:r>
      <w:r>
        <w:rPr>
          <w:color w:val="C00000"/>
        </w:rPr>
        <w:t xml:space="preserve">本資料の料金水準は、各団体の料金体系の一部を標準的構造から推定した数値である。その後、条例別表・公式早見表による逆算検証を行い、『料金詳細確認_確定版』で確定値を整理した。両者には差があり、特に石巻広域の一般家庭(20mm/20㎥)は本資料3,102円に対し確定値6,600円と2倍以上異なる。料金水準の数値を引用する際は『料金詳細確認_確定版』または『宮城県水道料金体系統一化_検討報告書』第3章を参照すること。本資料は検討の経緯を示す参考資料として保存する。</w:t>
      </w:r>
    </w:p>
    <w:p>
      <w:pPr>
        <w:pStyle w:val="Heading1"/>
      </w:pPr>
      <w:r>
        <w:rPr>
          <w:rFonts w:ascii="游ゴシック" w:cs="游ゴシック" w:eastAsia="游ゴシック" w:hAnsi="游ゴシック"/>
        </w:rPr>
        <w:t xml:space="preserve">1. 調査の目的と対象</w:t>
      </w:r>
    </w:p>
    <w:p>
      <w:pPr>
        <w:spacing w:after="60" w:before="60" w:line="340"/>
        <w:jc w:val="left"/>
      </w:pPr>
      <w:r>
        <w:rPr>
          <w:rFonts w:ascii="游明朝" w:cs="游明朝" w:eastAsia="游明朝" w:hAnsi="游明朝"/>
          <w:b w:val="false"/>
          <w:bCs w:val="false"/>
          <w:sz w:val="22"/>
          <w:szCs w:val="22"/>
        </w:rPr>
        <w:t xml:space="preserve">前回の女川町単独試算で明らかになった『統一化による水産加工業への集中的負担増』の構造を、県内の他の臨海水産加工集積地との比較で検証する。これにより、女川町固有の問題か県内臨海団体に共通する構造的課題かを識別する。</w:t>
      </w:r>
    </w:p>
    <w:p>
      <w:r>
        <w:t xml:space="preserve"/>
      </w:r>
    </w:p>
    <w:p>
      <w:pPr>
        <w:spacing w:after="60" w:before="60" w:line="340"/>
        <w:jc w:val="left"/>
      </w:pPr>
      <w:r>
        <w:rPr>
          <w:rFonts w:ascii="游明朝" w:cs="游明朝" w:eastAsia="游明朝" w:hAnsi="游明朝"/>
          <w:b/>
          <w:bCs/>
          <w:sz w:val="22"/>
          <w:szCs w:val="22"/>
        </w:rPr>
        <w:t xml:space="preserve">対象団体:</w:t>
      </w:r>
    </w:p>
    <w:p>
      <w:pPr>
        <w:pStyle w:val="ListParagraph"/>
        <w:numPr>
          <w:ilvl w:val="0"/>
          <w:numId w:val="2"/>
        </w:numPr>
        <w:spacing w:after="40" w:before="40" w:line="320"/>
      </w:pPr>
      <w:r>
        <w:rPr>
          <w:rFonts w:ascii="游明朝" w:cs="游明朝" w:eastAsia="游明朝" w:hAnsi="游明朝"/>
          <w:sz w:val="22"/>
          <w:szCs w:val="22"/>
        </w:rPr>
        <w:t xml:space="preserve">女川町(前回試算対象、水産加工団地19社)</w:t>
      </w:r>
    </w:p>
    <w:p>
      <w:pPr>
        <w:pStyle w:val="ListParagraph"/>
        <w:numPr>
          <w:ilvl w:val="0"/>
          <w:numId w:val="2"/>
        </w:numPr>
        <w:spacing w:after="40" w:before="40" w:line="320"/>
      </w:pPr>
      <w:r>
        <w:rPr>
          <w:rFonts w:ascii="游明朝" w:cs="游明朝" w:eastAsia="游明朝" w:hAnsi="游明朝"/>
          <w:sz w:val="22"/>
          <w:szCs w:val="22"/>
        </w:rPr>
        <w:t xml:space="preserve">気仙沼市(県内最大の水産加工集積地、100社超)</w:t>
      </w:r>
    </w:p>
    <w:p>
      <w:pPr>
        <w:pStyle w:val="ListParagraph"/>
        <w:numPr>
          <w:ilvl w:val="0"/>
          <w:numId w:val="2"/>
        </w:numPr>
        <w:spacing w:after="40" w:before="40" w:line="320"/>
      </w:pPr>
      <w:r>
        <w:rPr>
          <w:rFonts w:ascii="游明朝" w:cs="游明朝" w:eastAsia="游明朝" w:hAnsi="游明朝"/>
          <w:sz w:val="22"/>
          <w:szCs w:val="22"/>
        </w:rPr>
        <w:t xml:space="preserve">石巻地方広域水道企業団(石巻市・東松島市、水産加工180社超)</w:t>
      </w:r>
    </w:p>
    <w:p>
      <w:pPr>
        <w:pStyle w:val="ListParagraph"/>
        <w:numPr>
          <w:ilvl w:val="0"/>
          <w:numId w:val="2"/>
        </w:numPr>
        <w:spacing w:after="40" w:before="40" w:line="320"/>
      </w:pPr>
      <w:r>
        <w:rPr>
          <w:rFonts w:ascii="游明朝" w:cs="游明朝" w:eastAsia="游明朝" w:hAnsi="游明朝"/>
          <w:sz w:val="22"/>
          <w:szCs w:val="22"/>
        </w:rPr>
        <w:t xml:space="preserve">塩竈市(マグロ水揚げ基地、水産加工90社超)</w:t>
      </w:r>
    </w:p>
    <w:p>
      <w:pPr>
        <w:pStyle w:val="ListParagraph"/>
        <w:numPr>
          <w:ilvl w:val="0"/>
          <w:numId w:val="2"/>
        </w:numPr>
        <w:spacing w:after="40" w:before="40" w:line="320"/>
      </w:pPr>
      <w:r>
        <w:rPr>
          <w:rFonts w:ascii="游明朝" w:cs="游明朝" w:eastAsia="游明朝" w:hAnsi="游明朝"/>
          <w:sz w:val="22"/>
          <w:szCs w:val="22"/>
        </w:rPr>
        <w:t xml:space="preserve">南三陸町(中規模水産加工集積地・参考)</w:t>
      </w:r>
    </w:p>
    <w:p>
      <w:r>
        <w:t xml:space="preserve"/>
      </w:r>
    </w:p>
    <w:p>
      <w:pPr>
        <w:pStyle w:val="Heading1"/>
      </w:pPr>
      <w:r>
        <w:rPr>
          <w:rFonts w:ascii="游ゴシック" w:cs="游ゴシック" w:eastAsia="游ゴシック" w:hAnsi="游ゴシック"/>
        </w:rPr>
        <w:t xml:space="preserve">2. 各団体の料金体系(現行)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900"/>
        <w:gridCol w:w="1900"/>
        <w:gridCol w:w="1860"/>
      </w:tblGrid>
      <w:tr>
        <w:tc>
          <w:tcPr>
            <w:tcW w:type="dxa" w:w="17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団体</w:t>
            </w:r>
          </w:p>
        </w:tc>
        <w:tc>
          <w:tcPr>
            <w:tcW w:type="dxa" w:w="20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体系類型</w:t>
            </w:r>
          </w:p>
        </w:tc>
        <w:tc>
          <w:tcPr>
            <w:tcW w:type="dxa" w:w="19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基本料金の特徴</w:t>
            </w:r>
          </w:p>
        </w:tc>
        <w:tc>
          <w:tcPr>
            <w:tcW w:type="dxa" w:w="19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従量料金の特徴</w:t>
            </w:r>
          </w:p>
        </w:tc>
        <w:tc>
          <w:tcPr>
            <w:tcW w:type="dxa" w:w="186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最新改定</w:t>
            </w:r>
          </w:p>
        </w:tc>
      </w:tr>
      <w:tr>
        <w:tc>
          <w:tcPr>
            <w:tcW w:type="dxa" w:w="1700"/>
            <w:tcBorders>
              <w:top w:val="single" w:color="999999" w:sz="4"/>
              <w:left w:val="single" w:color="999999" w:sz="4"/>
              <w:bottom w:val="single" w:color="999999" w:sz="4"/>
              <w:right w:val="single" w:color="999999" w:sz="4"/>
            </w:tcBorders>
            <w:shd w:fill="E2EFDA"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女川町</w:t>
            </w:r>
          </w:p>
        </w:tc>
        <w:tc>
          <w:tcPr>
            <w:tcW w:type="dxa" w:w="2000"/>
            <w:tcBorders>
              <w:top w:val="single" w:color="999999" w:sz="4"/>
              <w:left w:val="single" w:color="999999" w:sz="4"/>
              <w:bottom w:val="single" w:color="999999" w:sz="4"/>
              <w:right w:val="single" w:color="999999" w:sz="4"/>
            </w:tcBorders>
            <w:shd w:fill="E2EFDA" w:val="clear"/>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用途別+口径別メーター料</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990円/5㎥、1,210円/10㎥(一般用)、36,300円/500㎥(湯屋用)等</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11~100㎥=121円、101㎥超=110円(逓減制)</w:t>
            </w:r>
          </w:p>
        </w:tc>
        <w:tc>
          <w:tcPr>
            <w:tcW w:type="dxa" w:w="186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令和6年4月(端数処理変更)</w:t>
            </w:r>
          </w:p>
        </w:tc>
      </w:tr>
      <w:tr>
        <w:tc>
          <w:tcPr>
            <w:tcW w:type="dxa" w:w="1700"/>
            <w:tcBorders>
              <w:top w:val="single" w:color="999999" w:sz="4"/>
              <w:left w:val="single" w:color="999999" w:sz="4"/>
              <w:bottom w:val="single" w:color="999999" w:sz="4"/>
              <w:right w:val="single" w:color="999999" w:sz="4"/>
            </w:tcBorders>
            <w:shd w:fill="DEEBF7"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気仙沼市</w:t>
            </w:r>
          </w:p>
        </w:tc>
        <w:tc>
          <w:tcPr>
            <w:tcW w:type="dxa" w:w="2000"/>
            <w:tcBorders>
              <w:top w:val="single" w:color="999999" w:sz="4"/>
              <w:left w:val="single" w:color="999999" w:sz="4"/>
              <w:bottom w:val="single" w:color="999999" w:sz="4"/>
              <w:right w:val="single" w:color="999999" w:sz="4"/>
            </w:tcBorders>
            <w:shd w:fill="DEEBF7" w:val="clear"/>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口径別+段階逓増+弱い逓減</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13mm=1,010円、20mm=1,700円、25mm=2,790円、75mm=21,380円</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1~10=96円、11~20=172円、21~50=250円、51~1000=287円、1001~=260円(逓減)</w:t>
            </w:r>
          </w:p>
        </w:tc>
        <w:tc>
          <w:tcPr>
            <w:tcW w:type="dxa" w:w="186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令和3年10月(+23.32%)、令和8年2~4月基本料金減免</w:t>
            </w:r>
          </w:p>
        </w:tc>
      </w:tr>
      <w:tr>
        <w:tc>
          <w:tcPr>
            <w:tcW w:type="dxa" w:w="1700"/>
            <w:tcBorders>
              <w:top w:val="single" w:color="999999" w:sz="4"/>
              <w:left w:val="single" w:color="999999" w:sz="4"/>
              <w:bottom w:val="single" w:color="999999" w:sz="4"/>
              <w:right w:val="single" w:color="999999" w:sz="4"/>
            </w:tcBorders>
            <w:shd w:fill="FFE4D6"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石巻広域</w:t>
            </w:r>
          </w:p>
        </w:tc>
        <w:tc>
          <w:tcPr>
            <w:tcW w:type="dxa" w:w="2000"/>
            <w:tcBorders>
              <w:top w:val="single" w:color="999999" w:sz="4"/>
              <w:left w:val="single" w:color="999999" w:sz="4"/>
              <w:bottom w:val="single" w:color="999999" w:sz="4"/>
              <w:right w:val="single" w:color="999999" w:sz="4"/>
            </w:tcBorders>
            <w:shd w:fill="FFE4D6" w:val="clear"/>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口径別+段階逓増</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口径別基本料金、13・20mmは10㎥を基本水量に含む</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段階逓増型。詳細単価は条例別表による</w:t>
            </w:r>
          </w:p>
        </w:tc>
        <w:tc>
          <w:tcPr>
            <w:tcW w:type="dxa" w:w="186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令和5年4月(基本料金+20%、水量料金+16~22%)</w:t>
            </w:r>
          </w:p>
        </w:tc>
      </w:tr>
      <w:tr>
        <w:tc>
          <w:tcPr>
            <w:tcW w:type="dxa" w:w="1700"/>
            <w:tcBorders>
              <w:top w:val="single" w:color="999999" w:sz="4"/>
              <w:left w:val="single" w:color="999999" w:sz="4"/>
              <w:bottom w:val="single" w:color="999999" w:sz="4"/>
              <w:right w:val="single" w:color="999999" w:sz="4"/>
            </w:tcBorders>
            <w:shd w:fill="E4DFEC"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塩竈市</w:t>
            </w:r>
          </w:p>
        </w:tc>
        <w:tc>
          <w:tcPr>
            <w:tcW w:type="dxa" w:w="2000"/>
            <w:tcBorders>
              <w:top w:val="single" w:color="999999" w:sz="4"/>
              <w:left w:val="single" w:color="999999" w:sz="4"/>
              <w:bottom w:val="single" w:color="999999" w:sz="4"/>
              <w:right w:val="single" w:color="999999" w:sz="4"/>
            </w:tcBorders>
            <w:shd w:fill="E4DFEC" w:val="clear"/>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口径別+段階逓増</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13mm=700円、20mm=1,300円、25mm=2,100円(税抜)</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第1段=83円~逓増。大口まで段階的に単価上昇</w:t>
            </w:r>
          </w:p>
        </w:tc>
        <w:tc>
          <w:tcPr>
            <w:tcW w:type="dxa" w:w="186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令和元年10月(消費税率改定時)</w:t>
            </w:r>
          </w:p>
        </w:tc>
      </w:tr>
      <w:tr>
        <w:tc>
          <w:tcPr>
            <w:tcW w:type="dxa" w:w="1700"/>
            <w:tcBorders>
              <w:top w:val="single" w:color="999999" w:sz="4"/>
              <w:left w:val="single" w:color="999999" w:sz="4"/>
              <w:bottom w:val="single" w:color="999999" w:sz="4"/>
              <w:right w:val="single" w:color="999999" w:sz="4"/>
            </w:tcBorders>
            <w:shd w:fill="F2F2F2"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南三陸町</w:t>
            </w:r>
          </w:p>
        </w:tc>
        <w:tc>
          <w:tcPr>
            <w:tcW w:type="dxa" w:w="2000"/>
            <w:tcBorders>
              <w:top w:val="single" w:color="999999" w:sz="4"/>
              <w:left w:val="single" w:color="999999" w:sz="4"/>
              <w:bottom w:val="single" w:color="999999" w:sz="4"/>
              <w:right w:val="single" w:color="999999" w:sz="4"/>
            </w:tcBorders>
            <w:shd w:fill="F2F2F2" w:val="clear"/>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口径別+段階型(詳細未確認)</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基本水量10㎥までの基本料金設定</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段階型。詳細は条例照会要</w:t>
            </w:r>
          </w:p>
        </w:tc>
        <w:tc>
          <w:tcPr>
            <w:tcW w:type="dxa" w:w="186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val="false"/>
                <w:bCs w:val="false"/>
                <w:color w:val="000000"/>
                <w:sz w:val="17"/>
                <w:szCs w:val="17"/>
              </w:rPr>
              <w:t xml:space="preserve">令和元年10月~適用</w:t>
            </w:r>
          </w:p>
        </w:tc>
      </w:tr>
    </w:tbl>
    <w:p>
      <w:r>
        <w:t xml:space="preserve"/>
      </w:r>
    </w:p>
    <w:p>
      <w:pPr>
        <w:spacing w:after="60" w:before="60" w:line="340"/>
        <w:jc w:val="left"/>
      </w:pPr>
      <w:r>
        <w:rPr>
          <w:rFonts w:ascii="游明朝" w:cs="游明朝" w:eastAsia="游明朝" w:hAnsi="游明朝"/>
          <w:b/>
          <w:bCs/>
          <w:sz w:val="22"/>
          <w:szCs w:val="22"/>
        </w:rPr>
        <w:t xml:space="preserve">体系的な特徴</w:t>
      </w:r>
    </w:p>
    <w:p>
      <w:pPr>
        <w:pStyle w:val="ListParagraph"/>
        <w:numPr>
          <w:ilvl w:val="0"/>
          <w:numId w:val="2"/>
        </w:numPr>
        <w:spacing w:after="40" w:before="40" w:line="320"/>
      </w:pPr>
      <w:r>
        <w:rPr>
          <w:rFonts w:ascii="游明朝" w:cs="游明朝" w:eastAsia="游明朝" w:hAnsi="游明朝"/>
          <w:sz w:val="22"/>
          <w:szCs w:val="22"/>
        </w:rPr>
        <w:t xml:space="preserve">女川町のみ『用途別+逓減制』という独自の構造を採用。他の3団体はいずれも『口径別+逓増制』で類似性が高い</w:t>
      </w:r>
    </w:p>
    <w:p>
      <w:pPr>
        <w:pStyle w:val="ListParagraph"/>
        <w:numPr>
          <w:ilvl w:val="0"/>
          <w:numId w:val="2"/>
        </w:numPr>
        <w:spacing w:after="40" w:before="40" w:line="320"/>
      </w:pPr>
      <w:r>
        <w:rPr>
          <w:rFonts w:ascii="游明朝" w:cs="游明朝" w:eastAsia="游明朝" w:hAnsi="游明朝"/>
          <w:sz w:val="22"/>
          <w:szCs w:val="22"/>
        </w:rPr>
        <w:t xml:space="preserve">気仙沼市と女川町は大口使用者に対する逓減要素を含む(ただし気仙沼市は1,001㎥超からと非常に限定的)</w:t>
      </w:r>
    </w:p>
    <w:p>
      <w:pPr>
        <w:pStyle w:val="ListParagraph"/>
        <w:numPr>
          <w:ilvl w:val="0"/>
          <w:numId w:val="2"/>
        </w:numPr>
        <w:spacing w:after="40" w:before="40" w:line="320"/>
      </w:pPr>
      <w:r>
        <w:rPr>
          <w:rFonts w:ascii="游明朝" w:cs="游明朝" w:eastAsia="游明朝" w:hAnsi="游明朝"/>
          <w:sz w:val="22"/>
          <w:szCs w:val="22"/>
        </w:rPr>
        <w:t xml:space="preserve">石巻広域と塩竈市は明確な逓増型で、大口ほど単価が上がる構造</w:t>
      </w:r>
    </w:p>
    <w:p>
      <w:r>
        <w:t xml:space="preserve"/>
      </w:r>
    </w:p>
    <w:p>
      <w:pPr>
        <w:pStyle w:val="Heading1"/>
      </w:pPr>
      <w:r>
        <w:rPr>
          <w:rFonts w:ascii="游ゴシック" w:cs="游ゴシック" w:eastAsia="游ゴシック" w:hAnsi="游ゴシック"/>
        </w:rPr>
        <w:t xml:space="preserve">3. 現行料金水準の比較</w:t>
      </w:r>
    </w:p>
    <w:p>
      <w:pPr>
        <w:spacing w:after="60" w:before="60" w:line="340"/>
        <w:jc w:val="left"/>
      </w:pPr>
      <w:r>
        <w:rPr>
          <w:rFonts w:ascii="游明朝" w:cs="游明朝" w:eastAsia="游明朝" w:hAnsi="游明朝"/>
          <w:b w:val="false"/>
          <w:bCs w:val="false"/>
          <w:sz w:val="22"/>
          <w:szCs w:val="22"/>
        </w:rPr>
        <w:t xml:space="preserve">同一使用量の水産加工事業者を各団体に想定して現行料金を計算した結果、女川町だけが突出して低水準であることが判明した。</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40"/>
        <w:gridCol w:w="1440"/>
        <w:gridCol w:w="1440"/>
        <w:gridCol w:w="1440"/>
      </w:tblGrid>
      <w:tr>
        <w:tc>
          <w:tcPr>
            <w:tcW w:type="dxa" w:w="18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区分</w:t>
            </w:r>
          </w:p>
        </w:tc>
        <w:tc>
          <w:tcPr>
            <w:tcW w:type="dxa" w:w="18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使用条件</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女川町</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気仙沼市</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石巻広域</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塩竈市</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一般家庭</w:t>
            </w:r>
          </w:p>
        </w:tc>
        <w:tc>
          <w:tcPr>
            <w:tcW w:type="dxa" w:w="1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20mm/20㎥/月</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bCs/>
                <w:color w:val="548235"/>
                <w:sz w:val="17"/>
                <w:szCs w:val="17"/>
              </w:rPr>
              <w:t xml:space="preserve">2,497円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4,818円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3,102円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4,037円</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小規模加工</w:t>
            </w:r>
          </w:p>
        </w:tc>
        <w:tc>
          <w:tcPr>
            <w:tcW w:type="dxa" w:w="1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25mm/200㎥/月</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bCs/>
                <w:color w:val="548235"/>
                <w:sz w:val="17"/>
                <w:szCs w:val="17"/>
              </w:rPr>
              <w:t xml:space="preserve">23,210円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61,622円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55,979円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49,808円</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中規模加工</w:t>
            </w:r>
          </w:p>
        </w:tc>
        <w:tc>
          <w:tcPr>
            <w:tcW w:type="dxa" w:w="1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50mm/1,000㎥/月</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bCs/>
                <w:color w:val="548235"/>
                <w:sz w:val="17"/>
                <w:szCs w:val="17"/>
              </w:rPr>
              <w:t xml:space="preserve">111,980円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326,073円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312,136円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296,208円</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大規模加工</w:t>
            </w:r>
          </w:p>
        </w:tc>
        <w:tc>
          <w:tcPr>
            <w:tcW w:type="dxa" w:w="1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75mm/3,000㎥/月</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bCs/>
                <w:color w:val="548235"/>
                <w:sz w:val="17"/>
                <w:szCs w:val="17"/>
              </w:rPr>
              <w:t xml:space="preserve">332,200円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906,631円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1,005,752円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956,648円</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超大口加工</w:t>
            </w:r>
          </w:p>
        </w:tc>
        <w:tc>
          <w:tcPr>
            <w:tcW w:type="dxa" w:w="1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100mm/8,000㎥/月</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bCs/>
                <w:color w:val="548235"/>
                <w:sz w:val="17"/>
                <w:szCs w:val="17"/>
              </w:rPr>
              <w:t xml:space="preserve">882,420円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2,354,913円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2,733,984円</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2,603,128円</w:t>
            </w:r>
          </w:p>
        </w:tc>
      </w:tr>
    </w:tbl>
    <w:p>
      <w:r>
        <w:t xml:space="preserve"/>
      </w:r>
    </w:p>
    <w:p>
      <w:pPr>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図1  県内臨海4団体の現行料金水準比較(対数軸)</w:t>
      </w:r>
    </w:p>
    <w:p>
      <w:r>
        <w:t xml:space="preserve"/>
      </w:r>
    </w:p>
    <w:p>
      <w:pPr>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7650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図2  女川町基準の料金倍率 ― 他3団体は大口で約3倍の料金水準</w:t>
      </w:r>
    </w:p>
    <w:p>
      <w:r>
        <w:t xml:space="preserve"/>
      </w:r>
    </w:p>
    <w:p>
      <w:pPr>
        <w:spacing w:after="60" w:before="60" w:line="340"/>
        <w:jc w:val="left"/>
      </w:pPr>
      <w:r>
        <w:rPr>
          <w:rFonts w:ascii="游明朝" w:cs="游明朝" w:eastAsia="游明朝" w:hAnsi="游明朝"/>
          <w:b/>
          <w:bCs/>
          <w:sz w:val="22"/>
          <w:szCs w:val="22"/>
        </w:rPr>
        <w:t xml:space="preserve">決定的な発見</w:t>
      </w:r>
    </w:p>
    <w:p>
      <w:pPr>
        <w:pStyle w:val="ListParagraph"/>
        <w:numPr>
          <w:ilvl w:val="0"/>
          <w:numId w:val="2"/>
        </w:numPr>
        <w:spacing w:after="40" w:before="40" w:line="320"/>
      </w:pPr>
      <w:r>
        <w:rPr>
          <w:rFonts w:ascii="游明朝" w:cs="游明朝" w:eastAsia="游明朝" w:hAnsi="游明朝"/>
          <w:sz w:val="22"/>
          <w:szCs w:val="22"/>
        </w:rPr>
        <w:t xml:space="preserve">女川町の水道料金は大口使用者帯(中規模以上)で、他の3団体の約1/3の水準にある</w:t>
      </w:r>
    </w:p>
    <w:p>
      <w:pPr>
        <w:pStyle w:val="ListParagraph"/>
        <w:numPr>
          <w:ilvl w:val="0"/>
          <w:numId w:val="2"/>
        </w:numPr>
        <w:spacing w:after="40" w:before="40" w:line="320"/>
      </w:pPr>
      <w:r>
        <w:rPr>
          <w:rFonts w:ascii="游明朝" w:cs="游明朝" w:eastAsia="游明朝" w:hAnsi="游明朝"/>
          <w:sz w:val="22"/>
          <w:szCs w:val="22"/>
        </w:rPr>
        <w:t xml:space="preserve">中規模加工業者(1,000㎥/月)で比較すると、女川町11.2万円に対し、気仙沼市32.6万円、石巻広域31.2万円、塩竈市29.6万円</w:t>
      </w:r>
    </w:p>
    <w:p>
      <w:pPr>
        <w:pStyle w:val="ListParagraph"/>
        <w:numPr>
          <w:ilvl w:val="0"/>
          <w:numId w:val="2"/>
        </w:numPr>
        <w:spacing w:after="40" w:before="40" w:line="320"/>
      </w:pPr>
      <w:r>
        <w:rPr>
          <w:rFonts w:ascii="游明朝" w:cs="游明朝" w:eastAsia="游明朝" w:hAnsi="游明朝"/>
          <w:sz w:val="22"/>
          <w:szCs w:val="22"/>
        </w:rPr>
        <w:t xml:space="preserve">超大口加工業者(8,000㎥/月)では、女川町88.2万円に対し、他3団体は235~273万円と2.7~3.1倍</w:t>
      </w:r>
    </w:p>
    <w:p>
      <w:pPr>
        <w:pStyle w:val="ListParagraph"/>
        <w:numPr>
          <w:ilvl w:val="0"/>
          <w:numId w:val="2"/>
        </w:numPr>
        <w:spacing w:after="40" w:before="40" w:line="320"/>
      </w:pPr>
      <w:r>
        <w:rPr>
          <w:rFonts w:ascii="游明朝" w:cs="游明朝" w:eastAsia="游明朝" w:hAnsi="游明朝"/>
          <w:sz w:val="22"/>
          <w:szCs w:val="22"/>
        </w:rPr>
        <w:t xml:space="preserve">この格差は、女川町の『逓減制』と他3団体の『逓増制』という体系設計の本質的違いに起因する</w:t>
      </w:r>
    </w:p>
    <w:p>
      <w:r>
        <w:t xml:space="preserve"/>
      </w:r>
    </w:p>
    <w:p>
      <w:pPr>
        <w:pStyle w:val="Heading1"/>
      </w:pPr>
      <w:r>
        <w:rPr>
          <w:rFonts w:ascii="游ゴシック" w:cs="游ゴシック" w:eastAsia="游ゴシック" w:hAnsi="游ゴシック"/>
        </w:rPr>
        <w:t xml:space="preserve">4. 統一料金適用時の団体別影響</w:t>
      </w:r>
    </w:p>
    <w:p>
      <w:pPr>
        <w:spacing w:after="60" w:before="60" w:line="340"/>
        <w:jc w:val="left"/>
      </w:pPr>
      <w:r>
        <w:rPr>
          <w:rFonts w:ascii="游明朝" w:cs="游明朝" w:eastAsia="游明朝" w:hAnsi="游明朝"/>
          <w:b w:val="false"/>
          <w:bCs w:val="false"/>
          <w:sz w:val="22"/>
          <w:szCs w:val="22"/>
        </w:rPr>
        <w:t xml:space="preserve">4団体の加重平均的な水準を想定した統一料金(仮置き)を適用した場合、各団体の事業者に与える影響は大きく異なる。</w:t>
      </w:r>
    </w:p>
    <w:p>
      <w:r>
        <w:t xml:space="preserve"/>
      </w:r>
    </w:p>
    <w:p>
      <w:pPr>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図3  統一料金適用時の各団体事業者への影響(変化率)</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40"/>
        <w:gridCol w:w="1440"/>
        <w:gridCol w:w="1440"/>
        <w:gridCol w:w="1440"/>
      </w:tblGrid>
      <w:tr>
        <w:tc>
          <w:tcPr>
            <w:tcW w:type="dxa" w:w="18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区分</w:t>
            </w:r>
          </w:p>
        </w:tc>
        <w:tc>
          <w:tcPr>
            <w:tcW w:type="dxa" w:w="18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使用条件</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女川町</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気仙沼市</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石巻広域</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塩竈市</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一般家庭</w:t>
            </w:r>
          </w:p>
        </w:tc>
        <w:tc>
          <w:tcPr>
            <w:tcW w:type="dxa" w:w="1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20mm/20㎥</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C00000"/>
                <w:sz w:val="17"/>
                <w:szCs w:val="17"/>
              </w:rPr>
              <w:t xml:space="preserve">+23.3%</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548235"/>
                <w:sz w:val="17"/>
                <w:szCs w:val="17"/>
              </w:rPr>
              <w:t xml:space="preserve">-36.1%</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-0.7%</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548235"/>
                <w:sz w:val="17"/>
                <w:szCs w:val="17"/>
              </w:rPr>
              <w:t xml:space="preserve">-23.7%</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小規模加工</w:t>
            </w:r>
          </w:p>
        </w:tc>
        <w:tc>
          <w:tcPr>
            <w:tcW w:type="dxa" w:w="1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25mm/200㎥</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bCs/>
                <w:color w:val="C00000"/>
                <w:sz w:val="17"/>
                <w:szCs w:val="17"/>
              </w:rPr>
              <w:t xml:space="preserve">+133.6%</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548235"/>
                <w:sz w:val="17"/>
                <w:szCs w:val="17"/>
              </w:rPr>
              <w:t xml:space="preserve">-12.0%</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548235"/>
                <w:sz w:val="17"/>
                <w:szCs w:val="17"/>
              </w:rPr>
              <w:t xml:space="preserve">-3.1%</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C00000"/>
                <w:sz w:val="17"/>
                <w:szCs w:val="17"/>
              </w:rPr>
              <w:t xml:space="preserve">+8.9%</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中規模加工</w:t>
            </w:r>
          </w:p>
        </w:tc>
        <w:tc>
          <w:tcPr>
            <w:tcW w:type="dxa" w:w="1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50mm/1,000㎥</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bCs/>
                <w:color w:val="C00000"/>
                <w:sz w:val="17"/>
                <w:szCs w:val="17"/>
              </w:rPr>
              <w:t xml:space="preserve">+174.3%</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548235"/>
                <w:sz w:val="17"/>
                <w:szCs w:val="17"/>
              </w:rPr>
              <w:t xml:space="preserve">-5.8%</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-1.6%</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+3.7%</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大規模加工</w:t>
            </w:r>
          </w:p>
        </w:tc>
        <w:tc>
          <w:tcPr>
            <w:tcW w:type="dxa" w:w="1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75mm/3,000㎥</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bCs/>
                <w:color w:val="C00000"/>
                <w:sz w:val="17"/>
                <w:szCs w:val="17"/>
              </w:rPr>
              <w:t xml:space="preserve">+197.5%</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C00000"/>
                <w:sz w:val="17"/>
                <w:szCs w:val="17"/>
              </w:rPr>
              <w:t xml:space="preserve">+9.0%</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-1.7%</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+3.3%</w:t>
            </w:r>
          </w:p>
        </w:tc>
      </w:tr>
      <w:tr>
        <w:tc>
          <w:tcPr>
            <w:tcW w:type="dxa" w:w="1800"/>
            <w:tcBorders>
              <w:top w:val="single" w:color="999999" w:sz="4"/>
              <w:left w:val="single" w:color="999999" w:sz="4"/>
              <w:bottom w:val="single" w:color="999999" w:sz="4"/>
              <w:right w:val="single" w:color="999999" w:sz="4"/>
            </w:tcBorders>
            <w:shd w:fill="F2F2F2"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超大口加工</w:t>
            </w:r>
          </w:p>
        </w:tc>
        <w:tc>
          <w:tcPr>
            <w:tcW w:type="dxa" w:w="18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100mm/8,000㎥</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bCs/>
                <w:color w:val="C00000"/>
                <w:sz w:val="17"/>
                <w:szCs w:val="17"/>
              </w:rPr>
              <w:t xml:space="preserve">+204.3%</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C00000"/>
                <w:sz w:val="17"/>
                <w:szCs w:val="17"/>
              </w:rPr>
              <w:t xml:space="preserve">+14.0%</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-1.8%</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+3.2%</w:t>
            </w:r>
          </w:p>
        </w:tc>
      </w:tr>
    </w:tbl>
    <w:p>
      <w:r>
        <w:t xml:space="preserve"/>
      </w:r>
    </w:p>
    <w:p>
      <w:pPr>
        <w:spacing w:after="60" w:before="60" w:line="340"/>
        <w:jc w:val="left"/>
      </w:pPr>
      <w:r>
        <w:rPr>
          <w:rFonts w:ascii="游明朝" w:cs="游明朝" w:eastAsia="游明朝" w:hAnsi="游明朝"/>
          <w:b/>
          <w:bCs/>
          <w:sz w:val="22"/>
          <w:szCs w:val="22"/>
        </w:rPr>
        <w:t xml:space="preserve">主要な示唆</w:t>
      </w:r>
    </w:p>
    <w:p>
      <w:pPr>
        <w:pStyle w:val="ListParagraph"/>
        <w:numPr>
          <w:ilvl w:val="0"/>
          <w:numId w:val="2"/>
        </w:numPr>
        <w:spacing w:after="40" w:before="40" w:line="320"/>
      </w:pPr>
      <w:r>
        <w:rPr>
          <w:rFonts w:ascii="游明朝" w:cs="游明朝" w:eastAsia="游明朝" w:hAnsi="游明朝"/>
          <w:sz w:val="22"/>
          <w:szCs w:val="22"/>
        </w:rPr>
        <w:t xml:space="preserve">女川町の水産加工業者のみが+130~200%という突出した負担増に晒される。他3団体は±15%以内に収まる</w:t>
      </w:r>
    </w:p>
    <w:p>
      <w:pPr>
        <w:pStyle w:val="ListParagraph"/>
        <w:numPr>
          <w:ilvl w:val="0"/>
          <w:numId w:val="2"/>
        </w:numPr>
        <w:spacing w:after="40" w:before="40" w:line="320"/>
      </w:pPr>
      <w:r>
        <w:rPr>
          <w:rFonts w:ascii="游明朝" w:cs="游明朝" w:eastAsia="游明朝" w:hAnsi="游明朝"/>
          <w:sz w:val="22"/>
          <w:szCs w:val="22"/>
        </w:rPr>
        <w:t xml:space="preserve">気仙沼市は家庭用では-36%と大きな値下げになるが、これは令和3年の23.32%値上げ後の料金が現時点で他団体より高水準にあるため</w:t>
      </w:r>
    </w:p>
    <w:p>
      <w:pPr>
        <w:pStyle w:val="ListParagraph"/>
        <w:numPr>
          <w:ilvl w:val="0"/>
          <w:numId w:val="2"/>
        </w:numPr>
        <w:spacing w:after="40" w:before="40" w:line="320"/>
      </w:pPr>
      <w:r>
        <w:rPr>
          <w:rFonts w:ascii="游明朝" w:cs="游明朝" w:eastAsia="游明朝" w:hAnsi="游明朝"/>
          <w:sz w:val="22"/>
          <w:szCs w:val="22"/>
        </w:rPr>
        <w:t xml:space="preserve">石巻広域は令和5年改定で現行料金が統一仮置き値に近く、ほぼ影響なし(±3%)</w:t>
      </w:r>
    </w:p>
    <w:p>
      <w:pPr>
        <w:pStyle w:val="ListParagraph"/>
        <w:numPr>
          <w:ilvl w:val="0"/>
          <w:numId w:val="2"/>
        </w:numPr>
        <w:spacing w:after="40" w:before="40" w:line="320"/>
      </w:pPr>
      <w:r>
        <w:rPr>
          <w:rFonts w:ascii="游明朝" w:cs="游明朝" w:eastAsia="游明朝" w:hAnsi="游明朝"/>
          <w:sz w:val="22"/>
          <w:szCs w:val="22"/>
        </w:rPr>
        <w:t xml:space="preserve">塩竈市は全体的にごく小幅な影響(±10%未満)</w:t>
      </w:r>
    </w:p>
    <w:p>
      <w:pPr>
        <w:pStyle w:val="ListParagraph"/>
        <w:numPr>
          <w:ilvl w:val="0"/>
          <w:numId w:val="2"/>
        </w:numPr>
        <w:spacing w:after="40" w:before="40" w:line="320"/>
      </w:pPr>
      <w:r>
        <w:rPr>
          <w:rFonts w:ascii="游明朝" w:cs="游明朝" w:eastAsia="游明朝" w:hAnsi="游明朝"/>
          <w:sz w:val="22"/>
          <w:szCs w:val="22"/>
        </w:rPr>
        <w:t xml:space="preserve">つまり、『統一化の負担は実質的に女川町の水産加工業に集中する』という構造が明確に浮かび上がる</w:t>
      </w:r>
    </w:p>
    <w:p>
      <w:r>
        <w:t xml:space="preserve"/>
      </w:r>
    </w:p>
    <w:p>
      <w:pPr>
        <w:pStyle w:val="Heading1"/>
      </w:pPr>
      <w:r>
        <w:rPr>
          <w:rFonts w:ascii="游ゴシック" w:cs="游ゴシック" w:eastAsia="游ゴシック" w:hAnsi="游ゴシック"/>
        </w:rPr>
        <w:t xml:space="preserve">5. 県内水産加工業全体への年額影響</w:t>
      </w:r>
    </w:p>
    <w:p>
      <w:pPr>
        <w:spacing w:after="60" w:before="60" w:line="340"/>
        <w:jc w:val="left"/>
      </w:pPr>
      <w:r>
        <w:rPr>
          <w:rFonts w:ascii="游明朝" w:cs="游明朝" w:eastAsia="游明朝" w:hAnsi="游明朝"/>
          <w:b w:val="false"/>
          <w:bCs w:val="false"/>
          <w:sz w:val="22"/>
          <w:szCs w:val="22"/>
        </w:rPr>
        <w:t xml:space="preserve">各団体の水産加工業集積規模を想定し、統一化適用時の年間水道料金負担の変化を試算する。</w:t>
      </w:r>
    </w:p>
    <w:p>
      <w:r>
        <w:t xml:space="preserve"/>
      </w:r>
    </w:p>
    <w:p>
      <w:pPr>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67000"/>
                    </a:xfrm>
                    <a:prstGeom prst="rect">
                      <a:avLst/>
                    </a:prstGeom>
                  </pic:spPr>
                </pic:pic>
              </a:graphicData>
            </a:graphic>
          </wp:inline>
        </w:drawing>
      </w:r>
    </w:p>
    <w:p>
      <w:pPr>
        <w:spacing w:after="200" w:before="40"/>
        <w:jc w:val="center"/>
      </w:pPr>
      <w:r>
        <w:rPr>
          <w:rFonts w:ascii="游ゴシック" w:cs="游ゴシック" w:eastAsia="游ゴシック" w:hAnsi="游ゴシック"/>
          <w:i/>
          <w:iCs/>
          <w:color w:val="555555"/>
          <w:sz w:val="18"/>
          <w:szCs w:val="18"/>
        </w:rPr>
        <w:t xml:space="preserve">図4  県内4団体の水産加工業年額水道料金(想定規模ベース)</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40"/>
        <w:gridCol w:w="1900"/>
        <w:gridCol w:w="1900"/>
        <w:gridCol w:w="2420"/>
      </w:tblGrid>
      <w:tr>
        <w:tc>
          <w:tcPr>
            <w:tcW w:type="dxa" w:w="17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団体</w:t>
            </w:r>
          </w:p>
        </w:tc>
        <w:tc>
          <w:tcPr>
            <w:tcW w:type="dxa" w:w="144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想定加工社数</w:t>
            </w:r>
          </w:p>
        </w:tc>
        <w:tc>
          <w:tcPr>
            <w:tcW w:type="dxa" w:w="19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現行年額</w:t>
            </w:r>
          </w:p>
        </w:tc>
        <w:tc>
          <w:tcPr>
            <w:tcW w:type="dxa" w:w="190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統一後年額</w:t>
            </w:r>
          </w:p>
        </w:tc>
        <w:tc>
          <w:tcPr>
            <w:tcW w:type="dxa" w:w="2420"/>
            <w:tcBorders>
              <w:top w:val="single" w:color="999999" w:sz="4"/>
              <w:left w:val="single" w:color="999999" w:sz="4"/>
              <w:bottom w:val="single" w:color="999999" w:sz="4"/>
              <w:right w:val="single" w:color="999999" w:sz="4"/>
            </w:tcBorders>
            <w:shd w:fill="1F4E78" w:val="clear"/>
            <w:tcMar>
              <w:top w:type="dxa" w:w="90"/>
              <w:left w:type="dxa" w:w="90"/>
              <w:bottom w:type="dxa" w:w="90"/>
              <w:right w:type="dxa" w:w="90"/>
            </w:tcMar>
          </w:tcPr>
          <w:p>
            <w:pPr>
              <w:jc w:val="center"/>
            </w:pPr>
            <w:r>
              <w:rPr>
                <w:rFonts w:ascii="游ゴシック" w:cs="游ゴシック" w:eastAsia="游ゴシック" w:hAnsi="游ゴシック"/>
                <w:b/>
                <w:bCs/>
                <w:color w:val="FFFFFF"/>
                <w:sz w:val="17"/>
                <w:szCs w:val="17"/>
              </w:rPr>
              <w:t xml:space="preserve">年額差額(変化率)</w:t>
            </w:r>
          </w:p>
        </w:tc>
      </w:tr>
      <w:tr>
        <w:tc>
          <w:tcPr>
            <w:tcW w:type="dxa" w:w="1700"/>
            <w:tcBorders>
              <w:top w:val="single" w:color="999999" w:sz="4"/>
              <w:left w:val="single" w:color="999999" w:sz="4"/>
              <w:bottom w:val="single" w:color="999999" w:sz="4"/>
              <w:right w:val="single" w:color="999999" w:sz="4"/>
            </w:tcBorders>
            <w:shd w:fill="FFF2CC" w:val="clear"/>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女川町</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19社</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0.43億円</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bCs/>
                <w:color w:val="C00000"/>
                <w:sz w:val="17"/>
                <w:szCs w:val="17"/>
              </w:rPr>
              <w:t xml:space="preserve">1.24億円</w:t>
            </w:r>
          </w:p>
        </w:tc>
        <w:tc>
          <w:tcPr>
            <w:tcW w:type="dxa" w:w="242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bCs/>
                <w:color w:val="C00000"/>
                <w:sz w:val="17"/>
                <w:szCs w:val="17"/>
              </w:rPr>
              <w:t xml:space="preserve">+0.82億円 (+191.3%)</w:t>
            </w:r>
          </w:p>
        </w:tc>
      </w:tr>
      <w:tr>
        <w:tc>
          <w:tcPr>
            <w:tcW w:type="dxa" w:w="17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気仙沼市</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120社</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7.43億円</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7.85億円</w:t>
            </w:r>
          </w:p>
        </w:tc>
        <w:tc>
          <w:tcPr>
            <w:tcW w:type="dxa" w:w="242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+0.42億円 (+5.6%)</w:t>
            </w:r>
          </w:p>
        </w:tc>
      </w:tr>
      <w:tr>
        <w:tc>
          <w:tcPr>
            <w:tcW w:type="dxa" w:w="17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石巻広域</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180社</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11.98億円</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11.77億円</w:t>
            </w:r>
          </w:p>
        </w:tc>
        <w:tc>
          <w:tcPr>
            <w:tcW w:type="dxa" w:w="242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548235"/>
                <w:sz w:val="17"/>
                <w:szCs w:val="17"/>
              </w:rPr>
              <w:t xml:space="preserve">-0.21億円 (-1.8%)</w:t>
            </w:r>
          </w:p>
        </w:tc>
      </w:tr>
      <w:tr>
        <w:tc>
          <w:tcPr>
            <w:tcW w:type="dxa" w:w="17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left"/>
            </w:pPr>
            <w:r>
              <w:rPr>
                <w:rFonts w:ascii="游ゴシック" w:cs="游ゴシック" w:eastAsia="游ゴシック" w:hAnsi="游ゴシック"/>
                <w:b/>
                <w:bCs/>
                <w:color w:val="000000"/>
                <w:sz w:val="17"/>
                <w:szCs w:val="17"/>
              </w:rPr>
              <w:t xml:space="preserve">塩竈市</w:t>
            </w:r>
          </w:p>
        </w:tc>
        <w:tc>
          <w:tcPr>
            <w:tcW w:type="dxa" w:w="144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center"/>
            </w:pPr>
            <w:r>
              <w:rPr>
                <w:rFonts w:ascii="游ゴシック" w:cs="游ゴシック" w:eastAsia="游ゴシック" w:hAnsi="游ゴシック"/>
                <w:b w:val="false"/>
                <w:bCs w:val="false"/>
                <w:color w:val="000000"/>
                <w:sz w:val="17"/>
                <w:szCs w:val="17"/>
              </w:rPr>
              <w:t xml:space="preserve">90社</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5.69億円</w:t>
            </w:r>
          </w:p>
        </w:tc>
        <w:tc>
          <w:tcPr>
            <w:tcW w:type="dxa" w:w="190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5.89億円</w:t>
            </w:r>
          </w:p>
        </w:tc>
        <w:tc>
          <w:tcPr>
            <w:tcW w:type="dxa" w:w="2420"/>
            <w:tcBorders>
              <w:top w:val="single" w:color="999999" w:sz="4"/>
              <w:left w:val="single" w:color="999999" w:sz="4"/>
              <w:bottom w:val="single" w:color="999999" w:sz="4"/>
              <w:right w:val="single" w:color="999999" w:sz="4"/>
            </w:tcBorders>
            <w:tcMar>
              <w:top w:type="dxa" w:w="70"/>
              <w:left w:type="dxa" w:w="90"/>
              <w:bottom w:type="dxa" w:w="70"/>
              <w:right w:type="dxa" w:w="90"/>
            </w:tcMar>
          </w:tcPr>
          <w:p>
            <w:pPr>
              <w:jc w:val="right"/>
            </w:pPr>
            <w:r>
              <w:rPr>
                <w:rFonts w:ascii="游ゴシック" w:cs="游ゴシック" w:eastAsia="游ゴシック" w:hAnsi="游ゴシック"/>
                <w:b w:val="false"/>
                <w:bCs w:val="false"/>
                <w:color w:val="000000"/>
                <w:sz w:val="17"/>
                <w:szCs w:val="17"/>
              </w:rPr>
              <w:t xml:space="preserve">+0.20億円 (+3.5%)</w:t>
            </w:r>
          </w:p>
        </w:tc>
      </w:tr>
      <w:tr>
        <w:tc>
          <w:tcPr>
            <w:tcW w:type="dxa" w:w="1700"/>
            <w:tcBorders>
              <w:top w:val="single" w:color="999999" w:sz="4"/>
              <w:left w:val="single" w:color="999999" w:sz="4"/>
              <w:bottom w:val="single" w:color="999999" w:sz="4"/>
              <w:right w:val="single" w:color="999999" w:sz="4"/>
            </w:tcBorders>
            <w:shd w:fill="1F4E78" w:val="clear"/>
            <w:tcMar>
              <w:top w:type="dxa" w:w="70"/>
              <w:left w:type="dxa" w:w="90"/>
              <w:bottom w:type="dxa" w:w="70"/>
              <w:right w:type="dxa" w:w="90"/>
            </w:tcMar>
          </w:tcPr>
          <w:p>
            <w:pPr>
              <w:jc w:val="left"/>
            </w:pPr>
            <w:r>
              <w:rPr>
                <w:rFonts w:ascii="游ゴシック" w:cs="游ゴシック" w:eastAsia="游ゴシック" w:hAnsi="游ゴシック"/>
                <w:b/>
                <w:bCs/>
                <w:color w:val="FFFFFF"/>
                <w:sz w:val="17"/>
                <w:szCs w:val="17"/>
              </w:rPr>
              <w:t xml:space="preserve">4団体計</w:t>
            </w:r>
          </w:p>
        </w:tc>
        <w:tc>
          <w:tcPr>
            <w:tcW w:type="dxa" w:w="1440"/>
            <w:tcBorders>
              <w:top w:val="single" w:color="999999" w:sz="4"/>
              <w:left w:val="single" w:color="999999" w:sz="4"/>
              <w:bottom w:val="single" w:color="999999" w:sz="4"/>
              <w:right w:val="single" w:color="999999" w:sz="4"/>
            </w:tcBorders>
            <w:shd w:fill="1F4E78" w:val="clear"/>
            <w:tcMar>
              <w:top w:type="dxa" w:w="70"/>
              <w:left w:type="dxa" w:w="90"/>
              <w:bottom w:type="dxa" w:w="70"/>
              <w:right w:type="dxa" w:w="90"/>
            </w:tcMar>
          </w:tcPr>
          <w:p>
            <w:pPr>
              <w:jc w:val="center"/>
            </w:pPr>
            <w:r>
              <w:rPr>
                <w:rFonts w:ascii="游ゴシック" w:cs="游ゴシック" w:eastAsia="游ゴシック" w:hAnsi="游ゴシック"/>
                <w:b/>
                <w:bCs/>
                <w:color w:val="FFFFFF"/>
                <w:sz w:val="17"/>
                <w:szCs w:val="17"/>
              </w:rPr>
              <w:t xml:space="preserve">409社</w:t>
            </w:r>
          </w:p>
        </w:tc>
        <w:tc>
          <w:tcPr>
            <w:tcW w:type="dxa" w:w="1900"/>
            <w:tcBorders>
              <w:top w:val="single" w:color="999999" w:sz="4"/>
              <w:left w:val="single" w:color="999999" w:sz="4"/>
              <w:bottom w:val="single" w:color="999999" w:sz="4"/>
              <w:right w:val="single" w:color="999999" w:sz="4"/>
            </w:tcBorders>
            <w:shd w:fill="1F4E78" w:val="clear"/>
            <w:tcMar>
              <w:top w:type="dxa" w:w="70"/>
              <w:left w:type="dxa" w:w="90"/>
              <w:bottom w:type="dxa" w:w="70"/>
              <w:right w:type="dxa" w:w="90"/>
            </w:tcMar>
          </w:tcPr>
          <w:p>
            <w:pPr>
              <w:jc w:val="right"/>
            </w:pPr>
            <w:r>
              <w:rPr>
                <w:rFonts w:ascii="游ゴシック" w:cs="游ゴシック" w:eastAsia="游ゴシック" w:hAnsi="游ゴシック"/>
                <w:b/>
                <w:bCs/>
                <w:color w:val="FFFFFF"/>
                <w:sz w:val="17"/>
                <w:szCs w:val="17"/>
              </w:rPr>
              <w:t xml:space="preserve">約25.5億円</w:t>
            </w:r>
          </w:p>
        </w:tc>
        <w:tc>
          <w:tcPr>
            <w:tcW w:type="dxa" w:w="1900"/>
            <w:tcBorders>
              <w:top w:val="single" w:color="999999" w:sz="4"/>
              <w:left w:val="single" w:color="999999" w:sz="4"/>
              <w:bottom w:val="single" w:color="999999" w:sz="4"/>
              <w:right w:val="single" w:color="999999" w:sz="4"/>
            </w:tcBorders>
            <w:shd w:fill="1F4E78" w:val="clear"/>
            <w:tcMar>
              <w:top w:type="dxa" w:w="70"/>
              <w:left w:type="dxa" w:w="90"/>
              <w:bottom w:type="dxa" w:w="70"/>
              <w:right w:type="dxa" w:w="90"/>
            </w:tcMar>
          </w:tcPr>
          <w:p>
            <w:pPr>
              <w:jc w:val="right"/>
            </w:pPr>
            <w:r>
              <w:rPr>
                <w:rFonts w:ascii="游ゴシック" w:cs="游ゴシック" w:eastAsia="游ゴシック" w:hAnsi="游ゴシック"/>
                <w:b/>
                <w:bCs/>
                <w:color w:val="FFFFFF"/>
                <w:sz w:val="17"/>
                <w:szCs w:val="17"/>
              </w:rPr>
              <w:t xml:space="preserve">約26.8億円</w:t>
            </w:r>
          </w:p>
        </w:tc>
        <w:tc>
          <w:tcPr>
            <w:tcW w:type="dxa" w:w="2420"/>
            <w:tcBorders>
              <w:top w:val="single" w:color="999999" w:sz="4"/>
              <w:left w:val="single" w:color="999999" w:sz="4"/>
              <w:bottom w:val="single" w:color="999999" w:sz="4"/>
              <w:right w:val="single" w:color="999999" w:sz="4"/>
            </w:tcBorders>
            <w:shd w:fill="1F4E78" w:val="clear"/>
            <w:tcMar>
              <w:top w:type="dxa" w:w="70"/>
              <w:left w:type="dxa" w:w="90"/>
              <w:bottom w:type="dxa" w:w="70"/>
              <w:right w:type="dxa" w:w="90"/>
            </w:tcMar>
          </w:tcPr>
          <w:p>
            <w:pPr>
              <w:jc w:val="right"/>
            </w:pPr>
            <w:r>
              <w:rPr>
                <w:rFonts w:ascii="游ゴシック" w:cs="游ゴシック" w:eastAsia="游ゴシック" w:hAnsi="游ゴシック"/>
                <w:b/>
                <w:bCs/>
                <w:color w:val="FFFFFF"/>
                <w:sz w:val="17"/>
                <w:szCs w:val="17"/>
              </w:rPr>
              <w:t xml:space="preserve">+1.2億円 (+4.8%)</w:t>
            </w:r>
          </w:p>
        </w:tc>
      </w:tr>
    </w:tbl>
    <w:p>
      <w:r>
        <w:t xml:space="preserve"/>
      </w:r>
    </w:p>
    <w:p>
      <w:pPr>
        <w:spacing w:after="60" w:before="60" w:line="340"/>
        <w:jc w:val="left"/>
      </w:pPr>
      <w:r>
        <w:rPr>
          <w:rFonts w:ascii="游明朝" w:cs="游明朝" w:eastAsia="游明朝" w:hAnsi="游明朝"/>
          <w:b/>
          <w:bCs/>
          <w:sz w:val="22"/>
          <w:szCs w:val="22"/>
        </w:rPr>
        <w:t xml:space="preserve">県全体としての考察</w:t>
      </w:r>
    </w:p>
    <w:p>
      <w:pPr>
        <w:pStyle w:val="ListParagraph"/>
        <w:numPr>
          <w:ilvl w:val="0"/>
          <w:numId w:val="2"/>
        </w:numPr>
        <w:spacing w:after="40" w:before="40" w:line="320"/>
      </w:pPr>
      <w:r>
        <w:rPr>
          <w:rFonts w:ascii="游明朝" w:cs="游明朝" w:eastAsia="游明朝" w:hAnsi="游明朝"/>
          <w:sz w:val="22"/>
          <w:szCs w:val="22"/>
        </w:rPr>
        <w:t xml:space="preserve">4団体合計の水産加工業水道料金は現行約25.5億円。統一化で約26.8億円に増加するが、全体増加率は+4.8%と穏やか</w:t>
      </w:r>
    </w:p>
    <w:p>
      <w:pPr>
        <w:pStyle w:val="ListParagraph"/>
        <w:numPr>
          <w:ilvl w:val="0"/>
          <w:numId w:val="2"/>
        </w:numPr>
        <w:spacing w:after="40" w:before="40" w:line="320"/>
      </w:pPr>
      <w:r>
        <w:rPr>
          <w:rFonts w:ascii="游明朝" w:cs="游明朝" w:eastAsia="游明朝" w:hAnsi="游明朝"/>
          <w:sz w:val="22"/>
          <w:szCs w:val="22"/>
        </w:rPr>
        <w:t xml:space="preserve">ただし、その増加の大半(+0.82億円)は女川町1団体に集中する</w:t>
      </w:r>
    </w:p>
    <w:p>
      <w:pPr>
        <w:pStyle w:val="ListParagraph"/>
        <w:numPr>
          <w:ilvl w:val="0"/>
          <w:numId w:val="2"/>
        </w:numPr>
        <w:spacing w:after="40" w:before="40" w:line="320"/>
      </w:pPr>
      <w:r>
        <w:rPr>
          <w:rFonts w:ascii="游明朝" w:cs="游明朝" w:eastAsia="游明朝" w:hAnsi="游明朝"/>
          <w:sz w:val="22"/>
          <w:szCs w:val="22"/>
        </w:rPr>
        <w:t xml:space="preserve">言い換えれば、統一化は県全体では緩やかな料金調整でありながら、女川町水産加工業にとっては致命的な負担増となる構造</w:t>
      </w:r>
    </w:p>
    <w:p>
      <w:pPr>
        <w:pStyle w:val="ListParagraph"/>
        <w:numPr>
          <w:ilvl w:val="0"/>
          <w:numId w:val="2"/>
        </w:numPr>
        <w:spacing w:after="40" w:before="40" w:line="320"/>
      </w:pPr>
      <w:r>
        <w:rPr>
          <w:rFonts w:ascii="游明朝" w:cs="游明朝" w:eastAsia="游明朝" w:hAnsi="游明朝"/>
          <w:sz w:val="22"/>
          <w:szCs w:val="22"/>
        </w:rPr>
        <w:t xml:space="preserve">負担増の全体に占める女川町シェアは約64%(+0.82億円/+1.28億円)。一方、水産加工社数シェアは19/409=4.6%</w:t>
      </w:r>
    </w:p>
    <w:p>
      <w:r>
        <w:t xml:space="preserve"/>
      </w:r>
    </w:p>
    <w:p>
      <w:pPr>
        <w:pStyle w:val="Heading1"/>
      </w:pPr>
      <w:r>
        <w:rPr>
          <w:rFonts w:ascii="游ゴシック" w:cs="游ゴシック" w:eastAsia="游ゴシック" w:hAnsi="游ゴシック"/>
        </w:rPr>
        <w:t xml:space="preserve">6. 構造的な発見と政策的含意</w:t>
      </w:r>
    </w:p>
    <w:p>
      <w:pPr>
        <w:pStyle w:val="Heading2"/>
      </w:pPr>
      <w:r>
        <w:rPr>
          <w:rFonts w:ascii="游ゴシック" w:cs="游ゴシック" w:eastAsia="游ゴシック" w:hAnsi="游ゴシック"/>
        </w:rPr>
        <w:t xml:space="preserve">6.1 女川町の特殊性の実証</w:t>
      </w:r>
    </w:p>
    <w:p>
      <w:pPr>
        <w:spacing w:after="60" w:before="60" w:line="340"/>
        <w:jc w:val="left"/>
      </w:pPr>
      <w:r>
        <w:rPr>
          <w:rFonts w:ascii="游明朝" w:cs="游明朝" w:eastAsia="游明朝" w:hAnsi="游明朝"/>
          <w:b w:val="false"/>
          <w:bCs w:val="false"/>
          <w:sz w:val="22"/>
          <w:szCs w:val="22"/>
        </w:rPr>
        <w:t xml:space="preserve">前回試算で仮説として提示した『女川町の逓減制が水産加工業を優遇している』構造が、県内他団体との実比較によって実証された。</w:t>
      </w:r>
    </w:p>
    <w:p>
      <w:pPr>
        <w:pStyle w:val="ListParagraph"/>
        <w:numPr>
          <w:ilvl w:val="0"/>
          <w:numId w:val="2"/>
        </w:numPr>
        <w:spacing w:after="40" w:before="40" w:line="320"/>
      </w:pPr>
      <w:r>
        <w:rPr>
          <w:rFonts w:ascii="游明朝" w:cs="游明朝" w:eastAsia="游明朝" w:hAnsi="游明朝"/>
          <w:sz w:val="22"/>
          <w:szCs w:val="22"/>
        </w:rPr>
        <w:t xml:space="preserve">女川町の現行料金は大口帯で他の3団体の1/3水準。これは条例設計の明確な政策的意図(水産加工業の保護)を示唆</w:t>
      </w:r>
    </w:p>
    <w:p>
      <w:pPr>
        <w:pStyle w:val="ListParagraph"/>
        <w:numPr>
          <w:ilvl w:val="0"/>
          <w:numId w:val="2"/>
        </w:numPr>
        <w:spacing w:after="40" w:before="40" w:line="320"/>
      </w:pPr>
      <w:r>
        <w:rPr>
          <w:rFonts w:ascii="游明朝" w:cs="游明朝" w:eastAsia="游明朝" w:hAnsi="游明朝"/>
          <w:sz w:val="22"/>
          <w:szCs w:val="22"/>
        </w:rPr>
        <w:t xml:space="preserve">他3団体(気仙沼・石巻・塩竈)は逓増型が支配的で、料金水準も同程度のクラスタを形成</w:t>
      </w:r>
    </w:p>
    <w:p>
      <w:pPr>
        <w:pStyle w:val="ListParagraph"/>
        <w:numPr>
          <w:ilvl w:val="0"/>
          <w:numId w:val="2"/>
        </w:numPr>
        <w:spacing w:after="40" w:before="40" w:line="320"/>
      </w:pPr>
      <w:r>
        <w:rPr>
          <w:rFonts w:ascii="游明朝" w:cs="游明朝" w:eastAsia="游明朝" w:hAnsi="游明朝"/>
          <w:sz w:val="22"/>
          <w:szCs w:val="22"/>
        </w:rPr>
        <w:t xml:space="preserve">統一化の実質的な『痛み』は、この特異な優遇体系が終わる女川町事業者に集中する</w:t>
      </w:r>
    </w:p>
    <w:p>
      <w:r>
        <w:t xml:space="preserve"/>
      </w:r>
    </w:p>
    <w:p>
      <w:pPr>
        <w:pStyle w:val="Heading2"/>
      </w:pPr>
      <w:r>
        <w:rPr>
          <w:rFonts w:ascii="游ゴシック" w:cs="游ゴシック" w:eastAsia="游ゴシック" w:hAnsi="游ゴシック"/>
        </w:rPr>
        <w:t xml:space="preserve">6.2 統一化の政策デザイン上の選択肢</w:t>
      </w:r>
    </w:p>
    <w:p>
      <w:pPr>
        <w:pStyle w:val="ListParagraph"/>
        <w:numPr>
          <w:ilvl w:val="0"/>
          <w:numId w:val="2"/>
        </w:numPr>
        <w:spacing w:after="40" w:before="40" w:line="320"/>
      </w:pPr>
      <w:r>
        <w:rPr>
          <w:rFonts w:ascii="游明朝" w:cs="游明朝" w:eastAsia="游明朝" w:hAnsi="游明朝"/>
          <w:sz w:val="22"/>
          <w:szCs w:val="22"/>
        </w:rPr>
        <w:t xml:space="preserve">選択肢A: 産業用特例区分の新設 ― 統一体系内に『水産加工業用区分』を設け、逓減要素や上限単価を組み込む。気仙沼市の『1,001㎥超で逓減』構造の県内標準化も一案</w:t>
      </w:r>
    </w:p>
    <w:p>
      <w:pPr>
        <w:pStyle w:val="ListParagraph"/>
        <w:numPr>
          <w:ilvl w:val="0"/>
          <w:numId w:val="2"/>
        </w:numPr>
        <w:spacing w:after="40" w:before="40" w:line="320"/>
      </w:pPr>
      <w:r>
        <w:rPr>
          <w:rFonts w:ascii="游明朝" w:cs="游明朝" w:eastAsia="游明朝" w:hAnsi="游明朝"/>
          <w:sz w:val="22"/>
          <w:szCs w:val="22"/>
        </w:rPr>
        <w:t xml:space="preserve">選択肢B: 長期経過措置 ― 女川町のみ10年以上の経過期間を設定し、段階的に他団体水準に合わせる</w:t>
      </w:r>
    </w:p>
    <w:p>
      <w:pPr>
        <w:pStyle w:val="ListParagraph"/>
        <w:numPr>
          <w:ilvl w:val="0"/>
          <w:numId w:val="2"/>
        </w:numPr>
        <w:spacing w:after="40" w:before="40" w:line="320"/>
      </w:pPr>
      <w:r>
        <w:rPr>
          <w:rFonts w:ascii="游明朝" w:cs="游明朝" w:eastAsia="游明朝" w:hAnsi="游明朝"/>
          <w:sz w:val="22"/>
          <w:szCs w:val="22"/>
        </w:rPr>
        <w:t xml:space="preserve">選択肢C: 差額補填基金 ― 統一料金差額の一部を、広域化交付金や電源立地交付金から基金化して事業者に還元</w:t>
      </w:r>
    </w:p>
    <w:p>
      <w:pPr>
        <w:pStyle w:val="ListParagraph"/>
        <w:numPr>
          <w:ilvl w:val="0"/>
          <w:numId w:val="2"/>
        </w:numPr>
        <w:spacing w:after="40" w:before="40" w:line="320"/>
      </w:pPr>
      <w:r>
        <w:rPr>
          <w:rFonts w:ascii="游明朝" w:cs="游明朝" w:eastAsia="游明朝" w:hAnsi="游明朝"/>
          <w:sz w:val="22"/>
          <w:szCs w:val="22"/>
        </w:rPr>
        <w:t xml:space="preserve">選択肢D: 部分統一 ― 家庭用のみ統一し、大口産業用は当面各団体体系を維持する段階的アプローチ</w:t>
      </w:r>
    </w:p>
    <w:p>
      <w:r>
        <w:t xml:space="preserve"/>
      </w:r>
    </w:p>
    <w:p>
      <w:pPr>
        <w:pStyle w:val="Heading2"/>
      </w:pPr>
      <w:r>
        <w:rPr>
          <w:rFonts w:ascii="游ゴシック" w:cs="游ゴシック" w:eastAsia="游ゴシック" w:hAnsi="游ゴシック"/>
        </w:rPr>
        <w:t xml:space="preserve">6.3 検討が必要な追加論点</w:t>
      </w:r>
    </w:p>
    <w:p>
      <w:pPr>
        <w:pStyle w:val="ListParagraph"/>
        <w:numPr>
          <w:ilvl w:val="0"/>
          <w:numId w:val="2"/>
        </w:numPr>
        <w:spacing w:after="40" w:before="40" w:line="320"/>
      </w:pPr>
      <w:r>
        <w:rPr>
          <w:rFonts w:ascii="游明朝" w:cs="游明朝" w:eastAsia="游明朝" w:hAnsi="游明朝"/>
          <w:sz w:val="22"/>
          <w:szCs w:val="22"/>
        </w:rPr>
        <w:t xml:space="preserve">南三陸町の詳細料金(条例照会)と水産加工業の規模特定</w:t>
      </w:r>
    </w:p>
    <w:p>
      <w:pPr>
        <w:pStyle w:val="ListParagraph"/>
        <w:numPr>
          <w:ilvl w:val="0"/>
          <w:numId w:val="2"/>
        </w:numPr>
        <w:spacing w:after="40" w:before="40" w:line="320"/>
      </w:pPr>
      <w:r>
        <w:rPr>
          <w:rFonts w:ascii="游明朝" w:cs="游明朝" w:eastAsia="游明朝" w:hAnsi="游明朝"/>
          <w:sz w:val="22"/>
          <w:szCs w:val="22"/>
        </w:rPr>
        <w:t xml:space="preserve">気仙沼市の令和8年2~4月基本料金減免措置の背景(料金高水準に起因する可能性)</w:t>
      </w:r>
    </w:p>
    <w:p>
      <w:pPr>
        <w:pStyle w:val="ListParagraph"/>
        <w:numPr>
          <w:ilvl w:val="0"/>
          <w:numId w:val="2"/>
        </w:numPr>
        <w:spacing w:after="40" w:before="40" w:line="320"/>
      </w:pPr>
      <w:r>
        <w:rPr>
          <w:rFonts w:ascii="游明朝" w:cs="游明朝" w:eastAsia="游明朝" w:hAnsi="游明朝"/>
          <w:sz w:val="22"/>
          <w:szCs w:val="22"/>
        </w:rPr>
        <w:t xml:space="preserve">石巻広域の令和5年改定後の水産加工業への実影響(旧6町統合後の水産加工業者体験)</w:t>
      </w:r>
    </w:p>
    <w:p>
      <w:pPr>
        <w:pStyle w:val="ListParagraph"/>
        <w:numPr>
          <w:ilvl w:val="0"/>
          <w:numId w:val="2"/>
        </w:numPr>
        <w:spacing w:after="40" w:before="40" w:line="320"/>
      </w:pPr>
      <w:r>
        <w:rPr>
          <w:rFonts w:ascii="游明朝" w:cs="游明朝" w:eastAsia="游明朝" w:hAnsi="游明朝"/>
          <w:sz w:val="22"/>
          <w:szCs w:val="22"/>
        </w:rPr>
        <w:t xml:space="preserve">県内各団体の工業用水道代替可能性(女川町は既存工業用水接続なし)</w:t>
      </w:r>
    </w:p>
    <w:p>
      <w:r>
        <w:t xml:space="preserve"/>
      </w:r>
    </w:p>
    <w:p>
      <w:pPr>
        <w:pStyle w:val="Heading1"/>
      </w:pPr>
      <w:r>
        <w:rPr>
          <w:rFonts w:ascii="游ゴシック" w:cs="游ゴシック" w:eastAsia="游ゴシック" w:hAnsi="游ゴシック"/>
        </w:rPr>
        <w:t xml:space="preserve">7. 本試算の限界と留意事項</w:t>
      </w:r>
    </w:p>
    <w:p>
      <w:pPr>
        <w:pStyle w:val="ListParagraph"/>
        <w:numPr>
          <w:ilvl w:val="0"/>
          <w:numId w:val="2"/>
        </w:numPr>
        <w:spacing w:after="40" w:before="40" w:line="320"/>
      </w:pPr>
      <w:r>
        <w:rPr>
          <w:rFonts w:ascii="游明朝" w:cs="游明朝" w:eastAsia="游明朝" w:hAnsi="游明朝"/>
          <w:sz w:val="22"/>
          <w:szCs w:val="22"/>
        </w:rPr>
        <w:t xml:space="preserve">気仙沼市・石巻広域・塩竈市の具体的な口径別基本料金・段階別水量料金の一部は、公表される標準的範囲から推定した(実条例照会が必要)</w:t>
      </w:r>
    </w:p>
    <w:p>
      <w:pPr>
        <w:pStyle w:val="ListParagraph"/>
        <w:numPr>
          <w:ilvl w:val="0"/>
          <w:numId w:val="2"/>
        </w:numPr>
        <w:spacing w:after="40" w:before="40" w:line="320"/>
      </w:pPr>
      <w:r>
        <w:rPr>
          <w:rFonts w:ascii="游明朝" w:cs="游明朝" w:eastAsia="游明朝" w:hAnsi="游明朝"/>
          <w:sz w:val="22"/>
          <w:szCs w:val="22"/>
        </w:rPr>
        <w:t xml:space="preserve">水産加工社数(気仙沼120社、石巻180社、塩竈90社)は一般的情報からの概算で、実際の水道給水事業者数とは異なる可能性</w:t>
      </w:r>
    </w:p>
    <w:p>
      <w:pPr>
        <w:pStyle w:val="ListParagraph"/>
        <w:numPr>
          <w:ilvl w:val="0"/>
          <w:numId w:val="2"/>
        </w:numPr>
        <w:spacing w:after="40" w:before="40" w:line="320"/>
      </w:pPr>
      <w:r>
        <w:rPr>
          <w:rFonts w:ascii="游明朝" w:cs="游明朝" w:eastAsia="游明朝" w:hAnsi="游明朝"/>
          <w:sz w:val="22"/>
          <w:szCs w:val="22"/>
        </w:rPr>
        <w:t xml:space="preserve">水産加工業の規模分布(小5・中8・大5・超大1)は女川町団地モデルを他団体に機械的に当てはめており、実際の分布は団体により異なる</w:t>
      </w:r>
    </w:p>
    <w:p>
      <w:pPr>
        <w:pStyle w:val="ListParagraph"/>
        <w:numPr>
          <w:ilvl w:val="0"/>
          <w:numId w:val="2"/>
        </w:numPr>
        <w:spacing w:after="40" w:before="40" w:line="320"/>
      </w:pPr>
      <w:r>
        <w:rPr>
          <w:rFonts w:ascii="游明朝" w:cs="游明朝" w:eastAsia="游明朝" w:hAnsi="游明朝"/>
          <w:sz w:val="22"/>
          <w:szCs w:val="22"/>
        </w:rPr>
        <w:t xml:space="preserve">南三陸町は料金詳細取得が困難で、本試算に含めていない</w:t>
      </w:r>
    </w:p>
    <w:p>
      <w:pPr>
        <w:pStyle w:val="ListParagraph"/>
        <w:numPr>
          <w:ilvl w:val="0"/>
          <w:numId w:val="2"/>
        </w:numPr>
        <w:spacing w:after="40" w:before="40" w:line="320"/>
      </w:pPr>
      <w:r>
        <w:rPr>
          <w:rFonts w:ascii="游明朝" w:cs="游明朝" w:eastAsia="游明朝" w:hAnsi="游明朝"/>
          <w:sz w:val="22"/>
          <w:szCs w:val="22"/>
        </w:rPr>
        <w:t xml:space="preserve">工業用水道の利用状況・地下水利用率・事業者別の使用水量実測値が加われば、精度は大幅に向上する</w:t>
      </w:r>
    </w:p>
    <w:p>
      <w:r>
        <w:t xml:space="preserve"/>
      </w:r>
    </w:p>
    <w:p>
      <w:pPr>
        <w:pStyle w:val="Heading1"/>
      </w:pPr>
      <w:r>
        <w:rPr>
          <w:rFonts w:ascii="游ゴシック" w:cs="游ゴシック" w:eastAsia="游ゴシック" w:hAnsi="游ゴシック"/>
        </w:rPr>
        <w:t xml:space="preserve">出典・参考資料</w:t>
      </w:r>
    </w:p>
    <w:p>
      <w:pPr>
        <w:pStyle w:val="ListParagraph"/>
        <w:numPr>
          <w:ilvl w:val="0"/>
          <w:numId w:val="2"/>
        </w:numPr>
        <w:spacing w:after="40" w:before="40" w:line="320"/>
      </w:pPr>
      <w:r>
        <w:rPr>
          <w:rFonts w:ascii="游明朝" w:cs="游明朝" w:eastAsia="游明朝" w:hAnsi="游明朝"/>
          <w:sz w:val="22"/>
          <w:szCs w:val="22"/>
        </w:rPr>
        <w:t xml:space="preserve">女川町公式ウェブサイト「上下水道料金及び支払方法」(令和6年4月~適用)</w:t>
      </w:r>
    </w:p>
    <w:p>
      <w:pPr>
        <w:pStyle w:val="ListParagraph"/>
        <w:numPr>
          <w:ilvl w:val="0"/>
          <w:numId w:val="2"/>
        </w:numPr>
        <w:spacing w:after="40" w:before="40" w:line="320"/>
      </w:pPr>
      <w:r>
        <w:rPr>
          <w:rFonts w:ascii="游明朝" w:cs="游明朝" w:eastAsia="游明朝" w:hAnsi="游明朝"/>
          <w:sz w:val="22"/>
          <w:szCs w:val="22"/>
        </w:rPr>
        <w:t xml:space="preserve">気仙沼市公式ウェブサイト「気仙沼市の水道料金」(令和5年4月時点)、「水道料金のお支払いについて」</w:t>
      </w:r>
    </w:p>
    <w:p>
      <w:pPr>
        <w:pStyle w:val="ListParagraph"/>
        <w:numPr>
          <w:ilvl w:val="0"/>
          <w:numId w:val="2"/>
        </w:numPr>
        <w:spacing w:after="40" w:before="40" w:line="320"/>
      </w:pPr>
      <w:r>
        <w:rPr>
          <w:rFonts w:ascii="游明朝" w:cs="游明朝" w:eastAsia="游明朝" w:hAnsi="游明朝"/>
          <w:sz w:val="22"/>
          <w:szCs w:val="22"/>
        </w:rPr>
        <w:t xml:space="preserve">気仙沼市議会議員 今川悟ブログ「復興10年で水道料金を23%値上げする理由」(R3年3月、令和3年10月改定の背景)</w:t>
      </w:r>
    </w:p>
    <w:p>
      <w:pPr>
        <w:pStyle w:val="ListParagraph"/>
        <w:numPr>
          <w:ilvl w:val="0"/>
          <w:numId w:val="2"/>
        </w:numPr>
        <w:spacing w:after="40" w:before="40" w:line="320"/>
      </w:pPr>
      <w:r>
        <w:rPr>
          <w:rFonts w:ascii="游明朝" w:cs="游明朝" w:eastAsia="游明朝" w:hAnsi="游明朝"/>
          <w:sz w:val="22"/>
          <w:szCs w:val="22"/>
        </w:rPr>
        <w:t xml:space="preserve">石巻地方広域水道企業団「水道料金の改定について」(令和5年4月改定・基本料金+20%、水量料金+16~22%)</w:t>
      </w:r>
    </w:p>
    <w:p>
      <w:pPr>
        <w:pStyle w:val="ListParagraph"/>
        <w:numPr>
          <w:ilvl w:val="0"/>
          <w:numId w:val="2"/>
        </w:numPr>
        <w:spacing w:after="40" w:before="40" w:line="320"/>
      </w:pPr>
      <w:r>
        <w:rPr>
          <w:rFonts w:ascii="游明朝" w:cs="游明朝" w:eastAsia="游明朝" w:hAnsi="游明朝"/>
          <w:sz w:val="22"/>
          <w:szCs w:val="22"/>
        </w:rPr>
        <w:t xml:space="preserve">石巻地方広域水道企業団給水条例(別表第1)</w:t>
      </w:r>
    </w:p>
    <w:p>
      <w:pPr>
        <w:pStyle w:val="ListParagraph"/>
        <w:numPr>
          <w:ilvl w:val="0"/>
          <w:numId w:val="2"/>
        </w:numPr>
        <w:spacing w:after="40" w:before="40" w:line="320"/>
      </w:pPr>
      <w:r>
        <w:rPr>
          <w:rFonts w:ascii="游明朝" w:cs="游明朝" w:eastAsia="游明朝" w:hAnsi="游明朝"/>
          <w:sz w:val="22"/>
          <w:szCs w:val="22"/>
        </w:rPr>
        <w:t xml:space="preserve">塩竈市ホームページ「水道料金・支払い」(塩釜地区上下水道料金早見表)</w:t>
      </w:r>
    </w:p>
    <w:p>
      <w:pPr>
        <w:pStyle w:val="ListParagraph"/>
        <w:numPr>
          <w:ilvl w:val="0"/>
          <w:numId w:val="2"/>
        </w:numPr>
        <w:spacing w:after="40" w:before="40" w:line="320"/>
      </w:pPr>
      <w:r>
        <w:rPr>
          <w:rFonts w:ascii="游明朝" w:cs="游明朝" w:eastAsia="游明朝" w:hAnsi="游明朝"/>
          <w:sz w:val="22"/>
          <w:szCs w:val="22"/>
        </w:rPr>
        <w:t xml:space="preserve">南三陸町「上水道料金表」(令和元年10月使用分から適用)</w:t>
      </w:r>
    </w:p>
    <w:p>
      <w:r>
        <w:t xml:space="preserve"/>
      </w:r>
    </w:p>
    <w:p>
      <w:pPr>
        <w:spacing w:after="60" w:before="60" w:line="340"/>
        <w:jc w:val="left"/>
      </w:pPr>
      <w:r>
        <w:rPr>
          <w:rFonts w:ascii="游明朝" w:cs="游明朝" w:eastAsia="游明朝" w:hAnsi="游明朝"/>
          <w:b w:val="false"/>
          <w:bCs w:val="false"/>
          <w:sz w:val="22"/>
          <w:szCs w:val="22"/>
        </w:rPr>
        <w:t xml:space="preserve">※ 本試算は県内水道料金体系統一化の初期議論を目的とする参考資料です。具体的な政策決定には、各団体の条例・規則の詳細確認、事業者別実使用量データ、各団体の財政指標を踏まえた精緻な試算が必要です。</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sz w:val="20"/>
        <w:szCs w:val="20"/>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888888"/>
        <w:sz w:val="18"/>
        <w:szCs w:val="18"/>
      </w:rPr>
      <w:t xml:space="preserve">県内臨海水産加工団体 比較影響試算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游明朝" w:cs="游明朝" w:eastAsia="游明朝" w:hAnsi="游明朝"/>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12" w:space="4"/>
      </w:pBdr>
      <w:spacing w:after="180" w:before="360"/>
      <w:outlineLvl w:val="0"/>
    </w:pPr>
    <w:rPr>
      <w:rFonts w:ascii="游ゴシック" w:cs="游ゴシック" w:eastAsia="游ゴシック" w:hAnsi="游ゴシック"/>
      <w:b/>
      <w:bCs/>
      <w:color w:val="1F4E78"/>
      <w:sz w:val="28"/>
      <w:szCs w:val="28"/>
    </w:rPr>
  </w:style>
  <w:style w:type="paragraph" w:styleId="Heading2">
    <w:name w:val="Heading 2"/>
    <w:basedOn w:val="Normal"/>
    <w:next w:val="Normal"/>
    <w:qFormat/>
    <w:pPr>
      <w:spacing w:after="120" w:before="240"/>
      <w:outlineLvl w:val="1"/>
    </w:pPr>
    <w:rPr>
      <w:rFonts w:ascii="游ゴシック" w:cs="游ゴシック" w:eastAsia="游ゴシック" w:hAnsi="游ゴシック"/>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29357139bb1e3dae5a330d0f737399277ceb7d.png"/><Relationship Id="rId10" Type="http://schemas.openxmlformats.org/officeDocument/2006/relationships/image" Target="media/efce7649713b2bc5119358ba8e286758bc97010d.png"/><Relationship Id="rId11" Type="http://schemas.openxmlformats.org/officeDocument/2006/relationships/image" Target="media/15836ef5eebe4b60e8e2f9080cfa8943420a833a.png"/><Relationship Id="rId12" Type="http://schemas.openxmlformats.org/officeDocument/2006/relationships/image" Target="media/607a4922d1ba8f254a80e0393ddfbfa247d5a7a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県内臨海水産加工団体の料金体系比較と影響試算</dc:title>
  <dc:subject>令和8年度上下水道経営指標評価書作成等業務委託</dc:subject>
  <dc:creator>若山諒太</dc:creator>
  <cp:lastModifiedBy>若山諒太</cp:lastModifiedBy>
  <cp:revision>1</cp:revision>
  <dcterms:created xsi:type="dcterms:W3CDTF">2026-09-28T08:19:30Z</dcterms:created>
  <dcterms:modified xsi:type="dcterms:W3CDTF">2026-09-28T08:19:30Z</dcterms:modified>
  <cp:category>ビズアップ公共コンサルティング株式会社</cp:category>
</cp:coreProperties>
</file>

<file path=docProps/custom.xml><?xml version="1.0" encoding="utf-8"?>
<Properties xmlns="http://schemas.openxmlformats.org/officeDocument/2006/custom-properties" xmlns:vt="http://schemas.openxmlformats.org/officeDocument/2006/docPropsVTypes"/>
</file>