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ツールから要介護度間の比（形）だけを採り、水準は総括表に合わせて比例調整した。採用値は単価固定（06シート）のままとし、</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要介護度別の単価を用いると令和11年度＋0.047％（月額＋2円）、令和22年度＋0.280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令和7年度の実績で固定した</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回数のみでは月額への効きは小さい</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一律の伸びとの差は月額+8円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158件（No.87は「給付費データ集計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