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129件（条件付き56件・送付43件・内部保管25件・対象外5件）と計画素案（928段落143表36図）です。ビルドスクリプトは127本あり、うち38本が自らの計算を検算する自己点検を備えています（計622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自己点検を備えたスクリプト（38本・計622件）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33件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build_mieru_input_all.py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build_mikomiryo_santei.py</w:t>
            </w:r>
          </w:p>
        </w:tc>
        <w:tc>
          <w:tcPr>
            <w:tcW w:type="dxa" w:w="907"/>
            <w:vAlign w:val="center"/>
          </w:tcPr>
          <w:p>
            <w:pPr>
              <w:spacing w:after="0"/>
              <w:jc w:val="center"/>
            </w:pPr>
            <w:r>
              <w:rPr>
                <w:rFonts w:ascii="游ゴシック" w:hAnsi="游ゴシック" w:eastAsia="游ゴシック"/>
                <w:b w:val="0"/>
                <w:sz w:val="16"/>
              </w:rPr>
              <w:t>22件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build_receipt_mieru_suikei.py</w:t>
            </w:r>
          </w:p>
        </w:tc>
        <w:tc>
          <w:tcPr>
            <w:tcW w:type="dxa" w:w="907"/>
            <w:shd w:val="clear" w:color="auto" w:fill="F2F5FA"/>
            <w:vAlign w:val="center"/>
          </w:tcPr>
          <w:p>
            <w:pPr>
              <w:spacing w:after="0"/>
              <w:jc w:val="center"/>
            </w:pPr>
            <w:r>
              <w:rPr>
                <w:rFonts w:ascii="游ゴシック" w:hAnsi="游ゴシック" w:eastAsia="游ゴシック"/>
                <w:b w:val="0"/>
                <w:sz w:val="16"/>
              </w:rPr>
              <w:t>20件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build_plan_public.py</w:t>
            </w:r>
          </w:p>
        </w:tc>
        <w:tc>
          <w:tcPr>
            <w:tcW w:type="dxa" w:w="907"/>
            <w:vAlign w:val="center"/>
          </w:tcPr>
          <w:p>
            <w:pPr>
              <w:spacing w:after="0"/>
              <w:jc w:val="center"/>
            </w:pPr>
            <w:r>
              <w:rPr>
                <w:rFonts w:ascii="游ゴシック" w:hAnsi="游ゴシック" w:eastAsia="游ゴシック"/>
                <w:b w:val="0"/>
                <w:sz w:val="16"/>
              </w:rPr>
              <w:t>19件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build_chiiki_kadai_10.py</w:t>
            </w:r>
          </w:p>
        </w:tc>
        <w:tc>
          <w:tcPr>
            <w:tcW w:type="dxa" w:w="907"/>
            <w:shd w:val="clear" w:color="auto" w:fill="F2F5FA"/>
            <w:vAlign w:val="center"/>
          </w:tcPr>
          <w:p>
            <w:pPr>
              <w:spacing w:after="0"/>
              <w:jc w:val="center"/>
            </w:pPr>
            <w:r>
              <w:rPr>
                <w:rFonts w:ascii="游ゴシック" w:hAnsi="游ゴシック" w:eastAsia="游ゴシック"/>
                <w:b w:val="0"/>
                <w:sz w:val="16"/>
              </w:rPr>
              <w:t>18件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build_receipt_riyojokyo.py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build_chiiki_bunseki_comment.py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build_kofukin_shihyo.py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928段落143表36図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発注者・委員会・住民の目に触れるもの。未確定箇所が149箇所（要協議114・要確認34・要内訳1）残っている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現在149箇所（要協議114・要確認34・要内訳1）です。うち第6章第4節（施設の見込み）に58箇所（43％）が集中しており、日常生活圏域と必要利用定員総数（確認事項No.88）が決まれば解消します。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自己点検を備えた38本を順に実行し、終了コードが0であることを確かめます。1件でも合わなければ終了コード1で終わり、不適合の内容が表示されます。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再実行できない3本（第2節3）は除いています。自己点検を持たないスクリプトも実行されますが、書き出しに失敗すればやはり0以外で終わります。自己点検を備えた38本は第3節1の表のとおりです。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