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A41A52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地域移行者数：令和７年度末施設入所者数の６％以上</w:t>
            </w:r>
          </w:p>
          <w:p w14:paraId="336A709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施設入所者数：令和７年度末の５％以上削減</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1C45BC5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精神病床から退院後１年以内の地域における平均生活日数：319.3日以上</w:t>
            </w:r>
          </w:p>
          <w:p w14:paraId="3A57A88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精神病床への30日以上の再入院率：退院後90日時点10.3％以下、180日時点17.4％以下、365日時点25.7％以下【新規】</w:t>
            </w:r>
          </w:p>
          <w:p w14:paraId="4FE9291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心のサポーター数：全国で令和15年度末までに100万人以上【新規】</w:t>
            </w:r>
          </w:p>
          <w:p w14:paraId="3EDA66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Ｋ６等を活用した住民のこころの状態の把握【新規】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48BD0C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一般就労移行者数：令和６年度実績の1.31倍以上</w:t>
            </w:r>
          </w:p>
          <w:p w14:paraId="62D6014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就労移行支援事業利用終了者に占める一般就労移行者の割合が５割以上の事業所：就労移行支援事業所の５割以上</w:t>
            </w:r>
          </w:p>
          <w:p w14:paraId="46FB81C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就労定着支援事業の利用者数：令和６年度末実績の1.47倍以上</w:t>
            </w:r>
          </w:p>
          <w:p w14:paraId="39AE23E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就労定着率７割以上の就労定着支援事業所：全体の２割５分以上</w:t>
            </w:r>
          </w:p>
          <w:p w14:paraId="68A43D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就労選択支援：協議会設置圏域ごとに事業所を設置し、令和11年度の利用者数を全国で82,000人以上【新規】</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61C8A4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児童発達支援センター等における「４つの中核機能」の確保：各市町村又は圏域</w:t>
            </w:r>
          </w:p>
          <w:p w14:paraId="2FF1B4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lastRenderedPageBreak/>
              <w:t xml:space="preserve">　（ⅰ）幅広い高度な専門性に基づく発達支援・家族支援機能</w:t>
            </w:r>
          </w:p>
          <w:p w14:paraId="66B0770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（ⅱ）地域の障害児通所支援事業所へのスーパーバイズ・コンサルテーション機能</w:t>
            </w:r>
          </w:p>
          <w:p w14:paraId="1AD4223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（ⅲ）地域のインクルージョン推進の中核としての機能</w:t>
            </w:r>
          </w:p>
          <w:p w14:paraId="573242F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（ⅳ）地域の障がい児の発達支援の入口としての相談機能</w:t>
            </w:r>
          </w:p>
          <w:p w14:paraId="3E3F0E0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インクルージョン推進のための協議の場の設置：各都道府県・各市町村又は圏域【新規】</w:t>
            </w:r>
          </w:p>
          <w:p w14:paraId="1409699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医療的ケア児等コーディネーターの配置：各都道府県・各市町村又は圏域</w:t>
            </w:r>
          </w:p>
          <w:p w14:paraId="4824EA9F"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障がい児等への伴走的な相談支援体制の構築（のぞまないセルフプランの解消）【新規】</w:t>
            </w:r>
          </w:p>
          <w:p w14:paraId="4B49C00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強度行動障害の状態にある児に関する支援ニーズの把握及び支援体制の整備【新規】</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789B50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各市町村において地域生活支援拠点等を整備し、コーディネーターの配置等による支援体制及び緊急時の連絡体制を構築、年１回以上運用状況を検証・検討する</w:t>
            </w:r>
          </w:p>
          <w:p w14:paraId="797652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強度行動障害を有する者について、各市町村又は圏域において支援ニーズを把握し、支援体制の整備を進める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E9A7C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各市町村における基幹相談支援センターの設置等の推進</w:t>
            </w:r>
          </w:p>
          <w:p w14:paraId="77AD63C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相談支援体制の地域診断を行った上で体制強化を図ることにより、令和11年度末までに「のぞまないセルフプラン」の件数をゼロとする【新規】</w:t>
            </w:r>
          </w:p>
          <w:p w14:paraId="51DA3B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協議会における個別事例の検討を通じた地域サービス基盤の開発・改善、協議会への障がい当事者の参画</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6CE0D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都道府県及び市町村におけるサービスの質向上のための体制構築</w:t>
            </w:r>
          </w:p>
          <w:p w14:paraId="09EF220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障害福祉サービス等情報公表制度における管内事業所の公表率及び更新率（毎年度１回）を100％とする【新規】</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全国一律の算定式を定めるものではなく、市町村が地域の実情に即して必要な量を設定する構造となっています。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