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受託者が現時点までに終えている業務は、次の5件です。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・将来推計の第3段階（給付費・保険料）の暫定算定。第9期の算定を再現すると公表値6,428円と一致する</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暫定の算定は令和8年8月31日に実施済み（基本ケース月額6,740円）。確定には、決定1（人口推計の基礎）及び決定2（認定率のシナリオ）のご決定、令和7年度末の基金残高、国の政令改正の告示を要する</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令和8年度の成果指標群の得点は全国平均の115.3％、体制・取組指標群と活動指標群は全国の54.8〜74.6％です。全国平均が3年で32.5点上がる一方、3町平均は2.0点にとどまり、対全国比は78.6％から73.4％へ低下しています。体制・取組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R6実績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R6対計画比</w:t>
            </w:r>
          </w:p>
        </w:tc>
        <w:tc>
          <w:tcPr>
            <w:tcW w:type="dxa" w:w="1247"/>
            <w:vAlign w:val="center"/>
            <w:shd w:val="clear" w:color="auto" w:fill="1F3864"/>
          </w:tcPr>
          <w:p>
            <w:pPr>
              <w:spacing w:after="0"/>
              <w:jc w:val="center"/>
            </w:pPr>
            <w:r>
              <w:rPr>
                <w:rFonts w:ascii="游ゴシック" w:hAnsi="游ゴシック" w:eastAsia="游ゴシック"/>
                <w:b/>
                <w:color w:val="FFFFFF"/>
                <w:sz w:val="19"/>
              </w:rPr>
              <w:t>R7実績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R7対計画比</w:t>
            </w:r>
          </w:p>
        </w:tc>
        <w:tc>
          <w:tcPr>
            <w:tcW w:type="dxa" w:w="907"/>
            <w:vAlign w:val="center"/>
            <w:shd w:val="clear" w:color="auto" w:fill="1F3864"/>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要介護認定者数</w:t>
            </w:r>
          </w:p>
        </w:tc>
        <w:tc>
          <w:tcPr>
            <w:tcW w:type="dxa" w:w="1247"/>
            <w:vAlign w:val="center"/>
            <w:shd w:val="clear" w:color="auto" w:fill="F2F5FA"/>
          </w:tcPr>
          <w:p>
            <w:pPr>
              <w:spacing w:after="0"/>
            </w:pPr>
            <w:r>
              <w:rPr>
                <w:rFonts w:ascii="游ゴシック" w:hAnsi="游ゴシック" w:eastAsia="游ゴシック"/>
                <w:b w:val="0"/>
                <w:sz w:val="19"/>
              </w:rPr>
              <w:t>1,942人</w:t>
            </w:r>
          </w:p>
        </w:tc>
        <w:tc>
          <w:tcPr>
            <w:tcW w:type="dxa" w:w="1077"/>
            <w:vAlign w:val="center"/>
            <w:shd w:val="clear" w:color="auto" w:fill="F2F5FA"/>
          </w:tcPr>
          <w:p>
            <w:pPr>
              <w:spacing w:after="0"/>
              <w:jc w:val="center"/>
            </w:pPr>
            <w:r>
              <w:rPr>
                <w:rFonts w:ascii="游ゴシック" w:hAnsi="游ゴシック" w:eastAsia="游ゴシック"/>
                <w:b w:val="0"/>
                <w:sz w:val="19"/>
              </w:rPr>
              <w:t>97.7％</w:t>
            </w:r>
          </w:p>
        </w:tc>
        <w:tc>
          <w:tcPr>
            <w:tcW w:type="dxa" w:w="1247"/>
            <w:vAlign w:val="center"/>
            <w:shd w:val="clear" w:color="auto" w:fill="F2F5FA"/>
          </w:tcPr>
          <w:p>
            <w:pPr>
              <w:spacing w:after="0"/>
              <w:jc w:val="center"/>
            </w:pPr>
            <w:r>
              <w:rPr>
                <w:rFonts w:ascii="游ゴシック" w:hAnsi="游ゴシック" w:eastAsia="游ゴシック"/>
                <w:b w:val="0"/>
                <w:sz w:val="19"/>
              </w:rPr>
              <w:t>1,943人</w:t>
            </w:r>
          </w:p>
        </w:tc>
        <w:tc>
          <w:tcPr>
            <w:tcW w:type="dxa" w:w="1077"/>
            <w:vAlign w:val="center"/>
            <w:shd w:val="clear" w:color="auto" w:fill="F2F5FA"/>
          </w:tcPr>
          <w:p>
            <w:pPr>
              <w:spacing w:after="0"/>
              <w:jc w:val="center"/>
            </w:pPr>
            <w:r>
              <w:rPr>
                <w:rFonts w:ascii="游ゴシック" w:hAnsi="游ゴシック" w:eastAsia="游ゴシック"/>
                <w:b w:val="0"/>
                <w:sz w:val="19"/>
              </w:rPr>
              <w:t>96.0％</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総給付費</w:t>
            </w:r>
          </w:p>
        </w:tc>
        <w:tc>
          <w:tcPr>
            <w:tcW w:type="dxa" w:w="1247"/>
            <w:vAlign w:val="center"/>
            <w:shd w:val="clear" w:color="auto" w:fill="F2F5FA"/>
          </w:tcPr>
          <w:p>
            <w:pPr>
              <w:spacing w:after="0"/>
            </w:pPr>
            <w:r>
              <w:rPr>
                <w:rFonts w:ascii="游ゴシック" w:hAnsi="游ゴシック" w:eastAsia="游ゴシック"/>
                <w:b w:val="0"/>
                <w:sz w:val="19"/>
              </w:rPr>
              <w:t>2,817百万円</w:t>
            </w:r>
          </w:p>
        </w:tc>
        <w:tc>
          <w:tcPr>
            <w:tcW w:type="dxa" w:w="1077"/>
            <w:vAlign w:val="center"/>
            <w:shd w:val="clear" w:color="auto" w:fill="F2F5FA"/>
          </w:tcPr>
          <w:p>
            <w:pPr>
              <w:spacing w:after="0"/>
              <w:jc w:val="center"/>
            </w:pPr>
            <w:r>
              <w:rPr>
                <w:rFonts w:ascii="游ゴシック" w:hAnsi="游ゴシック" w:eastAsia="游ゴシック"/>
                <w:b w:val="0"/>
                <w:sz w:val="19"/>
              </w:rPr>
              <w:t>96.3％</w:t>
            </w:r>
          </w:p>
        </w:tc>
        <w:tc>
          <w:tcPr>
            <w:tcW w:type="dxa" w:w="1247"/>
            <w:vAlign w:val="center"/>
            <w:shd w:val="clear" w:color="auto" w:fill="F2F5FA"/>
          </w:tcPr>
          <w:p>
            <w:pPr>
              <w:spacing w:after="0"/>
              <w:jc w:val="center"/>
            </w:pPr>
            <w:r>
              <w:rPr>
                <w:rFonts w:ascii="游ゴシック" w:hAnsi="游ゴシック" w:eastAsia="游ゴシック"/>
                <w:b w:val="0"/>
                <w:sz w:val="19"/>
              </w:rPr>
              <w:t>2,915百万円</w:t>
            </w:r>
          </w:p>
        </w:tc>
        <w:tc>
          <w:tcPr>
            <w:tcW w:type="dxa" w:w="1077"/>
            <w:vAlign w:val="center"/>
            <w:shd w:val="clear" w:color="auto" w:fill="F2F5FA"/>
          </w:tcPr>
          <w:p>
            <w:pPr>
              <w:spacing w:after="0"/>
              <w:jc w:val="center"/>
            </w:pPr>
            <w:r>
              <w:rPr>
                <w:rFonts w:ascii="游ゴシック" w:hAnsi="游ゴシック" w:eastAsia="游ゴシック"/>
                <w:b w:val="0"/>
                <w:sz w:val="19"/>
              </w:rPr>
              <w:t>97.8％</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vAlign w:val="center"/>
            <w:shd w:val="clear" w:color="auto" w:fill="F2F5FA"/>
          </w:tcPr>
          <w:p>
            <w:pPr>
              <w:spacing w:after="0"/>
            </w:pPr>
            <w:r>
              <w:rPr>
                <w:rFonts w:ascii="游ゴシック" w:hAnsi="游ゴシック" w:eastAsia="游ゴシック"/>
                <w:b/>
                <w:sz w:val="19"/>
              </w:rPr>
              <w:t xml:space="preserve">　居住系サービス</w:t>
            </w:r>
          </w:p>
        </w:tc>
        <w:tc>
          <w:tcPr>
            <w:tcW w:type="dxa" w:w="1247"/>
            <w:vAlign w:val="center"/>
            <w:shd w:val="clear" w:color="auto" w:fill="F2F5FA"/>
          </w:tcPr>
          <w:p>
            <w:pPr>
              <w:spacing w:after="0"/>
            </w:pPr>
            <w:r>
              <w:rPr>
                <w:rFonts w:ascii="游ゴシック" w:hAnsi="游ゴシック" w:eastAsia="游ゴシック"/>
                <w:b w:val="0"/>
                <w:sz w:val="19"/>
              </w:rPr>
              <w:t>368百万円</w:t>
            </w:r>
          </w:p>
        </w:tc>
        <w:tc>
          <w:tcPr>
            <w:tcW w:type="dxa" w:w="1077"/>
            <w:vAlign w:val="center"/>
            <w:shd w:val="clear" w:color="auto" w:fill="F2F5FA"/>
          </w:tcPr>
          <w:p>
            <w:pPr>
              <w:spacing w:after="0"/>
              <w:jc w:val="center"/>
            </w:pPr>
            <w:r>
              <w:rPr>
                <w:rFonts w:ascii="游ゴシック" w:hAnsi="游ゴシック" w:eastAsia="游ゴシック"/>
                <w:b w:val="0"/>
                <w:sz w:val="19"/>
              </w:rPr>
              <w:t>83.8％</w:t>
            </w:r>
          </w:p>
        </w:tc>
        <w:tc>
          <w:tcPr>
            <w:tcW w:type="dxa" w:w="1247"/>
            <w:vAlign w:val="center"/>
            <w:shd w:val="clear" w:color="auto" w:fill="F2F5FA"/>
          </w:tcPr>
          <w:p>
            <w:pPr>
              <w:spacing w:after="0"/>
              <w:jc w:val="center"/>
            </w:pPr>
            <w:r>
              <w:rPr>
                <w:rFonts w:ascii="游ゴシック" w:hAnsi="游ゴシック" w:eastAsia="游ゴシック"/>
                <w:b w:val="0"/>
                <w:sz w:val="19"/>
              </w:rPr>
              <w:t>393百万円</w:t>
            </w:r>
          </w:p>
        </w:tc>
        <w:tc>
          <w:tcPr>
            <w:tcW w:type="dxa" w:w="1077"/>
            <w:vAlign w:val="center"/>
            <w:shd w:val="clear" w:color="auto" w:fill="F2F5FA"/>
          </w:tcPr>
          <w:p>
            <w:pPr>
              <w:spacing w:after="0"/>
              <w:jc w:val="center"/>
            </w:pPr>
            <w:r>
              <w:rPr>
                <w:rFonts w:ascii="游ゴシック" w:hAnsi="游ゴシック" w:eastAsia="游ゴシック"/>
                <w:b w:val="0"/>
                <w:sz w:val="19"/>
              </w:rPr>
              <w:t>88.3％</w:t>
            </w:r>
          </w:p>
        </w:tc>
        <w:tc>
          <w:tcPr>
            <w:tcW w:type="dxa" w:w="907"/>
            <w:vAlign w:val="center"/>
            <w:shd w:val="clear" w:color="auto" w:fill="F2F5FA"/>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第1号1人当たり給付費</w:t>
            </w:r>
          </w:p>
        </w:tc>
        <w:tc>
          <w:tcPr>
            <w:tcW w:type="dxa" w:w="1247"/>
            <w:vAlign w:val="center"/>
            <w:shd w:val="clear" w:color="auto" w:fill="F2F5FA"/>
          </w:tcPr>
          <w:p>
            <w:pPr>
              <w:spacing w:after="0"/>
            </w:pPr>
            <w:r>
              <w:rPr>
                <w:rFonts w:ascii="游ゴシック" w:hAnsi="游ゴシック" w:eastAsia="游ゴシック"/>
                <w:b w:val="0"/>
                <w:sz w:val="19"/>
              </w:rPr>
              <w:t>308,126円</w:t>
            </w:r>
          </w:p>
        </w:tc>
        <w:tc>
          <w:tcPr>
            <w:tcW w:type="dxa" w:w="1077"/>
            <w:vAlign w:val="center"/>
            <w:shd w:val="clear" w:color="auto" w:fill="F2F5FA"/>
          </w:tcPr>
          <w:p>
            <w:pPr>
              <w:spacing w:after="0"/>
              <w:jc w:val="center"/>
            </w:pPr>
            <w:r>
              <w:rPr>
                <w:rFonts w:ascii="游ゴシック" w:hAnsi="游ゴシック" w:eastAsia="游ゴシック"/>
                <w:b w:val="0"/>
                <w:sz w:val="19"/>
              </w:rPr>
              <w:t>97.0％</w:t>
            </w:r>
          </w:p>
        </w:tc>
        <w:tc>
          <w:tcPr>
            <w:tcW w:type="dxa" w:w="1247"/>
            <w:vAlign w:val="center"/>
            <w:shd w:val="clear" w:color="auto" w:fill="F2F5FA"/>
          </w:tcPr>
          <w:p>
            <w:pPr>
              <w:spacing w:after="0"/>
              <w:jc w:val="center"/>
            </w:pPr>
            <w:r>
              <w:rPr>
                <w:rFonts w:ascii="游ゴシック" w:hAnsi="游ゴシック" w:eastAsia="游ゴシック"/>
                <w:b w:val="0"/>
                <w:sz w:val="19"/>
              </w:rPr>
              <w:t>319,696円</w:t>
            </w:r>
          </w:p>
        </w:tc>
        <w:tc>
          <w:tcPr>
            <w:tcW w:type="dxa" w:w="1077"/>
            <w:vAlign w:val="center"/>
            <w:shd w:val="clear" w:color="auto" w:fill="F2F5FA"/>
          </w:tcPr>
          <w:p>
            <w:pPr>
              <w:spacing w:after="0"/>
              <w:jc w:val="center"/>
            </w:pPr>
            <w:r>
              <w:rPr>
                <w:rFonts w:ascii="游ゴシック" w:hAnsi="游ゴシック" w:eastAsia="游ゴシック"/>
                <w:b w:val="0"/>
                <w:sz w:val="19"/>
              </w:rPr>
              <w:t>99.3％</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850"/>
            <w:vAlign w:val="center"/>
            <w:shd w:val="clear" w:color="auto" w:fill="1F3864"/>
          </w:tcPr>
          <w:p>
            <w:pPr>
              <w:spacing w:after="0"/>
              <w:jc w:val="center"/>
            </w:pPr>
            <w:r>
              <w:rPr>
                <w:rFonts w:ascii="游ゴシック" w:hAnsi="游ゴシック" w:eastAsia="游ゴシック"/>
                <w:b/>
                <w:color w:val="FFFFFF"/>
                <w:sz w:val="19"/>
              </w:rPr>
              <w:t>R6</w:t>
            </w:r>
          </w:p>
        </w:tc>
        <w:tc>
          <w:tcPr>
            <w:tcW w:type="dxa" w:w="850"/>
            <w:vAlign w:val="center"/>
            <w:shd w:val="clear" w:color="auto" w:fill="1F3864"/>
          </w:tcPr>
          <w:p>
            <w:pPr>
              <w:spacing w:after="0"/>
              <w:jc w:val="center"/>
            </w:pPr>
            <w:r>
              <w:rPr>
                <w:rFonts w:ascii="游ゴシック" w:hAnsi="游ゴシック" w:eastAsia="游ゴシック"/>
                <w:b/>
                <w:color w:val="FFFFFF"/>
                <w:sz w:val="19"/>
              </w:rPr>
              <w:t>R7</w:t>
            </w:r>
          </w:p>
        </w:tc>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532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地域密着型通所介護</w:t>
            </w:r>
          </w:p>
        </w:tc>
        <w:tc>
          <w:tcPr>
            <w:tcW w:type="dxa" w:w="850"/>
            <w:vAlign w:val="center"/>
            <w:shd w:val="clear" w:color="auto" w:fill="F2F5FA"/>
          </w:tcPr>
          <w:p>
            <w:pPr>
              <w:spacing w:after="0"/>
            </w:pPr>
            <w:r>
              <w:rPr>
                <w:rFonts w:ascii="游ゴシック" w:hAnsi="游ゴシック" w:eastAsia="游ゴシック"/>
                <w:b w:val="0"/>
                <w:sz w:val="19"/>
              </w:rPr>
              <w:t>66.5％</w:t>
            </w:r>
          </w:p>
        </w:tc>
        <w:tc>
          <w:tcPr>
            <w:tcW w:type="dxa" w:w="850"/>
            <w:vAlign w:val="center"/>
            <w:shd w:val="clear" w:color="auto" w:fill="F2F5FA"/>
          </w:tcPr>
          <w:p>
            <w:pPr>
              <w:spacing w:after="0"/>
              <w:jc w:val="center"/>
            </w:pPr>
            <w:r>
              <w:rPr>
                <w:rFonts w:ascii="游ゴシック" w:hAnsi="游ゴシック" w:eastAsia="游ゴシック"/>
                <w:b w:val="0"/>
                <w:sz w:val="19"/>
              </w:rPr>
              <w:t>66.6％</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特定施設入居者生活介護</w:t>
            </w:r>
          </w:p>
        </w:tc>
        <w:tc>
          <w:tcPr>
            <w:tcW w:type="dxa" w:w="850"/>
            <w:vAlign w:val="center"/>
            <w:shd w:val="clear" w:color="auto" w:fill="F2F5FA"/>
          </w:tcPr>
          <w:p>
            <w:pPr>
              <w:spacing w:after="0"/>
            </w:pPr>
            <w:r>
              <w:rPr>
                <w:rFonts w:ascii="游ゴシック" w:hAnsi="游ゴシック" w:eastAsia="游ゴシック"/>
                <w:b w:val="0"/>
                <w:sz w:val="19"/>
              </w:rPr>
              <w:t>79.0％</w:t>
            </w:r>
          </w:p>
        </w:tc>
        <w:tc>
          <w:tcPr>
            <w:tcW w:type="dxa" w:w="850"/>
            <w:vAlign w:val="center"/>
            <w:shd w:val="clear" w:color="auto" w:fill="F2F5FA"/>
          </w:tcPr>
          <w:p>
            <w:pPr>
              <w:spacing w:after="0"/>
              <w:jc w:val="center"/>
            </w:pPr>
            <w:r>
              <w:rPr>
                <w:rFonts w:ascii="游ゴシック" w:hAnsi="游ゴシック" w:eastAsia="游ゴシック"/>
                <w:b w:val="0"/>
                <w:sz w:val="19"/>
              </w:rPr>
              <w:t>84.8％</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訪問入浴介護</w:t>
            </w:r>
          </w:p>
        </w:tc>
        <w:tc>
          <w:tcPr>
            <w:tcW w:type="dxa" w:w="850"/>
            <w:vAlign w:val="center"/>
            <w:shd w:val="clear" w:color="auto" w:fill="F2F5FA"/>
          </w:tcPr>
          <w:p>
            <w:pPr>
              <w:spacing w:after="0"/>
            </w:pPr>
            <w:r>
              <w:rPr>
                <w:rFonts w:ascii="游ゴシック" w:hAnsi="游ゴシック" w:eastAsia="游ゴシック"/>
                <w:b w:val="0"/>
                <w:sz w:val="19"/>
              </w:rPr>
              <w:t>142.9％</w:t>
            </w:r>
          </w:p>
        </w:tc>
        <w:tc>
          <w:tcPr>
            <w:tcW w:type="dxa" w:w="850"/>
            <w:vAlign w:val="center"/>
            <w:shd w:val="clear" w:color="auto" w:fill="F2F5FA"/>
          </w:tcPr>
          <w:p>
            <w:pPr>
              <w:spacing w:after="0"/>
              <w:jc w:val="center"/>
            </w:pPr>
            <w:r>
              <w:rPr>
                <w:rFonts w:ascii="游ゴシック" w:hAnsi="游ゴシック" w:eastAsia="游ゴシック"/>
                <w:b w:val="0"/>
                <w:sz w:val="19"/>
              </w:rPr>
              <w:t>166.9％</w:t>
            </w:r>
          </w:p>
        </w:tc>
        <w:tc>
          <w:tcPr>
            <w:tcW w:type="dxa" w:w="794"/>
            <w:vAlign w:val="center"/>
            <w:shd w:val="clear" w:color="auto" w:fill="F2F5FA"/>
          </w:tcPr>
          <w:p>
            <w:pPr>
              <w:spacing w:after="0"/>
              <w:jc w:val="center"/>
            </w:pPr>
            <w:r>
              <w:rPr>
                <w:rFonts w:ascii="游ゴシック" w:hAnsi="游ゴシック" w:eastAsia="游ゴシック"/>
                <w:b w:val="0"/>
                <w:sz w:val="19"/>
              </w:rPr>
              <w:t>超過</w:t>
            </w:r>
          </w:p>
        </w:tc>
        <w:tc>
          <w:tcPr>
            <w:tcW w:type="dxa" w:w="5329"/>
            <w:vAlign w:val="center"/>
            <w:shd w:val="clear" w:color="auto" w:fill="F2F5FA"/>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2"/>
        <w:keepNext/>
        <w:spacing w:before="180" w:after="60"/>
      </w:pPr>
      <w:r>
        <w:rPr>
          <w:rFonts w:ascii="游ゴシック" w:hAnsi="游ゴシック" w:eastAsia="游ゴシック"/>
          <w:b/>
          <w:color w:val="000000"/>
          <w:sz w:val="22"/>
        </w:rPr>
        <w:t>プロセス評価の暫定判定（実績の受領前に判定できる範囲）</w:t>
      </w:r>
    </w:p>
    <w:p>
      <w:r>
        <w:rPr>
          <w:rFonts w:ascii="游ゴシック" w:hAnsi="游ゴシック" w:eastAsia="游ゴシック"/>
          <w:b w:val="0"/>
          <w:sz w:val="20"/>
        </w:rPr>
        <w:t>施策・事業実績（資料提供依頼No.13）の受領前であっても、保険者機能強化推進交付金等の大項目別得点（53項目・構成3町・3か年）を19施策に割り当てることで、取組の有無と要件の充足の推移までは判定できます。ただし交付金は事業量・対象実人数・決算額を測るものではないため、プロセス評価の代替にはなりません。</w:t>
      </w:r>
    </w:p>
    <w:p>
      <w:pPr>
        <w:keepNext/>
        <w:spacing w:before="160" w:after="40"/>
      </w:pPr>
      <w:r>
        <w:rPr>
          <w:rFonts w:ascii="游ゴシック" w:hAnsi="游ゴシック" w:eastAsia="游ゴシック"/>
          <w:b/>
          <w:sz w:val="20"/>
        </w:rPr>
        <w:t>表11　交付金の得点による19施策の暫定判定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2041"/>
            <w:vAlign w:val="center"/>
            <w:shd w:val="clear" w:color="auto" w:fill="1F3864"/>
          </w:tcPr>
          <w:p>
            <w:pPr>
              <w:spacing w:after="0"/>
              <w:jc w:val="center"/>
            </w:pPr>
            <w:r>
              <w:rPr>
                <w:rFonts w:ascii="游ゴシック" w:hAnsi="游ゴシック" w:eastAsia="游ゴシック"/>
                <w:b/>
                <w:color w:val="FFFFFF"/>
                <w:sz w:val="19"/>
              </w:rPr>
              <w:t>該当する施策</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取組あり・改善</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1-2、2-1、2-5、4-3</w:t>
            </w:r>
          </w:p>
        </w:tc>
        <w:tc>
          <w:tcPr>
            <w:tcW w:type="dxa" w:w="4989"/>
            <w:vAlign w:val="center"/>
          </w:tcPr>
          <w:p>
            <w:pPr>
              <w:spacing w:after="0"/>
            </w:pPr>
            <w:r>
              <w:rPr>
                <w:rFonts w:ascii="游ゴシック" w:hAnsi="游ゴシック" w:eastAsia="游ゴシック"/>
                <w:b w:val="0"/>
                <w:sz w:val="19"/>
              </w:rPr>
              <w:t>令和6年度から令和8年度にかけて得点率が5ポイント以上上がりました。地域ケア会議の推進（2-5）は58％から88％へ、介護給付費の適正化（4-3）は23％から38％へ上昇しています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取組あり・横ばい</w:t>
            </w:r>
          </w:p>
        </w:tc>
        <w:tc>
          <w:tcPr>
            <w:tcW w:type="dxa" w:w="794"/>
            <w:vAlign w:val="center"/>
            <w:shd w:val="clear" w:color="auto" w:fill="F2F5FA"/>
          </w:tcPr>
          <w:p>
            <w:pPr>
              <w:spacing w:after="0"/>
            </w:pPr>
            <w:r>
              <w:rPr>
                <w:rFonts w:ascii="游ゴシック" w:hAnsi="游ゴシック" w:eastAsia="游ゴシック"/>
                <w:b w:val="0"/>
                <w:sz w:val="19"/>
              </w:rPr>
              <w:t>7</w:t>
            </w:r>
          </w:p>
        </w:tc>
        <w:tc>
          <w:tcPr>
            <w:tcW w:type="dxa" w:w="2041"/>
            <w:vAlign w:val="center"/>
            <w:shd w:val="clear" w:color="auto" w:fill="F2F5FA"/>
          </w:tcPr>
          <w:p>
            <w:pPr>
              <w:spacing w:after="0"/>
              <w:jc w:val="center"/>
            </w:pPr>
            <w:r>
              <w:rPr>
                <w:rFonts w:ascii="游ゴシック" w:hAnsi="游ゴシック" w:eastAsia="游ゴシック"/>
                <w:b w:val="0"/>
                <w:sz w:val="19"/>
              </w:rPr>
              <w:t>1-1、1-3、3-2、3-3、3-4、4-1、4-4</w:t>
            </w:r>
          </w:p>
        </w:tc>
        <w:tc>
          <w:tcPr>
            <w:tcW w:type="dxa" w:w="4989"/>
            <w:vAlign w:val="center"/>
            <w:shd w:val="clear" w:color="auto" w:fill="F2F5FA"/>
          </w:tcPr>
          <w:p>
            <w:pPr>
              <w:spacing w:after="0"/>
            </w:pPr>
            <w:r>
              <w:rPr>
                <w:rFonts w:ascii="游ゴシック" w:hAnsi="游ゴシック" w:eastAsia="游ゴシック"/>
                <w:b w:val="0"/>
                <w:sz w:val="19"/>
              </w:rPr>
              <w:t>得点率の変化が±5ポイント以内です。取組は継続していますが要件の充足が進んでいません</w:t>
            </w:r>
          </w:p>
        </w:tc>
      </w:tr>
      <w:tr>
        <w:trPr>
          <w:cantSplit/>
        </w:trPr>
        <w:tc>
          <w:tcPr>
            <w:tcW w:type="dxa" w:w="1928"/>
            <w:vAlign w:val="center"/>
          </w:tcPr>
          <w:p>
            <w:pPr>
              <w:spacing w:after="0"/>
            </w:pPr>
            <w:r>
              <w:rPr>
                <w:rFonts w:ascii="游ゴシック" w:hAnsi="游ゴシック" w:eastAsia="游ゴシック"/>
                <w:b/>
                <w:sz w:val="19"/>
              </w:rPr>
              <w:t>取組あり・低下</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2-2、2-3、2-6、3-1</w:t>
            </w:r>
          </w:p>
        </w:tc>
        <w:tc>
          <w:tcPr>
            <w:tcW w:type="dxa" w:w="4989"/>
            <w:vAlign w:val="center"/>
          </w:tcPr>
          <w:p>
            <w:pPr>
              <w:spacing w:after="0"/>
            </w:pPr>
            <w:r>
              <w:rPr>
                <w:rFonts w:ascii="游ゴシック" w:hAnsi="游ゴシック" w:eastAsia="游ゴシック"/>
                <w:b w:val="0"/>
                <w:sz w:val="19"/>
              </w:rPr>
              <w:t>得点率が5ポイント以上下がりました。総合事業の推進（2-2）は34％から26％、認知症施策の推進（2-3）は36％から30％です。低下の理由（要件の変更か取組の縮小か）は評価調書によります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交付金では判定できない</w:t>
            </w:r>
          </w:p>
        </w:tc>
        <w:tc>
          <w:tcPr>
            <w:tcW w:type="dxa" w:w="794"/>
            <w:vAlign w:val="center"/>
            <w:shd w:val="clear" w:color="auto" w:fill="F2F5FA"/>
          </w:tcPr>
          <w:p>
            <w:pPr>
              <w:spacing w:after="0"/>
            </w:pPr>
            <w:r>
              <w:rPr>
                <w:rFonts w:ascii="游ゴシック" w:hAnsi="游ゴシック" w:eastAsia="游ゴシック"/>
                <w:b w:val="0"/>
                <w:sz w:val="19"/>
              </w:rPr>
              <w:t>4</w:t>
            </w:r>
          </w:p>
        </w:tc>
        <w:tc>
          <w:tcPr>
            <w:tcW w:type="dxa" w:w="2041"/>
            <w:vAlign w:val="center"/>
            <w:shd w:val="clear" w:color="auto" w:fill="F2F5FA"/>
          </w:tcPr>
          <w:p>
            <w:pPr>
              <w:spacing w:after="0"/>
              <w:jc w:val="center"/>
            </w:pPr>
            <w:r>
              <w:rPr>
                <w:rFonts w:ascii="游ゴシック" w:hAnsi="游ゴシック" w:eastAsia="游ゴシック"/>
                <w:b w:val="0"/>
                <w:sz w:val="19"/>
              </w:rPr>
              <w:t>1-4、2-4、4-2、5-1</w:t>
            </w:r>
          </w:p>
        </w:tc>
        <w:tc>
          <w:tcPr>
            <w:tcW w:type="dxa" w:w="4989"/>
            <w:vAlign w:val="center"/>
            <w:shd w:val="clear" w:color="auto" w:fill="F2F5FA"/>
          </w:tcPr>
          <w:p>
            <w:pPr>
              <w:spacing w:after="0"/>
            </w:pPr>
            <w:r>
              <w:rPr>
                <w:rFonts w:ascii="游ゴシック" w:hAnsi="游ゴシック" w:eastAsia="游ゴシック"/>
                <w:b w:val="0"/>
                <w:sz w:val="19"/>
              </w:rPr>
              <w:t>該当する評価項目がありません。虐待防止、住まいと生活支援の一体化、事業者の適正・円滑な運営、災害・感染症対策は、実績がなければ判定できません</w:t>
            </w:r>
          </w:p>
        </w:tc>
      </w:tr>
    </w:tbl>
    <w:p>
      <w:pPr>
        <w:spacing w:before="40"/>
      </w:pPr>
      <w:r>
        <w:rPr>
          <w:rFonts w:ascii="游ゴシック" w:hAnsi="游ゴシック" w:eastAsia="游ゴシック"/>
          <w:sz w:val="17"/>
        </w:rPr>
        <w:t>資料：厚生労働省「保険者機能強化推進交付金・介護保険保険者努力支援交付金に係る評価指標（市町村分）」の全国集計結果（令和6〜8年度）</w:t>
      </w:r>
    </w:p>
    <w:p>
      <w:pPr>
        <w:ind w:left="227"/>
      </w:pPr>
      <w:r>
        <w:rPr>
          <w:rFonts w:ascii="游ゴシック" w:hAnsi="游ゴシック" w:eastAsia="游ゴシック"/>
          <w:sz w:val="18"/>
        </w:rPr>
        <w:t>※ 交付金の評価項目と19施策の割当ては受託者によるものです。1つの評価項目が複数の施策に対応する場合があります。割当てのご確認をお願いしています（確認事項No.61）。</w:t>
      </w:r>
    </w:p>
    <w:p>
      <w:r>
        <w:rPr>
          <w:rFonts w:ascii="游ゴシック" w:hAnsi="游ゴシック" w:eastAsia="游ゴシック"/>
          <w:b w:val="0"/>
          <w:sz w:val="21"/>
        </w:rPr>
      </w:r>
    </w:p>
    <w:p>
      <w:r>
        <w:rPr>
          <w:rFonts w:ascii="游ゴシック" w:hAnsi="游ゴシック" w:eastAsia="游ゴシック"/>
          <w:b/>
          <w:sz w:val="21"/>
        </w:rPr>
        <w:t>この暫定判定により、実績が届く前でも第10期の施策体系の検討を進めることができます。とくに「交付金では判定できない4施策」は、第9期において成果を測る手段も取組を確認する手段も持たない施策であり、第10期では指標の新設又は施策の統合を検討し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表12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402"/>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134"/>
            <w:vAlign w:val="center"/>
            <w:shd w:val="clear" w:color="auto" w:fill="1F3864"/>
          </w:tcPr>
          <w:p>
            <w:pPr>
              <w:spacing w:after="0"/>
              <w:jc w:val="center"/>
            </w:pPr>
            <w:r>
              <w:rPr>
                <w:rFonts w:ascii="游ゴシック" w:hAnsi="游ゴシック" w:eastAsia="游ゴシック"/>
                <w:b/>
                <w:color w:val="FFFFFF"/>
                <w:sz w:val="19"/>
              </w:rPr>
              <w:t>状態</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最高</w:t>
            </w:r>
          </w:p>
        </w:tc>
        <w:tc>
          <w:tcPr>
            <w:tcW w:type="dxa" w:w="567"/>
            <w:vAlign w:val="center"/>
            <w:shd w:val="clear" w:color="auto" w:fill="F2F5FA"/>
          </w:tcPr>
          <w:p>
            <w:pPr>
              <w:spacing w:after="0"/>
              <w:jc w:val="center"/>
            </w:pPr>
            <w:r>
              <w:rPr>
                <w:rFonts w:ascii="游ゴシック" w:hAnsi="游ゴシック" w:eastAsia="游ゴシック"/>
                <w:b w:val="0"/>
                <w:sz w:val="19"/>
              </w:rPr>
              <w:t>13</w:t>
            </w:r>
          </w:p>
        </w:tc>
        <w:tc>
          <w:tcPr>
            <w:tcW w:type="dxa" w:w="2494"/>
            <w:vAlign w:val="center"/>
            <w:shd w:val="clear" w:color="auto" w:fill="F2F5FA"/>
          </w:tcPr>
          <w:p>
            <w:pPr>
              <w:spacing w:after="0"/>
            </w:pPr>
            <w:r>
              <w:rPr>
                <w:rFonts w:ascii="游ゴシック" w:hAnsi="游ゴシック" w:eastAsia="游ゴシック"/>
                <w:b w:val="0"/>
                <w:sz w:val="19"/>
              </w:rPr>
              <w:t>包括的支援事業6事業及び任意事業の実績</w:t>
            </w:r>
          </w:p>
        </w:tc>
        <w:tc>
          <w:tcPr>
            <w:tcW w:type="dxa" w:w="3402"/>
            <w:vAlign w:val="center"/>
            <w:shd w:val="clear" w:color="auto" w:fill="F2F5FA"/>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402"/>
            <w:vAlign w:val="center"/>
            <w:shd w:val="clear" w:color="auto" w:fill="F2F5FA"/>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402"/>
            <w:vAlign w:val="center"/>
            <w:shd w:val="clear" w:color="auto" w:fill="F2F5FA"/>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402"/>
            <w:vAlign w:val="center"/>
            <w:shd w:val="clear" w:color="auto" w:fill="F2F5FA"/>
          </w:tcPr>
          <w:p>
            <w:pPr>
              <w:spacing w:after="0"/>
            </w:pPr>
            <w:r>
              <w:rPr>
                <w:rFonts w:ascii="游ゴシック" w:hAnsi="游ゴシック" w:eastAsia="游ゴシック"/>
                <w:b w:val="0"/>
                <w:sz w:val="19"/>
              </w:rPr>
              <w:t>第9期の通年の確定値と令和8年度の推移</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9</w:t>
            </w:r>
          </w:p>
        </w:tc>
        <w:tc>
          <w:tcPr>
            <w:tcW w:type="dxa" w:w="2494"/>
            <w:vAlign w:val="center"/>
            <w:shd w:val="clear" w:color="auto" w:fill="F2F5FA"/>
          </w:tcPr>
          <w:p>
            <w:pPr>
              <w:spacing w:after="0"/>
            </w:pPr>
            <w:r>
              <w:rPr>
                <w:rFonts w:ascii="游ゴシック" w:hAnsi="游ゴシック" w:eastAsia="游ゴシック"/>
                <w:b w:val="0"/>
                <w:sz w:val="19"/>
              </w:rPr>
              <w:t>令和6年度決算書、基金条例</w:t>
            </w:r>
          </w:p>
        </w:tc>
        <w:tc>
          <w:tcPr>
            <w:tcW w:type="dxa" w:w="3402"/>
            <w:vAlign w:val="center"/>
            <w:shd w:val="clear" w:color="auto" w:fill="F2F5FA"/>
          </w:tcPr>
          <w:p>
            <w:pPr>
              <w:spacing w:after="0"/>
            </w:pPr>
            <w:r>
              <w:rPr>
                <w:rFonts w:ascii="游ゴシック" w:hAnsi="游ゴシック" w:eastAsia="游ゴシック"/>
                <w:b w:val="0"/>
                <w:sz w:val="19"/>
              </w:rPr>
              <w:t>令和6年度末の基金残高、条例による取崩しの要件と積立ての上限</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見える化システムの総括表・管理指標グラフ</w:t>
            </w:r>
          </w:p>
        </w:tc>
        <w:tc>
          <w:tcPr>
            <w:tcW w:type="dxa" w:w="3402"/>
            <w:vAlign w:val="center"/>
            <w:shd w:val="clear" w:color="auto" w:fill="F2F5FA"/>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（R8.8.31）</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表13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表14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表15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表16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