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200"/>
        <w:jc w:val="center"/>
      </w:pPr>
      <w:r>
        <w:rPr>
          <w:rFonts w:ascii="游ゴシック" w:hAnsi="游ゴシック" w:eastAsia="游ゴシック"/>
          <w:b w:val="0"/>
          <w:sz w:val="20"/>
        </w:rPr>
        <w:t>― 第1回介護保険事業計画策定委員会に向けた確認事項 ―</w:t>
      </w:r>
    </w:p>
    <w:p>
      <w:pPr>
        <w:spacing w:after="280"/>
        <w:jc w:val="right"/>
      </w:pPr>
      <w:r>
        <w:rPr>
          <w:rFonts w:ascii="游ゴシック" w:hAnsi="游ゴシック" w:eastAsia="游ゴシック"/>
          <w:b w:val="0"/>
          <w:sz w:val="21"/>
        </w:rPr>
        <w:t>令和8年7月28日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第10期介護保険事業計画の策定にあたり、貸与いただいた第9期計画、業務仕様書、地域包括ケア「見える化」システムのデータ、令和7年度 健康とくらしの調査の成果物を精査いたしました。</w:t>
      </w:r>
    </w:p>
    <w:p>
      <w:pPr>
        <w:spacing w:after="80"/>
      </w:pPr>
      <w:r>
        <w:rPr>
          <w:rFonts w:ascii="游ゴシック" w:hAnsi="游ゴシック" w:eastAsia="游ゴシック"/>
          <w:b w:val="0"/>
          <w:sz w:val="21"/>
        </w:rPr>
        <w:t>その結果、第1回委員会までに方針をご決定いただきたい事項が4件、事務局にてご確認いただきたい事項が9件ございます。あわせて、計画の確定に必要な資料のご提供をお願いいたします。</w:t>
      </w:r>
    </w:p>
    <w:p>
      <w:pPr>
        <w:spacing w:after="200"/>
      </w:pPr>
      <w:r>
        <w:rPr>
          <w:rFonts w:ascii="游ゴシック" w:hAnsi="游ゴシック" w:eastAsia="游ゴシック"/>
          <w:b w:val="0"/>
          <w:sz w:val="21"/>
        </w:rPr>
        <w:t>お忙しいところ恐縮ですが、ご確認のうえご回答賜りますようお願い申し上げます。</w:t>
      </w:r>
    </w:p>
    <w:p>
      <w:pPr>
        <w:spacing w:after="120" w:before="200"/>
      </w:pPr>
      <w:r>
        <w:rPr>
          <w:rFonts w:ascii="游ゴシック" w:hAnsi="游ゴシック" w:eastAsia="游ゴシック"/>
          <w:b/>
          <w:sz w:val="24"/>
        </w:rPr>
        <w:t>１　第1回委員会でご決定いただきたい事項（4件）</w:t>
      </w:r>
    </w:p>
    <w:p>
      <w:pPr>
        <w:spacing w:after="80"/>
      </w:pPr>
      <w:r>
        <w:rPr>
          <w:rFonts w:ascii="游ゴシック" w:hAnsi="游ゴシック" w:eastAsia="游ゴシック"/>
          <w:b w:val="0"/>
          <w:sz w:val="19"/>
        </w:rPr>
        <w:t>いずれも計画の構成・指標体系の根幹に関わるため、委員会でのご決定が必要と考えます。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なお、後述のとおり介護サービス利用率が平成28年度82.2％から令和6年度74.3％へ低下しており、需要減か供給制約かの判別は第10期の中心論点です。判別手段の確保が必要です。</w:t>
      </w:r>
    </w:p>
    <w:tbl>
      <w:tblPr>
        <w:tblStyle w:val="TableGrid"/>
        <w:tblW w:type="auto" w:w="0"/>
        <w:jc w:val="center"/>
        <w:tblLook w:firstColumn="1" w:firstRow="1" w:lastColumn="0" w:lastRow="0" w:noHBand="0" w:noVBand="1" w:val="04A0"/>
      </w:tblPr>
      <w:tblGrid>
        <w:gridCol w:w="3324"/>
        <w:gridCol w:w="3324"/>
        <w:gridCol w:w="3324"/>
      </w:tblGrid>
      <w:tr>
        <w:tc>
          <w:tcPr>
            <w:tcW w:type="dxa" w:w="680"/>
          </w:tcPr>
          <w:p>
            <w:r/>
            <w:r>
              <w:rPr>
                <w:rFonts w:ascii="游ゴシック" w:hAnsi="游ゴシック" w:eastAsia="游ゴシック"/>
                <w:b/>
                <w:sz w:val="18"/>
              </w:rPr>
              <w:t>案</w:t>
            </w:r>
          </w:p>
        </w:tc>
        <w:tc>
          <w:tcPr>
            <w:tcW w:type="dxa" w:w="4819"/>
          </w:tcPr>
          <w:p>
            <w:r/>
            <w:r>
              <w:rPr>
                <w:rFonts w:ascii="游ゴシック" w:hAnsi="游ゴシック" w:eastAsia="游ゴシック"/>
                <w:b/>
                <w:sz w:val="18"/>
              </w:rPr>
              <w:t>内容</w:t>
            </w:r>
          </w:p>
        </w:tc>
        <w:tc>
          <w:tcPr>
            <w:tcW w:type="dxa" w:w="368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819"/>
          </w:tcPr>
          <w:p>
            <w:r/>
            <w:r>
              <w:rPr>
                <w:rFonts w:ascii="游ゴシック" w:hAnsi="游ゴシック" w:eastAsia="游ゴシック"/>
                <w:sz w:val="18"/>
              </w:rPr>
              <w:t>既受領の介護人材実態調査（第9期実施・27施設）の再分析で代替する</w:t>
            </w:r>
          </w:p>
        </w:tc>
        <w:tc>
          <w:tcPr>
            <w:tcW w:type="dxa" w:w="368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819"/>
          </w:tcPr>
          <w:p>
            <w:r/>
            <w:r>
              <w:rPr>
                <w:rFonts w:ascii="游ゴシック" w:hAnsi="游ゴシック" w:eastAsia="游ゴシック"/>
                <w:sz w:val="18"/>
              </w:rPr>
              <w:t>発注者が調査を実施し、受託者は設計支援・集計のみを担う（仕様変更又は別途協議）</w:t>
            </w:r>
          </w:p>
        </w:tc>
        <w:tc>
          <w:tcPr>
            <w:tcW w:type="dxa" w:w="368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819"/>
          </w:tcPr>
          <w:p>
            <w:r/>
            <w:r>
              <w:rPr>
                <w:rFonts w:ascii="游ゴシック" w:hAnsi="游ゴシック" w:eastAsia="游ゴシック"/>
                <w:sz w:val="18"/>
              </w:rPr>
              <w:t>供給制約の検証を給付実績・指定台帳・ヒアリング等に置き換える</w:t>
            </w:r>
          </w:p>
        </w:tc>
        <w:tc>
          <w:tcPr>
            <w:tcW w:type="dxa" w:w="368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324"/>
        <w:gridCol w:w="3324"/>
        <w:gridCol w:w="3324"/>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 採用系列：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第6章の推計と現状分析の基準を揃える観点から、国勢調査・社人研ベースへの統一を推奨いたします。その場合、第9期計画の図表と数値が変わるため、第2章に基準変更の注記を入れます。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324"/>
        <w:gridCol w:w="3324"/>
        <w:gridCol w:w="3324"/>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 採用：　□第9期名称を継続　□第10期名称案へ変更　□一部変更（　　　　　　　　　）</w:t>
      </w:r>
    </w:p>
    <w:p>
      <w:r>
        <w:br w:type="page"/>
      </w:r>
    </w:p>
    <w:p>
      <w:pPr>
        <w:spacing w:after="120" w:before="200"/>
      </w:pPr>
      <w:r>
        <w:rPr>
          <w:rFonts w:ascii="游ゴシック" w:hAnsi="游ゴシック" w:eastAsia="游ゴシック"/>
          <w:b/>
          <w:sz w:val="24"/>
        </w:rPr>
        <w:t>２　事務局にてご確認いただきたい事項（9件）</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tcPr>
          <w:p>
            <w:r/>
            <w:r>
              <w:rPr>
                <w:rFonts w:ascii="游ゴシック" w:hAnsi="游ゴシック" w:eastAsia="游ゴシック"/>
                <w:b/>
                <w:sz w:val="18"/>
              </w:rPr>
              <w:t>No.</w:t>
            </w:r>
          </w:p>
        </w:tc>
        <w:tc>
          <w:tcPr>
            <w:tcW w:type="dxa" w:w="1928"/>
          </w:tcPr>
          <w:p>
            <w:r/>
            <w:r>
              <w:rPr>
                <w:rFonts w:ascii="游ゴシック" w:hAnsi="游ゴシック" w:eastAsia="游ゴシック"/>
                <w:b/>
                <w:sz w:val="18"/>
              </w:rPr>
              <w:t>確認事項</w:t>
            </w:r>
          </w:p>
        </w:tc>
        <w:tc>
          <w:tcPr>
            <w:tcW w:type="dxa" w:w="5102"/>
          </w:tcPr>
          <w:p>
            <w:r/>
            <w:r>
              <w:rPr>
                <w:rFonts w:ascii="游ゴシック" w:hAnsi="游ゴシック" w:eastAsia="游ゴシック"/>
                <w:b/>
                <w:sz w:val="18"/>
              </w:rPr>
              <w:t>確認をお願いする内容</w:t>
            </w:r>
          </w:p>
        </w:tc>
        <w:tc>
          <w:tcPr>
            <w:tcW w:type="dxa" w:w="1814"/>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1928"/>
          </w:tcPr>
          <w:p>
            <w:r/>
            <w:r>
              <w:rPr>
                <w:rFonts w:ascii="游ゴシック" w:hAnsi="游ゴシック" w:eastAsia="游ゴシック"/>
                <w:sz w:val="18"/>
              </w:rPr>
              <w:t>調査対象者の範囲</w:t>
            </w:r>
          </w:p>
        </w:tc>
        <w:tc>
          <w:tcPr>
            <w:tcW w:type="dxa" w:w="5102"/>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1928"/>
          </w:tcPr>
          <w:p>
            <w:r/>
            <w:r>
              <w:rPr>
                <w:rFonts w:ascii="游ゴシック" w:hAnsi="游ゴシック" w:eastAsia="游ゴシック"/>
                <w:sz w:val="18"/>
              </w:rPr>
              <w:t>在宅介護実態調査の実施予定</w:t>
            </w:r>
          </w:p>
        </w:tc>
        <w:tc>
          <w:tcPr>
            <w:tcW w:type="dxa" w:w="5102"/>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1928"/>
          </w:tcPr>
          <w:p>
            <w:r/>
            <w:r>
              <w:rPr>
                <w:rFonts w:ascii="游ゴシック" w:hAnsi="游ゴシック" w:eastAsia="游ゴシック"/>
                <w:sz w:val="18"/>
              </w:rPr>
              <w:t>地域密着型介護老人福祉施設の定員</w:t>
            </w:r>
          </w:p>
        </w:tc>
        <w:tc>
          <w:tcPr>
            <w:tcW w:type="dxa" w:w="5102"/>
          </w:tcPr>
          <w:p>
            <w:r/>
            <w:r>
              <w:rPr>
                <w:rFonts w:ascii="游ゴシック" w:hAnsi="游ゴシック" w:eastAsia="游ゴシック"/>
                <w:sz w:val="18"/>
              </w:rPr>
              <w:t>見える化D25では平成30年度から令和6年度まで62人ですが、第9期計画の掲載は63人（美瑛町43人＝サテライト特養 燈18人＋美瑛慈光園25人、東神楽町20人＝アゼリアハイツ）です。1人差の理由（休止床、指定台帳と公表値の差等）をご教示ください。</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1928"/>
          </w:tcPr>
          <w:p>
            <w:r/>
            <w:r>
              <w:rPr>
                <w:rFonts w:ascii="游ゴシック" w:hAnsi="游ゴシック" w:eastAsia="游ゴシック"/>
                <w:sz w:val="18"/>
              </w:rPr>
              <w:t>高齢夫婦世帯の定義</w:t>
            </w:r>
          </w:p>
        </w:tc>
        <w:tc>
          <w:tcPr>
            <w:tcW w:type="dxa" w:w="5102"/>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1928"/>
          </w:tcPr>
          <w:p>
            <w:r/>
            <w:r>
              <w:rPr>
                <w:rFonts w:ascii="游ゴシック" w:hAnsi="游ゴシック" w:eastAsia="游ゴシック"/>
                <w:sz w:val="18"/>
              </w:rPr>
              <w:t>給付適正化計画の期数</w:t>
            </w:r>
          </w:p>
        </w:tc>
        <w:tc>
          <w:tcPr>
            <w:tcW w:type="dxa" w:w="5102"/>
          </w:tcPr>
          <w:p>
            <w:r/>
            <w:r>
              <w:rPr>
                <w:rFonts w:ascii="游ゴシック" w:hAnsi="游ゴシック" w:eastAsia="游ゴシック"/>
                <w:sz w:val="18"/>
              </w:rPr>
              <w:t>第9期計画では「第6期給付適正化計画」と記載されております。第10期計画期間に対応するのは第7期という理解でよろしいかご確認ください。</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1928"/>
          </w:tcPr>
          <w:p>
            <w:r/>
            <w:r>
              <w:rPr>
                <w:rFonts w:ascii="游ゴシック" w:hAnsi="游ゴシック" w:eastAsia="游ゴシック"/>
                <w:sz w:val="18"/>
              </w:rPr>
              <w:t>給付費の区分定義</w:t>
            </w:r>
          </w:p>
        </w:tc>
        <w:tc>
          <w:tcPr>
            <w:tcW w:type="dxa" w:w="5102"/>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1928"/>
          </w:tcPr>
          <w:p>
            <w:r/>
            <w:r>
              <w:rPr>
                <w:rFonts w:ascii="游ゴシック" w:hAnsi="游ゴシック" w:eastAsia="游ゴシック"/>
                <w:sz w:val="18"/>
              </w:rPr>
              <w:t>社会参加指標の設問</w:t>
            </w:r>
          </w:p>
        </w:tc>
        <w:tc>
          <w:tcPr>
            <w:tcW w:type="dxa" w:w="5102"/>
          </w:tcPr>
          <w:p>
            <w:r/>
            <w:r>
              <w:rPr>
                <w:rFonts w:ascii="游ゴシック" w:hAnsi="游ゴシック" w:eastAsia="游ゴシック"/>
                <w:sz w:val="18"/>
              </w:rPr>
              <w:t>令和7年度調査では社会参加が6区分（ボランティア、スポーツ、趣味、学習・教養、通いの場、特技伝達）に分かれております。KPIのH05を「通いの場」に限定するか、6区分いずれかへの参加とする合成指標にするかご意向をご教示ください。</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1928"/>
          </w:tcPr>
          <w:p>
            <w:r/>
            <w:r>
              <w:rPr>
                <w:rFonts w:ascii="游ゴシック" w:hAnsi="游ゴシック" w:eastAsia="游ゴシック"/>
                <w:sz w:val="18"/>
              </w:rPr>
              <w:t>計画書の分量配分</w:t>
            </w:r>
          </w:p>
        </w:tc>
        <w:tc>
          <w:tcPr>
            <w:tcW w:type="dxa" w:w="5102"/>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w:t>
            </w:r>
          </w:p>
        </w:tc>
        <w:tc>
          <w:tcPr>
            <w:tcW w:type="dxa" w:w="1814"/>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1928"/>
          </w:tcPr>
          <w:p>
            <w:r/>
            <w:r>
              <w:rPr>
                <w:rFonts w:ascii="游ゴシック" w:hAnsi="游ゴシック" w:eastAsia="游ゴシック"/>
                <w:sz w:val="18"/>
              </w:rPr>
              <w:t>工程の段階承認</w:t>
            </w:r>
          </w:p>
        </w:tc>
        <w:tc>
          <w:tcPr>
            <w:tcW w:type="dxa" w:w="5102"/>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814"/>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w:t>
      </w:r>
    </w:p>
    <w:p>
      <w:pPr>
        <w:spacing w:after="80"/>
      </w:pPr>
      <w:r>
        <w:rPr>
          <w:rFonts w:ascii="游ゴシック" w:hAnsi="游ゴシック" w:eastAsia="游ゴシック"/>
          <w:b w:val="0"/>
          <w:sz w:val="19"/>
        </w:rPr>
        <w:t>計画の確定に必要な資料です。優先度の高いものから記載しております。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令和7年度 健康とくらしの調査の個票データ（CSV）・コード表</w:t>
            </w:r>
          </w:p>
        </w:tc>
        <w:tc>
          <w:tcPr>
            <w:tcW w:type="dxa" w:w="3118"/>
          </w:tcPr>
          <w:p>
            <w:r/>
            <w:r>
              <w:rPr>
                <w:rFonts w:ascii="游ゴシック" w:hAnsi="游ゴシック" w:eastAsia="游ゴシック"/>
                <w:sz w:val="18"/>
              </w:rPr>
              <w:t>H04・H05の基準値算出、社会参加の合成指標</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基金残高・取崩方針、収納率、所得段階別被保険者数、地域支援事業費の予算前提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120" w:before="200"/>
      </w:pPr>
      <w:r>
        <w:rPr>
          <w:rFonts w:ascii="游ゴシック" w:hAnsi="游ゴシック" w:eastAsia="游ゴシック"/>
          <w:b/>
          <w:sz w:val="24"/>
        </w:rPr>
        <w:t>４　参考：精査により確認できた主な事実</w:t>
      </w:r>
    </w:p>
    <w:p>
      <w:pPr>
        <w:spacing w:after="80"/>
      </w:pPr>
      <w:r>
        <w:rPr>
          <w:rFonts w:ascii="游ゴシック" w:hAnsi="游ゴシック" w:eastAsia="游ゴシック"/>
          <w:b w:val="0"/>
          <w:sz w:val="19"/>
        </w:rPr>
        <w:t>ご判断の材料として、これまでの精査で確認できた事実を整理いたします。</w:t>
      </w:r>
    </w:p>
    <w:tbl>
      <w:tblPr>
        <w:tblStyle w:val="TableGrid"/>
        <w:tblW w:type="auto" w:w="0"/>
        <w:jc w:val="center"/>
        <w:tblLook w:firstColumn="1" w:firstRow="1" w:lastColumn="0" w:lastRow="0" w:noHBand="0" w:noVBand="1" w:val="04A0"/>
      </w:tblPr>
      <w:tblGrid>
        <w:gridCol w:w="4986"/>
        <w:gridCol w:w="4986"/>
      </w:tblGrid>
      <w:tr>
        <w:tc>
          <w:tcPr>
            <w:tcW w:type="dxa" w:w="1701"/>
          </w:tcPr>
          <w:p>
            <w:r/>
            <w:r>
              <w:rPr>
                <w:rFonts w:ascii="游ゴシック" w:hAnsi="游ゴシック" w:eastAsia="游ゴシック"/>
                <w:b/>
                <w:sz w:val="18"/>
              </w:rPr>
              <w:t>区分</w:t>
            </w:r>
          </w:p>
        </w:tc>
        <w:tc>
          <w:tcPr>
            <w:tcW w:type="dxa" w:w="7710"/>
          </w:tcPr>
          <w:p>
            <w:r/>
            <w:r>
              <w:rPr>
                <w:rFonts w:ascii="游ゴシック" w:hAnsi="游ゴシック" w:eastAsia="游ゴシック"/>
                <w:b/>
                <w:sz w:val="18"/>
              </w:rPr>
              <w:t>内容</w:t>
            </w:r>
          </w:p>
        </w:tc>
      </w:tr>
      <w:tr>
        <w:tc>
          <w:tcPr>
            <w:tcW w:type="dxa" w:w="1701"/>
          </w:tcPr>
          <w:p>
            <w:r/>
            <w:r>
              <w:rPr>
                <w:rFonts w:ascii="游ゴシック" w:hAnsi="游ゴシック" w:eastAsia="游ゴシック"/>
                <w:sz w:val="18"/>
              </w:rPr>
              <w:t>自然体推計</w:t>
            </w:r>
          </w:p>
        </w:tc>
        <w:tc>
          <w:tcPr>
            <w:tcW w:type="dxa" w:w="7710"/>
          </w:tcPr>
          <w:p>
            <w:r/>
            <w:r>
              <w:rPr>
                <w:rFonts w:ascii="游ゴシック" w:hAnsi="游ゴシック" w:eastAsia="游ゴシック"/>
                <w:sz w:val="18"/>
              </w:rPr>
              <w:t>見える化の推計ワークシートと素案の数値が完全に一致することを確認しました（保険料6,237.77円、総給付費R9 3,056.7百万円ほか）。</w:t>
            </w:r>
          </w:p>
        </w:tc>
      </w:tr>
      <w:tr>
        <w:tc>
          <w:tcPr>
            <w:tcW w:type="dxa" w:w="1701"/>
          </w:tcPr>
          <w:p>
            <w:r/>
            <w:r>
              <w:rPr>
                <w:rFonts w:ascii="游ゴシック" w:hAnsi="游ゴシック" w:eastAsia="游ゴシック"/>
                <w:sz w:val="18"/>
              </w:rPr>
              <w:t>第9期の達成状況</w:t>
            </w:r>
          </w:p>
        </w:tc>
        <w:tc>
          <w:tcPr>
            <w:tcW w:type="dxa" w:w="7710"/>
          </w:tcPr>
          <w:p>
            <w:r/>
            <w:r>
              <w:rPr>
                <w:rFonts w:ascii="游ゴシック" w:hAnsi="游ゴシック" w:eastAsia="游ゴシック"/>
                <w:sz w:val="18"/>
              </w:rPr>
              <w:t>要介護認定率は令和8年3月末21.8％で目標20.8％を1.0ポイント上回り未達。重度要介護認定率は6.3％で目標6.4％を下回り達成見込み。フレイル該当割合は19.1％で目標18.0％に1.1ポイント未達。通いの場参加率は8.8％で基準値7.3％から統計的に有意に上昇（R7目標9.0％に0.2ポイント不足）。</w:t>
            </w:r>
          </w:p>
        </w:tc>
      </w:tr>
      <w:tr>
        <w:tc>
          <w:tcPr>
            <w:tcW w:type="dxa" w:w="1701"/>
          </w:tcPr>
          <w:p>
            <w:r/>
            <w:r>
              <w:rPr>
                <w:rFonts w:ascii="游ゴシック" w:hAnsi="游ゴシック" w:eastAsia="游ゴシック"/>
                <w:sz w:val="18"/>
              </w:rPr>
              <w:t>サービス利用率の低下</w:t>
            </w:r>
          </w:p>
        </w:tc>
        <w:tc>
          <w:tcPr>
            <w:tcW w:type="dxa" w:w="7710"/>
          </w:tcPr>
          <w:p>
            <w:r/>
            <w:r>
              <w:rPr>
                <w:rFonts w:ascii="游ゴシック" w:hAnsi="游ゴシック" w:eastAsia="游ゴシック"/>
                <w:sz w:val="18"/>
              </w:rPr>
              <w:t>介護サービス利用率は平成28年度82.2％から令和6年度74.3％へ7.9ポイント低下。認定者は1,842人から1,962人へ増加した一方、受給者は1,515人から1,458人へ減少しています。</w:t>
            </w:r>
          </w:p>
        </w:tc>
      </w:tr>
      <w:tr>
        <w:tc>
          <w:tcPr>
            <w:tcW w:type="dxa" w:w="170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北海道の1.85倍、給付月額は133,685円で北海道の1.58倍。利用量と単価の双方が突出しています。一方、通所介護の給付月額は全国の0.74倍と低く、サービス種別で位置関係が逆転します。</w:t>
            </w:r>
          </w:p>
        </w:tc>
      </w:tr>
      <w:tr>
        <w:tc>
          <w:tcPr>
            <w:tcW w:type="dxa" w:w="1701"/>
          </w:tcPr>
          <w:p>
            <w:r/>
            <w:r>
              <w:rPr>
                <w:rFonts w:ascii="游ゴシック" w:hAnsi="游ゴシック" w:eastAsia="游ゴシック"/>
                <w:sz w:val="18"/>
              </w:rPr>
              <w:t>担い手の減少</w:t>
            </w:r>
          </w:p>
        </w:tc>
        <w:tc>
          <w:tcPr>
            <w:tcW w:type="dxa" w:w="7710"/>
          </w:tcPr>
          <w:p>
            <w:r/>
            <w:r>
              <w:rPr>
                <w:rFonts w:ascii="游ゴシック" w:hAnsi="游ゴシック" w:eastAsia="游ゴシック"/>
                <w:sz w:val="18"/>
              </w:rPr>
              <w:t>高齢者1人あたり現役世代数は広域連合全体で令和22年度1.2人、令和32年度1.0人。美瑛町は令和22年度1.0人、令和32年度0.9人となり高齢者が現役世代を上回ります。</w:t>
            </w:r>
          </w:p>
        </w:tc>
      </w:tr>
      <w:tr>
        <w:tc>
          <w:tcPr>
            <w:tcW w:type="dxa" w:w="1701"/>
          </w:tcPr>
          <w:p>
            <w:r/>
            <w:r>
              <w:rPr>
                <w:rFonts w:ascii="游ゴシック" w:hAnsi="游ゴシック" w:eastAsia="游ゴシック"/>
                <w:sz w:val="18"/>
              </w:rPr>
              <w:t>小標本調査の扱い</w:t>
            </w:r>
          </w:p>
        </w:tc>
        <w:tc>
          <w:tcPr>
            <w:tcW w:type="dxa" w:w="7710"/>
          </w:tcPr>
          <w:p>
            <w:r/>
            <w:r>
              <w:rPr>
                <w:rFonts w:ascii="游ゴシック" w:hAnsi="游ゴシック" w:eastAsia="游ゴシック"/>
                <w:sz w:val="18"/>
              </w:rPr>
              <w:t>第9期計画の在宅介護実態調査（回答37人）・在宅生活改善調査（同45人）について、計画本文が記述した15項目の差分を検定したところ、統計的に有意なのは3項目のみでした。第10期では信頼区間又は「統計的な差は確認できない」旨の併記を提案いたしま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(4)は第1回委員会での協議事項として資料に反映いたします。２の1〜9は事務局にてご確認のうえ、回答欄にご記入いただくか、口頭でも差し支えありません。３の資料は受領次第、計画素案・図表集へ反映いたし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