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游ゴシック" w:hAnsi="游ゴシック" w:eastAsia="游ゴシック"/>
          <w:b w:val="0"/>
          <w:sz w:val="22"/>
        </w:rPr>
        <w:t>大 雪 地 区 広 域 連 合　御中</w:t>
      </w:r>
    </w:p>
    <w:p>
      <w:pPr>
        <w:spacing w:after="40" w:before="0"/>
        <w:jc w:val="center"/>
      </w:pPr>
      <w:r>
        <w:rPr>
          <w:rFonts w:ascii="游ゴシック" w:hAnsi="游ゴシック" w:eastAsia="游ゴシック"/>
          <w:b w:val="0"/>
          <w:sz w:val="24"/>
        </w:rPr>
        <w:t>第10期介護保険事業計画策定支援業務</w:t>
      </w:r>
    </w:p>
    <w:p>
      <w:pPr>
        <w:spacing w:after="120" w:before="0"/>
        <w:jc w:val="center"/>
      </w:pPr>
      <w:r>
        <w:rPr>
          <w:rFonts w:ascii="游ゴシック" w:hAnsi="游ゴシック" w:eastAsia="游ゴシック"/>
          <w:b/>
          <w:color w:val="1F3864"/>
          <w:sz w:val="34"/>
        </w:rPr>
        <w:t>キックオフ会議　ヒアリングシート</w:t>
      </w:r>
    </w:p>
    <w:p>
      <w:pPr>
        <w:spacing w:after="200" w:before="0"/>
        <w:jc w:val="right"/>
      </w:pPr>
      <w:r>
        <w:rPr>
          <w:rFonts w:ascii="游ゴシック" w:hAnsi="游ゴシック" w:eastAsia="游ゴシック"/>
          <w:b w:val="0"/>
          <w:sz w:val="20"/>
        </w:rPr>
        <w:t>令和8年7月31日</w:t>
      </w:r>
    </w:p>
    <w:tbl>
      <w:tblPr>
        <w:tblStyle w:val="TableGrid"/>
        <w:tblW w:type="auto" w:w="0"/>
        <w:tblLook w:firstColumn="1" w:firstRow="1" w:lastColumn="0" w:lastRow="0" w:noHBand="0" w:noVBand="1" w:val="04A0"/>
      </w:tblPr>
      <w:tblGrid>
        <w:gridCol w:w="2466"/>
        <w:gridCol w:w="2466"/>
        <w:gridCol w:w="2466"/>
        <w:gridCol w:w="2466"/>
      </w:tblGrid>
      <w:tr>
        <w:tc>
          <w:tcPr>
            <w:tcW w:type="dxa" w:w="1928"/>
            <w:shd w:val="clear" w:fill="F2F2F2"/>
          </w:tcPr>
          <w:p>
            <w:pPr>
              <w:spacing w:after="20" w:before="20"/>
            </w:pPr>
            <w:r/>
            <w:r>
              <w:rPr>
                <w:rFonts w:ascii="游ゴシック" w:hAnsi="游ゴシック" w:eastAsia="游ゴシック"/>
                <w:b/>
                <w:sz w:val="19"/>
              </w:rPr>
              <w:t>会議日時</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場所</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出席者（発注者）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出席者（受託者）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9"/>
              </w:rPr>
              <w:t>記録者</w:t>
            </w:r>
          </w:p>
        </w:tc>
        <w:tc>
          <w:tcPr>
            <w:tcW w:type="dxa" w:w="3175"/>
          </w:tcPr>
          <w:p>
            <w:pPr>
              <w:spacing w:after="20" w:before="20"/>
            </w:pPr>
            <w:r/>
            <w:r>
              <w:rPr>
                <w:rFonts w:ascii="游ゴシック" w:hAnsi="游ゴシック" w:eastAsia="游ゴシック"/>
                <w:b w:val="0"/>
                <w:sz w:val="19"/>
              </w:rPr>
            </w:r>
          </w:p>
        </w:tc>
        <w:tc>
          <w:tcPr>
            <w:tcW w:type="dxa" w:w="1928"/>
          </w:tcPr>
          <w:p>
            <w:pPr>
              <w:spacing w:after="20" w:before="20"/>
            </w:pPr>
            <w:r/>
            <w:r>
              <w:rPr>
                <w:rFonts w:ascii="游ゴシック" w:hAnsi="游ゴシック" w:eastAsia="游ゴシック"/>
                <w:b w:val="0"/>
                <w:sz w:val="19"/>
              </w:rPr>
            </w:r>
          </w:p>
        </w:tc>
        <w:tc>
          <w:tcPr>
            <w:tcW w:type="dxa" w:w="2721"/>
          </w:tcPr>
          <w:p>
            <w:pPr>
              <w:spacing w:after="20" w:before="20"/>
            </w:pPr>
            <w:r/>
            <w:r>
              <w:rPr>
                <w:rFonts w:ascii="游ゴシック" w:hAnsi="游ゴシック" w:eastAsia="游ゴシック"/>
                <w:b w:val="0"/>
                <w:sz w:val="19"/>
              </w:rPr>
            </w:r>
          </w:p>
        </w:tc>
      </w:tr>
    </w:tbl>
    <w:p>
      <w:pPr>
        <w:spacing w:after="120"/>
      </w:pPr>
    </w:p>
    <w:p>
      <w:pPr>
        <w:spacing w:after="40" w:before="0"/>
      </w:pPr>
      <w:r>
        <w:rPr>
          <w:rFonts w:ascii="游ゴシック" w:hAnsi="游ゴシック" w:eastAsia="游ゴシック"/>
          <w:b w:val="0"/>
          <w:sz w:val="20"/>
        </w:rPr>
        <w:t>本シートは、キックオフ会議でご確認・ご決定いただきたい事項を12項目に整理したものです。</w:t>
      </w:r>
    </w:p>
    <w:p>
      <w:pPr>
        <w:spacing w:after="120" w:before="0"/>
      </w:pPr>
      <w:r>
        <w:rPr>
          <w:rFonts w:ascii="游ゴシック" w:hAnsi="游ゴシック" w:eastAsia="游ゴシック"/>
          <w:b w:val="0"/>
          <w:sz w:val="20"/>
        </w:rPr>
        <w:t>会議資料の青枠（調査結果の反映に関して確認したい事項、原稿レビューの基本ルール）及び12章の確認事項を統合し、その場でご記入いただける形式としました。ご記入いただいた内容は、そのまま議事の記録となります。</w:t>
      </w:r>
    </w:p>
    <w:p>
      <w:pPr>
        <w:spacing w:after="60" w:before="0"/>
      </w:pPr>
      <w:r>
        <w:rPr>
          <w:rFonts w:ascii="游ゴシック" w:hAnsi="游ゴシック" w:eastAsia="游ゴシック"/>
          <w:b/>
          <w:color w:val="1F3864"/>
          <w:sz w:val="22"/>
        </w:rPr>
        <w:t>【進め方の案】</w:t>
      </w:r>
    </w:p>
    <w:tbl>
      <w:tblPr>
        <w:tblStyle w:val="TableGrid"/>
        <w:tblW w:type="auto" w:w="0"/>
        <w:tblLook w:firstColumn="1" w:firstRow="1" w:lastColumn="0" w:lastRow="0" w:noHBand="0" w:noVBand="1" w:val="04A0"/>
      </w:tblPr>
      <w:tblGrid>
        <w:gridCol w:w="2466"/>
        <w:gridCol w:w="2466"/>
        <w:gridCol w:w="2466"/>
        <w:gridCol w:w="2466"/>
      </w:tblGrid>
      <w:tr>
        <w:tc>
          <w:tcPr>
            <w:tcW w:type="dxa" w:w="680"/>
            <w:shd w:val="clear" w:fill="4472C4"/>
          </w:tcPr>
          <w:p>
            <w:pPr>
              <w:spacing w:after="20" w:before="20"/>
            </w:pPr>
            <w:r/>
            <w:r>
              <w:rPr>
                <w:rFonts w:ascii="游ゴシック" w:hAnsi="游ゴシック" w:eastAsia="游ゴシック"/>
                <w:b/>
                <w:color w:val="FFFFFF"/>
                <w:sz w:val="18"/>
              </w:rPr>
              <w:t>順</w:t>
            </w:r>
          </w:p>
        </w:tc>
        <w:tc>
          <w:tcPr>
            <w:tcW w:type="dxa" w:w="3969"/>
            <w:shd w:val="clear" w:fill="4472C4"/>
          </w:tcPr>
          <w:p>
            <w:pPr>
              <w:spacing w:after="20" w:before="20"/>
            </w:pPr>
            <w:r/>
            <w:r>
              <w:rPr>
                <w:rFonts w:ascii="游ゴシック" w:hAnsi="游ゴシック" w:eastAsia="游ゴシック"/>
                <w:b/>
                <w:color w:val="FFFFFF"/>
                <w:sz w:val="18"/>
              </w:rPr>
              <w:t>内容</w:t>
            </w:r>
          </w:p>
        </w:tc>
        <w:tc>
          <w:tcPr>
            <w:tcW w:type="dxa" w:w="2835"/>
            <w:shd w:val="clear" w:fill="4472C4"/>
          </w:tcPr>
          <w:p>
            <w:pPr>
              <w:spacing w:after="20" w:before="20"/>
            </w:pPr>
            <w:r/>
            <w:r>
              <w:rPr>
                <w:rFonts w:ascii="游ゴシック" w:hAnsi="游ゴシック" w:eastAsia="游ゴシック"/>
                <w:b/>
                <w:color w:val="FFFFFF"/>
                <w:sz w:val="18"/>
              </w:rPr>
              <w:t>対象</w:t>
            </w:r>
          </w:p>
        </w:tc>
        <w:tc>
          <w:tcPr>
            <w:tcW w:type="dxa" w:w="2268"/>
            <w:shd w:val="clear" w:fill="4472C4"/>
          </w:tcPr>
          <w:p>
            <w:pPr>
              <w:spacing w:after="20" w:before="20"/>
            </w:pPr>
            <w:r/>
            <w:r>
              <w:rPr>
                <w:rFonts w:ascii="游ゴシック" w:hAnsi="游ゴシック" w:eastAsia="游ゴシック"/>
                <w:b/>
                <w:color w:val="FFFFFF"/>
                <w:sz w:val="18"/>
              </w:rPr>
              <w:t>所要</w:t>
            </w:r>
          </w:p>
        </w:tc>
      </w:tr>
      <w:tr>
        <w:tc>
          <w:tcPr>
            <w:tcW w:type="dxa" w:w="680"/>
          </w:tcPr>
          <w:p>
            <w:pPr>
              <w:spacing w:after="20" w:before="20"/>
            </w:pPr>
            <w:r/>
            <w:r>
              <w:rPr>
                <w:rFonts w:ascii="游ゴシック" w:hAnsi="游ゴシック" w:eastAsia="游ゴシック"/>
                <w:b w:val="0"/>
                <w:sz w:val="18"/>
              </w:rPr>
              <w:t>1</w:t>
            </w:r>
          </w:p>
        </w:tc>
        <w:tc>
          <w:tcPr>
            <w:tcW w:type="dxa" w:w="3969"/>
          </w:tcPr>
          <w:p>
            <w:pPr>
              <w:spacing w:after="20" w:before="20"/>
            </w:pPr>
            <w:r/>
            <w:r>
              <w:rPr>
                <w:rFonts w:ascii="游ゴシック" w:hAnsi="游ゴシック" w:eastAsia="游ゴシック"/>
                <w:b w:val="0"/>
                <w:sz w:val="18"/>
              </w:rPr>
              <w:t>業務範囲の確認</w:t>
            </w:r>
          </w:p>
        </w:tc>
        <w:tc>
          <w:tcPr>
            <w:tcW w:type="dxa" w:w="2835"/>
          </w:tcPr>
          <w:p>
            <w:pPr>
              <w:spacing w:after="20" w:before="20"/>
            </w:pPr>
            <w:r/>
            <w:r>
              <w:rPr>
                <w:rFonts w:ascii="游ゴシック" w:hAnsi="游ゴシック" w:eastAsia="游ゴシック"/>
                <w:b w:val="0"/>
                <w:sz w:val="18"/>
              </w:rPr>
              <w:t>項目1</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2</w:t>
            </w:r>
          </w:p>
        </w:tc>
        <w:tc>
          <w:tcPr>
            <w:tcW w:type="dxa" w:w="3969"/>
          </w:tcPr>
          <w:p>
            <w:pPr>
              <w:spacing w:after="20" w:before="20"/>
            </w:pPr>
            <w:r/>
            <w:r>
              <w:rPr>
                <w:rFonts w:ascii="游ゴシック" w:hAnsi="游ゴシック" w:eastAsia="游ゴシック"/>
                <w:b w:val="0"/>
                <w:sz w:val="18"/>
              </w:rPr>
              <w:t>日程の確定</w:t>
            </w:r>
          </w:p>
        </w:tc>
        <w:tc>
          <w:tcPr>
            <w:tcW w:type="dxa" w:w="2835"/>
          </w:tcPr>
          <w:p>
            <w:pPr>
              <w:spacing w:after="20" w:before="20"/>
            </w:pPr>
            <w:r/>
            <w:r>
              <w:rPr>
                <w:rFonts w:ascii="游ゴシック" w:hAnsi="游ゴシック" w:eastAsia="游ゴシック"/>
                <w:b w:val="0"/>
                <w:sz w:val="18"/>
              </w:rPr>
              <w:t>項目2</w:t>
            </w:r>
          </w:p>
        </w:tc>
        <w:tc>
          <w:tcPr>
            <w:tcW w:type="dxa" w:w="2268"/>
          </w:tcPr>
          <w:p>
            <w:pPr>
              <w:spacing w:after="20" w:before="20"/>
            </w:pPr>
            <w:r/>
            <w:r>
              <w:rPr>
                <w:rFonts w:ascii="游ゴシック" w:hAnsi="游ゴシック" w:eastAsia="游ゴシック"/>
                <w:b w:val="0"/>
                <w:sz w:val="18"/>
              </w:rPr>
              <w:t>10分</w:t>
            </w:r>
          </w:p>
        </w:tc>
      </w:tr>
      <w:tr>
        <w:tc>
          <w:tcPr>
            <w:tcW w:type="dxa" w:w="680"/>
          </w:tcPr>
          <w:p>
            <w:pPr>
              <w:spacing w:after="20" w:before="20"/>
            </w:pPr>
            <w:r/>
            <w:r>
              <w:rPr>
                <w:rFonts w:ascii="游ゴシック" w:hAnsi="游ゴシック" w:eastAsia="游ゴシック"/>
                <w:b w:val="0"/>
                <w:sz w:val="18"/>
              </w:rPr>
              <w:t>3</w:t>
            </w:r>
          </w:p>
        </w:tc>
        <w:tc>
          <w:tcPr>
            <w:tcW w:type="dxa" w:w="3969"/>
          </w:tcPr>
          <w:p>
            <w:pPr>
              <w:spacing w:after="20" w:before="20"/>
            </w:pPr>
            <w:r/>
            <w:r>
              <w:rPr>
                <w:rFonts w:ascii="游ゴシック" w:hAnsi="游ゴシック" w:eastAsia="游ゴシック"/>
                <w:b w:val="0"/>
                <w:sz w:val="18"/>
              </w:rPr>
              <w:t>資料の提供時期</w:t>
            </w:r>
          </w:p>
        </w:tc>
        <w:tc>
          <w:tcPr>
            <w:tcW w:type="dxa" w:w="2835"/>
          </w:tcPr>
          <w:p>
            <w:pPr>
              <w:spacing w:after="20" w:before="20"/>
            </w:pPr>
            <w:r/>
            <w:r>
              <w:rPr>
                <w:rFonts w:ascii="游ゴシック" w:hAnsi="游ゴシック" w:eastAsia="游ゴシック"/>
                <w:b w:val="0"/>
                <w:sz w:val="18"/>
              </w:rPr>
              <w:t>項目3・4・5</w:t>
            </w:r>
          </w:p>
        </w:tc>
        <w:tc>
          <w:tcPr>
            <w:tcW w:type="dxa" w:w="2268"/>
          </w:tcPr>
          <w:p>
            <w:pPr>
              <w:spacing w:after="20" w:before="20"/>
            </w:pPr>
            <w:r/>
            <w:r>
              <w:rPr>
                <w:rFonts w:ascii="游ゴシック" w:hAnsi="游ゴシック" w:eastAsia="游ゴシック"/>
                <w:b w:val="0"/>
                <w:sz w:val="18"/>
              </w:rPr>
              <w:t>15分</w:t>
            </w:r>
          </w:p>
        </w:tc>
      </w:tr>
      <w:tr>
        <w:tc>
          <w:tcPr>
            <w:tcW w:type="dxa" w:w="680"/>
          </w:tcPr>
          <w:p>
            <w:pPr>
              <w:spacing w:after="20" w:before="20"/>
            </w:pPr>
            <w:r/>
            <w:r>
              <w:rPr>
                <w:rFonts w:ascii="游ゴシック" w:hAnsi="游ゴシック" w:eastAsia="游ゴシック"/>
                <w:b w:val="0"/>
                <w:sz w:val="18"/>
              </w:rPr>
              <w:t>4</w:t>
            </w:r>
          </w:p>
        </w:tc>
        <w:tc>
          <w:tcPr>
            <w:tcW w:type="dxa" w:w="3969"/>
          </w:tcPr>
          <w:p>
            <w:pPr>
              <w:spacing w:after="20" w:before="20"/>
            </w:pPr>
            <w:r/>
            <w:r>
              <w:rPr>
                <w:rFonts w:ascii="游ゴシック" w:hAnsi="游ゴシック" w:eastAsia="游ゴシック"/>
                <w:b w:val="0"/>
                <w:sz w:val="18"/>
              </w:rPr>
              <w:t>推計と掲載の決定</w:t>
            </w:r>
          </w:p>
        </w:tc>
        <w:tc>
          <w:tcPr>
            <w:tcW w:type="dxa" w:w="2835"/>
          </w:tcPr>
          <w:p>
            <w:pPr>
              <w:spacing w:after="20" w:before="20"/>
            </w:pPr>
            <w:r/>
            <w:r>
              <w:rPr>
                <w:rFonts w:ascii="游ゴシック" w:hAnsi="游ゴシック" w:eastAsia="游ゴシック"/>
                <w:b w:val="0"/>
                <w:sz w:val="18"/>
              </w:rPr>
              <w:t>項目6・7</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5</w:t>
            </w:r>
          </w:p>
        </w:tc>
        <w:tc>
          <w:tcPr>
            <w:tcW w:type="dxa" w:w="3969"/>
          </w:tcPr>
          <w:p>
            <w:pPr>
              <w:spacing w:after="20" w:before="20"/>
            </w:pPr>
            <w:r/>
            <w:r>
              <w:rPr>
                <w:rFonts w:ascii="游ゴシック" w:hAnsi="游ゴシック" w:eastAsia="游ゴシック"/>
                <w:b w:val="0"/>
                <w:sz w:val="18"/>
              </w:rPr>
              <w:t>指標・調査・個人情報</w:t>
            </w:r>
          </w:p>
        </w:tc>
        <w:tc>
          <w:tcPr>
            <w:tcW w:type="dxa" w:w="2835"/>
          </w:tcPr>
          <w:p>
            <w:pPr>
              <w:spacing w:after="20" w:before="20"/>
            </w:pPr>
            <w:r/>
            <w:r>
              <w:rPr>
                <w:rFonts w:ascii="游ゴシック" w:hAnsi="游ゴシック" w:eastAsia="游ゴシック"/>
                <w:b w:val="0"/>
                <w:sz w:val="18"/>
              </w:rPr>
              <w:t>項目8・9・10</w:t>
            </w:r>
          </w:p>
        </w:tc>
        <w:tc>
          <w:tcPr>
            <w:tcW w:type="dxa" w:w="2268"/>
          </w:tcPr>
          <w:p>
            <w:pPr>
              <w:spacing w:after="20" w:before="20"/>
            </w:pPr>
            <w:r/>
            <w:r>
              <w:rPr>
                <w:rFonts w:ascii="游ゴシック" w:hAnsi="游ゴシック" w:eastAsia="游ゴシック"/>
                <w:b w:val="0"/>
                <w:sz w:val="18"/>
              </w:rPr>
              <w:t>20分</w:t>
            </w:r>
          </w:p>
        </w:tc>
      </w:tr>
      <w:tr>
        <w:tc>
          <w:tcPr>
            <w:tcW w:type="dxa" w:w="680"/>
          </w:tcPr>
          <w:p>
            <w:pPr>
              <w:spacing w:after="20" w:before="20"/>
            </w:pPr>
            <w:r/>
            <w:r>
              <w:rPr>
                <w:rFonts w:ascii="游ゴシック" w:hAnsi="游ゴシック" w:eastAsia="游ゴシック"/>
                <w:b w:val="0"/>
                <w:sz w:val="18"/>
              </w:rPr>
              <w:t>6</w:t>
            </w:r>
          </w:p>
        </w:tc>
        <w:tc>
          <w:tcPr>
            <w:tcW w:type="dxa" w:w="3969"/>
          </w:tcPr>
          <w:p>
            <w:pPr>
              <w:spacing w:after="20" w:before="20"/>
            </w:pPr>
            <w:r/>
            <w:r>
              <w:rPr>
                <w:rFonts w:ascii="游ゴシック" w:hAnsi="游ゴシック" w:eastAsia="游ゴシック"/>
                <w:b w:val="0"/>
                <w:sz w:val="18"/>
              </w:rPr>
              <w:t>運用と成果品</w:t>
            </w:r>
          </w:p>
        </w:tc>
        <w:tc>
          <w:tcPr>
            <w:tcW w:type="dxa" w:w="2835"/>
          </w:tcPr>
          <w:p>
            <w:pPr>
              <w:spacing w:after="20" w:before="20"/>
            </w:pPr>
            <w:r/>
            <w:r>
              <w:rPr>
                <w:rFonts w:ascii="游ゴシック" w:hAnsi="游ゴシック" w:eastAsia="游ゴシック"/>
                <w:b w:val="0"/>
                <w:sz w:val="18"/>
              </w:rPr>
              <w:t>項目11・12</w:t>
            </w:r>
          </w:p>
        </w:tc>
        <w:tc>
          <w:tcPr>
            <w:tcW w:type="dxa" w:w="2268"/>
          </w:tcPr>
          <w:p>
            <w:pPr>
              <w:spacing w:after="20" w:before="20"/>
            </w:pPr>
            <w:r/>
            <w:r>
              <w:rPr>
                <w:rFonts w:ascii="游ゴシック" w:hAnsi="游ゴシック" w:eastAsia="游ゴシック"/>
                <w:b w:val="0"/>
                <w:sz w:val="18"/>
              </w:rPr>
              <w:t>10分</w:t>
            </w:r>
          </w:p>
        </w:tc>
      </w:tr>
    </w:tbl>
    <w:p>
      <w:pPr>
        <w:spacing w:after="80"/>
      </w:pPr>
    </w:p>
    <w:p>
      <w:pPr>
        <w:spacing w:after="0" w:before="0"/>
      </w:pPr>
      <w:r>
        <w:rPr>
          <w:rFonts w:ascii="游ゴシック" w:hAnsi="游ゴシック" w:eastAsia="游ゴシック"/>
          <w:b w:val="0"/>
          <w:sz w:val="18"/>
        </w:rPr>
        <w:t>※ 合計90分です。時間が限られる場合は、項目1・2・7を優先してください。この3件はいずれも他の作業の前提となります。</w:t>
      </w:r>
    </w:p>
    <w:p>
      <w:r>
        <w:br w:type="page"/>
      </w: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w:t>
            </w:r>
          </w:p>
          <w:p>
            <w:pPr>
              <w:spacing w:after="20" w:before="0"/>
            </w:pPr>
            <w:r>
              <w:rPr>
                <w:rFonts w:ascii="游ゴシック" w:hAnsi="游ゴシック" w:eastAsia="游ゴシック"/>
                <w:b/>
                <w:color w:val="FFFFFF"/>
                <w:sz w:val="20"/>
              </w:rPr>
              <w:t>業務範囲</w:t>
            </w:r>
          </w:p>
        </w:tc>
        <w:tc>
          <w:tcPr>
            <w:tcW w:type="dxa" w:w="7824"/>
            <w:shd w:val="clear" w:fill="DEEBF7"/>
          </w:tcPr>
          <w:p>
            <w:pPr>
              <w:spacing w:after="20" w:before="20"/>
            </w:pPr>
            <w:r/>
            <w:r>
              <w:rPr>
                <w:rFonts w:ascii="游ゴシック" w:hAnsi="游ゴシック" w:eastAsia="游ゴシック"/>
                <w:b/>
                <w:sz w:val="22"/>
              </w:rPr>
              <w:t>事業所実態調査の実施の要否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キックオフ会議資料では、事業所実態調査を「設計案作成済・実施前」とし、調査票・対象事業所・回収方法の確定から集計までを工程に組み込んでいます。</w:t>
            </w:r>
          </w:p>
          <w:p>
            <w:pPr>
              <w:spacing w:after="20" w:before="0"/>
            </w:pPr>
            <w:r>
              <w:rPr>
                <w:rFonts w:ascii="游ゴシック" w:hAnsi="游ゴシック" w:eastAsia="游ゴシック"/>
                <w:b w:val="0"/>
                <w:sz w:val="19"/>
              </w:rPr>
              <w:t>一方、業務仕様書４（3）が定める対象は、①在宅生活改善調査、②居所変更実態調査、③介護人材実態調査、④健康とくらしの調査の4調査であり、「新たなアンケート調査の企画、設計、配布、回収、入力及び督促は行わない」と定められています。</w:t>
            </w:r>
          </w:p>
          <w:p>
            <w:pPr>
              <w:spacing w:after="20" w:before="0"/>
            </w:pPr>
            <w:r>
              <w:rPr>
                <w:rFonts w:ascii="游ゴシック" w:hAnsi="游ゴシック" w:eastAsia="游ゴシック"/>
                <w:b w:val="0"/>
                <w:sz w:val="19"/>
              </w:rPr>
              <w:t>実施の要否と、実施する場合の取扱いをご確認ください。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実施しない（既存4調査と行政データで代替する）</w:t>
            </w:r>
          </w:p>
          <w:p>
            <w:pPr>
              <w:spacing w:after="20" w:before="0"/>
            </w:pPr>
            <w:r>
              <w:rPr>
                <w:rFonts w:ascii="游ゴシック" w:hAnsi="游ゴシック" w:eastAsia="游ゴシック"/>
                <w:b w:val="0"/>
                <w:sz w:val="19"/>
              </w:rPr>
              <w:t>□　実施する（業務範囲の追加として別途協議する）</w:t>
            </w:r>
          </w:p>
          <w:p>
            <w:pPr>
              <w:spacing w:after="20" w:before="0"/>
            </w:pPr>
            <w:r>
              <w:rPr>
                <w:rFonts w:ascii="游ゴシック" w:hAnsi="游ゴシック" w:eastAsia="游ゴシック"/>
                <w:b w:val="0"/>
                <w:sz w:val="19"/>
              </w:rPr>
              <w:t>□　発注者において実施し、受託者は集計・分析のみを行う</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供給可能量、受入困難、休廃止・縮小意向、ICT、BCPの把握手段が定まりません。代表KPIのH07（介護者の負担）・H08（就労との両立）・H12（必要サービス未充足率）・H16（災害感染症時の継続率）のデータ源も決まり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表4段階3・表8・表10・表16・表17・表18①・青枠 表9／確認事項No.4／点検結果 修正No.1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項目2</w:t>
            </w:r>
          </w:p>
          <w:p>
            <w:pPr>
              <w:spacing w:after="20" w:before="0"/>
            </w:pPr>
            <w:r>
              <w:rPr>
                <w:rFonts w:ascii="游ゴシック" w:hAnsi="游ゴシック" w:eastAsia="游ゴシック"/>
                <w:b/>
                <w:color w:val="FFFFFF"/>
                <w:sz w:val="20"/>
              </w:rPr>
              <w:t>日程</w:t>
            </w:r>
          </w:p>
        </w:tc>
        <w:tc>
          <w:tcPr>
            <w:tcW w:type="dxa" w:w="7824"/>
            <w:shd w:val="clear" w:fill="DEEBF7"/>
          </w:tcPr>
          <w:p>
            <w:pPr>
              <w:spacing w:after="20" w:before="20"/>
            </w:pPr>
            <w:r/>
            <w:r>
              <w:rPr>
                <w:rFonts w:ascii="游ゴシック" w:hAnsi="游ゴシック" w:eastAsia="游ゴシック"/>
                <w:b/>
                <w:sz w:val="22"/>
              </w:rPr>
              <w:t>介護保険事業計画策定委員会の開催日程</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第1回から最終回までの開催日、各回の審議事項、資料の提出期限、委員の構成と人数をご確認ください。</w:t>
            </w:r>
          </w:p>
          <w:p>
            <w:pPr>
              <w:spacing w:after="20" w:before="0"/>
            </w:pPr>
            <w:r>
              <w:rPr>
                <w:rFonts w:ascii="游ゴシック" w:hAnsi="游ゴシック" w:eastAsia="游ゴシック"/>
                <w:b w:val="0"/>
                <w:sz w:val="19"/>
              </w:rPr>
              <w:t>現在、仕様書４（8）各種会議への技術的支援の進捗は0.10であり、日程が未確定のため資料原案の作成に着手できていません。</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8）に着手できません。策定委員会に付議する5件（施設整備方針、圏域設定、給付水準の評価の枠組み、代表KPIの評価表現、給付費の地域内還流）の整理もできません。パブリックコメントの実施期間（令和9年1月）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日程No.1／点検結果 修正No.9</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項目3</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令和6〜8年度の施策・事業実績の提供時期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第9期のプロセス評価（事業が計画どおり実施されたか）に必要な資料です。実績、事業量、対象実人数、予算・決算をご提供ください。</w:t>
            </w:r>
          </w:p>
          <w:p>
            <w:pPr>
              <w:spacing w:after="20" w:before="0"/>
            </w:pPr>
            <w:r>
              <w:rPr>
                <w:rFonts w:ascii="游ゴシック" w:hAnsi="游ゴシック" w:eastAsia="游ゴシック"/>
                <w:b w:val="0"/>
                <w:sz w:val="19"/>
              </w:rPr>
              <w:t>あわせて、評価区分（達成・概ね達成・未達・評価不能）の考え方と、把握できていない事項の扱いをご確認ください。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一部のみ提供できる（範囲を記入欄に記載）</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仕様書４（2）の第9期評価が完了しません。第3章の施策単位の達成・未達の判定ができず、現時点の評価は計画記載事項の構造評価にとどまります。計画骨子案（令和8年10月）の前提でもあります。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表17・表18②／必要事項の一覧 資料No.1</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項目4</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3調査の第10期分の提供時期</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在宅生活改善調査、居所変更実態調査、介護人材実態調査の第10期分について、調査票、回答データ、集計資料、分析資料、報告書をご提供ください。</w:t>
            </w:r>
          </w:p>
          <w:p>
            <w:pPr>
              <w:spacing w:after="20" w:before="0"/>
            </w:pPr>
            <w:r>
              <w:rPr>
                <w:rFonts w:ascii="游ゴシック" w:hAnsi="游ゴシック" w:eastAsia="游ゴシック"/>
                <w:b w:val="0"/>
                <w:sz w:val="19"/>
              </w:rPr>
              <w:t>現在は、第9期計画に掲載された令和5年5月25日実施分を再整理した段階です。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第10期分は実施していない（令和5年分のみ）</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仕様書４（3）が完了しません。代表KPI H06（在宅生活継続困難割合）・H11（供給不足を理由とする住替え割合）・H13・H14（人材の確保と定着）の基準値が令和5年調査のままとなります。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資料No.2／業務工程管理表 05シート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項目5</w:t>
            </w:r>
          </w:p>
          <w:p>
            <w:pPr>
              <w:spacing w:after="20" w:before="0"/>
            </w:pPr>
            <w:r>
              <w:rPr>
                <w:rFonts w:ascii="游ゴシック" w:hAnsi="游ゴシック" w:eastAsia="游ゴシック"/>
                <w:b/>
                <w:color w:val="FFFFFF"/>
                <w:sz w:val="20"/>
              </w:rPr>
              <w:t>資料</w:t>
            </w:r>
          </w:p>
        </w:tc>
        <w:tc>
          <w:tcPr>
            <w:tcW w:type="dxa" w:w="7824"/>
            <w:shd w:val="clear" w:fill="DEEBF7"/>
          </w:tcPr>
          <w:p>
            <w:pPr>
              <w:spacing w:after="20" w:before="20"/>
            </w:pPr>
            <w:r/>
            <w:r>
              <w:rPr>
                <w:rFonts w:ascii="游ゴシック" w:hAnsi="游ゴシック" w:eastAsia="游ゴシック"/>
                <w:b/>
                <w:sz w:val="22"/>
              </w:rPr>
              <w:t>要介護度別認定者数の実績</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令和元年度から令和8年度までの各年3月末について、要支援1・2、要介護1〜5の別の認定者数をご提供ください。</w:t>
            </w:r>
          </w:p>
          <w:p>
            <w:pPr>
              <w:spacing w:after="20" w:before="0"/>
            </w:pPr>
            <w:r>
              <w:rPr>
                <w:rFonts w:ascii="游ゴシック" w:hAnsi="游ゴシック" w:eastAsia="游ゴシック"/>
                <w:b w:val="0"/>
                <w:sz w:val="19"/>
              </w:rPr>
              <w:t>認定者数の合計は将来推計の第1段階で推計済みです（令和11年度2,004〜2,112人）。サービス見込量は要介護度別の利用率により算定するため、内訳がないと第2段階に進めません。</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令和8年8月中に提供できる</w:t>
            </w:r>
          </w:p>
          <w:p>
            <w:pPr>
              <w:spacing w:after="20" w:before="0"/>
            </w:pPr>
            <w:r>
              <w:rPr>
                <w:rFonts w:ascii="游ゴシック" w:hAnsi="游ゴシック" w:eastAsia="游ゴシック"/>
                <w:b w:val="0"/>
                <w:sz w:val="19"/>
              </w:rPr>
              <w:t>□　令和8年9月中に提供できる</w:t>
            </w:r>
          </w:p>
          <w:p>
            <w:pPr>
              <w:spacing w:after="20" w:before="0"/>
            </w:pPr>
            <w:r>
              <w:rPr>
                <w:rFonts w:ascii="游ゴシック" w:hAnsi="游ゴシック" w:eastAsia="游ゴシック"/>
                <w:b w:val="0"/>
                <w:sz w:val="19"/>
              </w:rPr>
              <w:t>□　見える化システムからの出力で代替できる</w:t>
            </w:r>
          </w:p>
          <w:p>
            <w:pPr>
              <w:spacing w:after="20" w:before="0"/>
            </w:pPr>
            <w:r>
              <w:rPr>
                <w:rFonts w:ascii="游ゴシック" w:hAnsi="游ゴシック" w:eastAsia="游ゴシック"/>
                <w:b w:val="0"/>
                <w:sz w:val="19"/>
              </w:rPr>
              <w:t>□　提供時期は後日連絡する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将来推計の第2段階（サービス見込量）に進めません。第6章第2節（見込量）・第3節（給付費）が算定できず、第6節（保険料）にも到達しません。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資料No.14／将来推計 07シートNo.2</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項目6</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階級別認定率のシナリオの選択</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人口推計の基礎を社人研推計とすることは令和8年7月30日にご決定いただきました。次に、階級別認定率の置き方をご決定ください。</w:t>
            </w:r>
          </w:p>
          <w:p>
            <w:pPr>
              <w:spacing w:after="20" w:before="0"/>
            </w:pPr>
            <w:r>
              <w:rPr>
                <w:rFonts w:ascii="游ゴシック" w:hAnsi="游ゴシック" w:eastAsia="游ゴシック"/>
                <w:b w:val="0"/>
                <w:sz w:val="19"/>
              </w:rPr>
              <w:t>令和11年度の認定者数は、①現状固定2,044人、②トレンド継続2,004人、③令和元年水準へ回帰2,112人となります。第10期の3年間の合計は①6,087人・②5,999人・③6,240人で、最大と最小の差は241人（4.0％）です。</w:t>
            </w:r>
          </w:p>
          <w:p>
            <w:pPr>
              <w:spacing w:after="20" w:before="0"/>
            </w:pPr>
            <w:r>
              <w:rPr>
                <w:rFonts w:ascii="游ゴシック" w:hAnsi="游ゴシック" w:eastAsia="游ゴシック"/>
                <w:b w:val="0"/>
                <w:sz w:val="19"/>
              </w:rPr>
              <w:t>受託者は②を基本とし、③を保険料の安全側の確認として併用することを提案いたします。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② トレンド継続を基本とし、③ を安全側の確認として併用する（受託者の推奨）</w:t>
            </w:r>
          </w:p>
          <w:p>
            <w:pPr>
              <w:spacing w:after="20" w:before="0"/>
            </w:pPr>
            <w:r>
              <w:rPr>
                <w:rFonts w:ascii="游ゴシック" w:hAnsi="游ゴシック" w:eastAsia="游ゴシック"/>
                <w:b w:val="0"/>
                <w:sz w:val="19"/>
              </w:rPr>
              <w:t>□　① 現状固定（自然体推計に相当）を採用する</w:t>
            </w:r>
          </w:p>
          <w:p>
            <w:pPr>
              <w:spacing w:after="20" w:before="0"/>
            </w:pPr>
            <w:r>
              <w:rPr>
                <w:rFonts w:ascii="游ゴシック" w:hAnsi="游ゴシック" w:eastAsia="游ゴシック"/>
                <w:b w:val="0"/>
                <w:sz w:val="19"/>
              </w:rPr>
              <w:t>□　② トレンド継続のみを採用する</w:t>
            </w:r>
          </w:p>
          <w:p>
            <w:pPr>
              <w:spacing w:after="20" w:before="0"/>
            </w:pPr>
            <w:r>
              <w:rPr>
                <w:rFonts w:ascii="游ゴシック" w:hAnsi="游ゴシック" w:eastAsia="游ゴシック"/>
                <w:b w:val="0"/>
                <w:sz w:val="19"/>
              </w:rPr>
              <w:t>□　③ 令和元年水準へ回帰を採用する</w:t>
            </w:r>
          </w:p>
          <w:p>
            <w:pPr>
              <w:spacing w:after="20" w:before="0"/>
            </w:pPr>
            <w:r>
              <w:rPr>
                <w:rFonts w:ascii="游ゴシック" w:hAnsi="游ゴシック" w:eastAsia="游ゴシック"/>
                <w:b w:val="0"/>
                <w:sz w:val="19"/>
              </w:rPr>
              <w:t>□　本日は保留とし、令和8年10月中に決定する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認定者数が1本に確定しません。見込量、給付費、保険料に順に波及するため、令和8年12月の工程（計画素案の確定版）に間に合わなくなります。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方針No.2／将来推計 03・04シート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項目7</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介護サービス自給率（δ）の計画本文への掲載の可否</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見える化システムのδ（介護サービス自給率）を令和8年7月30日に受領し、3町の6区分別の自給率を把握しました（6区分平均で美瑛77.5％・東川67.1％・東神楽63.2％）。</w:t>
            </w:r>
          </w:p>
          <w:p>
            <w:pPr>
              <w:spacing w:after="20" w:before="0"/>
            </w:pPr>
            <w:r>
              <w:rPr>
                <w:rFonts w:ascii="游ゴシック" w:hAnsi="游ゴシック" w:eastAsia="游ゴシック"/>
                <w:b w:val="0"/>
                <w:sz w:val="19"/>
              </w:rPr>
              <w:t>同指標には「本指標は自治体向けのため取り扱いに注意」と明記されています。計画本文及び図表集への掲載の可否をご確認ください。</w:t>
            </w:r>
          </w:p>
          <w:p>
            <w:pPr>
              <w:spacing w:after="20" w:before="0"/>
            </w:pPr>
            <w:r>
              <w:rPr>
                <w:rFonts w:ascii="游ゴシック" w:hAnsi="游ゴシック" w:eastAsia="游ゴシック"/>
                <w:b w:val="0"/>
                <w:sz w:val="19"/>
              </w:rPr>
              <w:t>現在の計画素案は、第2章第3節に「区域内の事業所による給付の割合」として掲載する前提で作成しています。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計画本文及び図表集に掲載してよい</w:t>
            </w:r>
          </w:p>
          <w:p>
            <w:pPr>
              <w:spacing w:after="20" w:before="0"/>
            </w:pPr>
            <w:r>
              <w:rPr>
                <w:rFonts w:ascii="游ゴシック" w:hAnsi="游ゴシック" w:eastAsia="游ゴシック"/>
                <w:b w:val="0"/>
                <w:sz w:val="19"/>
              </w:rPr>
              <w:t>□　計画本文には掲載せず、分析資料にとどめる（本文には所見のみ記述）</w:t>
            </w:r>
          </w:p>
          <w:p>
            <w:pPr>
              <w:spacing w:after="20" w:before="0"/>
            </w:pPr>
            <w:r>
              <w:rPr>
                <w:rFonts w:ascii="游ゴシック" w:hAnsi="游ゴシック" w:eastAsia="游ゴシック"/>
                <w:b w:val="0"/>
                <w:sz w:val="19"/>
              </w:rPr>
              <w:t>□　委員会資料には掲載してよいが、公表する計画には掲載しない</w:t>
            </w:r>
          </w:p>
          <w:p>
            <w:pPr>
              <w:spacing w:after="20" w:before="0"/>
            </w:pPr>
            <w:r>
              <w:rPr>
                <w:rFonts w:ascii="游ゴシック" w:hAnsi="游ゴシック" w:eastAsia="游ゴシック"/>
                <w:b w:val="0"/>
                <w:sz w:val="19"/>
              </w:rPr>
              <w:t>□　北海道又は国に照会したうえで判断する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第2章第3節の構成が決まりません。掲載できない場合は、当該項を分析資料に移し、本文には所見のみを残す形に組み替えます。図表集の構成にも影響します。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方針No.13／地域差の分析 10シート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項目8</w:t>
            </w:r>
          </w:p>
          <w:p>
            <w:pPr>
              <w:spacing w:after="20" w:before="0"/>
            </w:pPr>
            <w:r>
              <w:rPr>
                <w:rFonts w:ascii="游ゴシック" w:hAnsi="游ゴシック" w:eastAsia="游ゴシック"/>
                <w:b/>
                <w:color w:val="FFFFFF"/>
                <w:sz w:val="20"/>
              </w:rPr>
              <w:t>決定</w:t>
            </w:r>
          </w:p>
        </w:tc>
        <w:tc>
          <w:tcPr>
            <w:tcW w:type="dxa" w:w="7824"/>
            <w:shd w:val="clear" w:fill="DEEBF7"/>
          </w:tcPr>
          <w:p>
            <w:pPr>
              <w:spacing w:after="20" w:before="20"/>
            </w:pPr>
            <w:r/>
            <w:r>
              <w:rPr>
                <w:rFonts w:ascii="游ゴシック" w:hAnsi="游ゴシック" w:eastAsia="游ゴシック"/>
                <w:b/>
                <w:sz w:val="22"/>
              </w:rPr>
              <w:t>代表KPIのデータ源と3町との役割分担</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本文KPI12項目＋補完KPI4項目の構造について、次の3点をご確認ください。</w:t>
            </w:r>
          </w:p>
          <w:p>
            <w:pPr>
              <w:spacing w:after="20" w:before="0"/>
            </w:pPr>
            <w:r>
              <w:rPr>
                <w:rFonts w:ascii="游ゴシック" w:hAnsi="游ゴシック" w:eastAsia="游ゴシック"/>
                <w:b w:val="0"/>
                <w:sz w:val="19"/>
              </w:rPr>
              <w:t>① H01の測定指標を見える化W144（性・年齢調整済み要介護2以上認定率・9.25％）とすること。第9稿までのB5-a【注目する地域のみ】18.4％は他地域と比較できないため撤回しました。</w:t>
            </w:r>
          </w:p>
          <w:p>
            <w:pPr>
              <w:spacing w:after="20" w:before="0"/>
            </w:pPr>
            <w:r>
              <w:rPr>
                <w:rFonts w:ascii="游ゴシック" w:hAnsi="游ゴシック" w:eastAsia="游ゴシック"/>
                <w:b w:val="0"/>
                <w:sz w:val="19"/>
              </w:rPr>
              <w:t>② H07・H08・H12・H16は事業所を対象とする調査をデータ源としているため、データ源を確定するか代理指標へ振り替えるか（項目1と連動します）。</w:t>
            </w:r>
          </w:p>
          <w:p>
            <w:pPr>
              <w:spacing w:after="20" w:before="0"/>
            </w:pPr>
            <w:r>
              <w:rPr>
                <w:rFonts w:ascii="游ゴシック" w:hAnsi="游ゴシック" w:eastAsia="游ゴシック"/>
                <w:b w:val="0"/>
                <w:sz w:val="19"/>
              </w:rPr>
              <w:t>③ 3町の高齢者福祉計画への共通KPIの掲載。第9期は東川町のみが事業の数値目標を設定していました。</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①②③とも受託者案のとおりとする</w:t>
            </w:r>
          </w:p>
          <w:p>
            <w:pPr>
              <w:spacing w:after="20" w:before="0"/>
            </w:pPr>
            <w:r>
              <w:rPr>
                <w:rFonts w:ascii="游ゴシック" w:hAnsi="游ゴシック" w:eastAsia="游ゴシック"/>
                <w:b w:val="0"/>
                <w:sz w:val="19"/>
              </w:rPr>
              <w:t>□　①のみ了承。②③は継続協議とする</w:t>
            </w:r>
          </w:p>
          <w:p>
            <w:pPr>
              <w:spacing w:after="20" w:before="0"/>
            </w:pPr>
            <w:r>
              <w:rPr>
                <w:rFonts w:ascii="游ゴシック" w:hAnsi="游ゴシック" w:eastAsia="游ゴシック"/>
                <w:b w:val="0"/>
                <w:sz w:val="19"/>
              </w:rPr>
              <w:t>□　3町との協議を経て決定する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第4章第3節、資料1（代表KPIの定義）、資料2（役割分担）が確定しません。第5章のアウトプット指標の実効性も担保されません。</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表18③・青枠 表7／点検結果 修正No.3</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項目9</w:t>
            </w:r>
          </w:p>
          <w:p>
            <w:pPr>
              <w:spacing w:after="20" w:before="0"/>
            </w:pPr>
            <w:r>
              <w:rPr>
                <w:rFonts w:ascii="游ゴシック" w:hAnsi="游ゴシック" w:eastAsia="游ゴシック"/>
                <w:b/>
                <w:color w:val="FFFFFF"/>
                <w:sz w:val="20"/>
              </w:rPr>
              <w:t>調査データ</w:t>
            </w:r>
          </w:p>
        </w:tc>
        <w:tc>
          <w:tcPr>
            <w:tcW w:type="dxa" w:w="7824"/>
            <w:shd w:val="clear" w:fill="DEEBF7"/>
          </w:tcPr>
          <w:p>
            <w:pPr>
              <w:spacing w:after="20" w:before="20"/>
            </w:pPr>
            <w:r/>
            <w:r>
              <w:rPr>
                <w:rFonts w:ascii="游ゴシック" w:hAnsi="游ゴシック" w:eastAsia="游ゴシック"/>
                <w:b/>
                <w:sz w:val="22"/>
              </w:rPr>
              <w:t>健康とくらしの調査の集計単位と公表範囲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個票4,729票を受領し、小学校区12地区別の集計、年齢調整による地域比較、同規模保険者40との比較まで分析済みです。</w:t>
            </w:r>
          </w:p>
          <w:p>
            <w:pPr>
              <w:spacing w:after="20" w:before="0"/>
            </w:pPr>
            <w:r>
              <w:rPr>
                <w:rFonts w:ascii="游ゴシック" w:hAnsi="游ゴシック" w:eastAsia="游ゴシック"/>
                <w:b w:val="0"/>
                <w:sz w:val="19"/>
              </w:rPr>
              <w:t>次の点をご確認ください。</w:t>
            </w:r>
          </w:p>
          <w:p>
            <w:pPr>
              <w:spacing w:after="20" w:before="0"/>
            </w:pPr>
            <w:r>
              <w:rPr>
                <w:rFonts w:ascii="游ゴシック" w:hAnsi="游ゴシック" w:eastAsia="游ゴシック"/>
                <w:b w:val="0"/>
                <w:sz w:val="19"/>
              </w:rPr>
              <w:t>① 町別・小学校区別の値を計画本文に掲載してよいか</w:t>
            </w:r>
          </w:p>
          <w:p>
            <w:pPr>
              <w:spacing w:after="20" w:before="0"/>
            </w:pPr>
            <w:r>
              <w:rPr>
                <w:rFonts w:ascii="游ゴシック" w:hAnsi="游ゴシック" w:eastAsia="游ゴシック"/>
                <w:b w:val="0"/>
                <w:sz w:val="19"/>
              </w:rPr>
              <w:t>② 回答数が少ない地区の公表基準（何人未満を非公表とするか）</w:t>
            </w:r>
          </w:p>
          <w:p>
            <w:pPr>
              <w:spacing w:after="20" w:before="0"/>
            </w:pPr>
            <w:r>
              <w:rPr>
                <w:rFonts w:ascii="游ゴシック" w:hAnsi="游ゴシック" w:eastAsia="游ゴシック"/>
                <w:b w:val="0"/>
                <w:sz w:val="19"/>
              </w:rPr>
              <w:t>③ 自由記述の取扱い</w:t>
            </w:r>
          </w:p>
          <w:p>
            <w:pPr>
              <w:spacing w:after="20" w:before="0"/>
            </w:pPr>
            <w:r>
              <w:rPr>
                <w:rFonts w:ascii="游ゴシック" w:hAnsi="游ゴシック" w:eastAsia="游ゴシック"/>
                <w:b w:val="0"/>
                <w:sz w:val="19"/>
              </w:rPr>
              <w:t>④ 委員会資料への掲載範囲</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町別・地区別とも掲載してよい</w:t>
            </w:r>
          </w:p>
          <w:p>
            <w:pPr>
              <w:spacing w:after="20" w:before="0"/>
            </w:pPr>
            <w:r>
              <w:rPr>
                <w:rFonts w:ascii="游ゴシック" w:hAnsi="游ゴシック" w:eastAsia="游ゴシック"/>
                <w:b w:val="0"/>
                <w:sz w:val="19"/>
              </w:rPr>
              <w:t>□　町別のみ掲載し、地区別は分析資料にとどめる</w:t>
            </w:r>
          </w:p>
          <w:p>
            <w:pPr>
              <w:spacing w:after="20" w:before="0"/>
            </w:pPr>
            <w:r>
              <w:rPr>
                <w:rFonts w:ascii="游ゴシック" w:hAnsi="游ゴシック" w:eastAsia="游ゴシック"/>
                <w:b w:val="0"/>
                <w:sz w:val="19"/>
              </w:rPr>
              <w:t>□　回答数が一定数未満の地区は非公表とする（基準を記入欄に記載）</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小学校区12地区別の分析結果をどこまで掲載できるかが決まりません。第2章第4節及び第1章第7節（圏域）の記述に影響します。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表9／調査クロス集計・分析</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項目10</w:t>
            </w:r>
          </w:p>
          <w:p>
            <w:pPr>
              <w:spacing w:after="20" w:before="0"/>
            </w:pPr>
            <w:r>
              <w:rPr>
                <w:rFonts w:ascii="游ゴシック" w:hAnsi="游ゴシック" w:eastAsia="游ゴシック"/>
                <w:b/>
                <w:color w:val="FFFFFF"/>
                <w:sz w:val="20"/>
              </w:rPr>
              <w:t>個人情報</w:t>
            </w:r>
          </w:p>
        </w:tc>
        <w:tc>
          <w:tcPr>
            <w:tcW w:type="dxa" w:w="7824"/>
            <w:shd w:val="clear" w:fill="DEEBF7"/>
          </w:tcPr>
          <w:p>
            <w:pPr>
              <w:spacing w:after="20" w:before="20"/>
            </w:pPr>
            <w:r/>
            <w:r>
              <w:rPr>
                <w:rFonts w:ascii="游ゴシック" w:hAnsi="游ゴシック" w:eastAsia="游ゴシック"/>
                <w:b/>
                <w:sz w:val="22"/>
              </w:rPr>
              <w:t>個票データの納品物への収録範囲</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健康とくらしの調査の個票4,729票は受領済みです。個人情報を含むため、成果品には集計値のみを収録し、個票データそのものは納品物に含めない扱いとしています。</w:t>
            </w:r>
          </w:p>
          <w:p>
            <w:pPr>
              <w:spacing w:after="20" w:before="0"/>
            </w:pPr>
            <w:r>
              <w:rPr>
                <w:rFonts w:ascii="游ゴシック" w:hAnsi="游ゴシック" w:eastAsia="游ゴシック"/>
                <w:b w:val="0"/>
                <w:sz w:val="19"/>
              </w:rPr>
              <w:t>この扱いでよいかご確認ください。</w:t>
            </w:r>
          </w:p>
          <w:p>
            <w:pPr>
              <w:spacing w:after="20" w:before="0"/>
            </w:pPr>
            <w:r>
              <w:rPr>
                <w:rFonts w:ascii="游ゴシック" w:hAnsi="游ゴシック" w:eastAsia="游ゴシック"/>
                <w:b w:val="0"/>
                <w:sz w:val="19"/>
              </w:rPr>
              <w:t>あわせて、業務終了後の個票データの取扱い（返却・消去・消去証明の要否）をご確認ください。</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集計値のみを収録する扱いでよい</w:t>
            </w:r>
          </w:p>
          <w:p>
            <w:pPr>
              <w:spacing w:after="20" w:before="0"/>
            </w:pPr>
            <w:r>
              <w:rPr>
                <w:rFonts w:ascii="游ゴシック" w:hAnsi="游ゴシック" w:eastAsia="游ゴシック"/>
                <w:b w:val="0"/>
                <w:sz w:val="19"/>
              </w:rPr>
              <w:t>□　個票データも納品物に含める（保管方法を記入欄に記載）</w:t>
            </w:r>
          </w:p>
          <w:p>
            <w:pPr>
              <w:spacing w:after="20" w:before="0"/>
            </w:pPr>
            <w:r>
              <w:rPr>
                <w:rFonts w:ascii="游ゴシック" w:hAnsi="游ゴシック" w:eastAsia="游ゴシック"/>
                <w:b w:val="0"/>
                <w:sz w:val="19"/>
              </w:rPr>
              <w:t>□　業務終了後に個票データを消去し、消去証明を提出する</w:t>
            </w:r>
          </w:p>
          <w:p>
            <w:pPr>
              <w:spacing w:after="20" w:before="0"/>
            </w:pPr>
            <w:r>
              <w:rPr>
                <w:rFonts w:ascii="游ゴシック" w:hAnsi="游ゴシック" w:eastAsia="游ゴシック"/>
                <w:b w:val="0"/>
                <w:sz w:val="19"/>
              </w:rPr>
              <w:t>□　業務終了後に個票データを返却する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成果品の構成が確定しません。仕様書４（10）の納品物（分析資料、推計資料、図表、クロス集計表等の電子データ）の範囲に関わります。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13章／計画素案の別管理表 成果品No.7</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項目11</w:t>
            </w:r>
          </w:p>
          <w:p>
            <w:pPr>
              <w:spacing w:after="20" w:before="0"/>
            </w:pPr>
            <w:r>
              <w:rPr>
                <w:rFonts w:ascii="游ゴシック" w:hAnsi="游ゴシック" w:eastAsia="游ゴシック"/>
                <w:b/>
                <w:color w:val="FFFFFF"/>
                <w:sz w:val="20"/>
              </w:rPr>
              <w:t>運用</w:t>
            </w:r>
          </w:p>
        </w:tc>
        <w:tc>
          <w:tcPr>
            <w:tcW w:type="dxa" w:w="7824"/>
            <w:shd w:val="clear" w:fill="DEEBF7"/>
          </w:tcPr>
          <w:p>
            <w:pPr>
              <w:spacing w:after="20" w:before="20"/>
            </w:pPr>
            <w:r/>
            <w:r>
              <w:rPr>
                <w:rFonts w:ascii="游ゴシック" w:hAnsi="游ゴシック" w:eastAsia="游ゴシック"/>
                <w:b/>
                <w:sz w:val="22"/>
              </w:rPr>
              <w:t>原稿レビューの方法</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計画素案は現在第10稿です。今後も複数回の改稿が見込まれるため、レビューの方法を定めさせてください。</w:t>
            </w:r>
          </w:p>
          <w:p>
            <w:pPr>
              <w:spacing w:after="20" w:before="0"/>
            </w:pPr>
            <w:r>
              <w:rPr>
                <w:rFonts w:ascii="游ゴシック" w:hAnsi="游ゴシック" w:eastAsia="游ゴシック"/>
                <w:b w:val="0"/>
                <w:sz w:val="19"/>
              </w:rPr>
              <w:t>① 確認範囲・締切・判断事項の示し方</w:t>
            </w:r>
          </w:p>
          <w:p>
            <w:pPr>
              <w:spacing w:after="20" w:before="0"/>
            </w:pPr>
            <w:r>
              <w:rPr>
                <w:rFonts w:ascii="游ゴシック" w:hAnsi="游ゴシック" w:eastAsia="游ゴシック"/>
                <w:b w:val="0"/>
                <w:sz w:val="19"/>
              </w:rPr>
              <w:t>② 3町意見の採否と理由の記録方法、共通修正と町別対応の区別</w:t>
            </w:r>
          </w:p>
          <w:p>
            <w:pPr>
              <w:spacing w:after="20" w:before="0"/>
            </w:pPr>
            <w:r>
              <w:rPr>
                <w:rFonts w:ascii="游ゴシック" w:hAnsi="游ゴシック" w:eastAsia="游ゴシック"/>
                <w:b w:val="0"/>
                <w:sz w:val="19"/>
              </w:rPr>
              <w:t>③ 数値の参照元・時点・集計条件の追跡方法</w:t>
            </w:r>
          </w:p>
          <w:p>
            <w:pPr>
              <w:spacing w:after="20" w:before="0"/>
            </w:pPr>
            <w:r>
              <w:rPr>
                <w:rFonts w:ascii="游ゴシック" w:hAnsi="游ゴシック" w:eastAsia="游ゴシック"/>
                <w:b w:val="0"/>
                <w:sz w:val="19"/>
              </w:rPr>
              <w:t>④ 段階承認の記録（仕様書５は各工程終了後に発注者の確認を受けて次工程へ進むことを定めています）</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受託者案のとおりとする</w:t>
            </w:r>
          </w:p>
          <w:p>
            <w:pPr>
              <w:spacing w:after="20" w:before="0"/>
            </w:pPr>
            <w:r>
              <w:rPr>
                <w:rFonts w:ascii="游ゴシック" w:hAnsi="游ゴシック" w:eastAsia="游ゴシック"/>
                <w:b w:val="0"/>
                <w:sz w:val="19"/>
              </w:rPr>
              <w:t>□　確認範囲と締切のみを定め、その他は運用に委ねる</w:t>
            </w:r>
          </w:p>
          <w:p>
            <w:pPr>
              <w:spacing w:after="20" w:before="0"/>
            </w:pPr>
            <w:r>
              <w:rPr>
                <w:rFonts w:ascii="游ゴシック" w:hAnsi="游ゴシック" w:eastAsia="游ゴシック"/>
                <w:b w:val="0"/>
                <w:sz w:val="19"/>
              </w:rPr>
              <w:t>□　業務工程管理表02シートの発注者確認欄により段階承認を記録する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レビューの往復が増え、工程が遅れます。3町意見の反映状況が記録に残らず、後日「意見が反映されていない」という指摘を受けるおそれがあります。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キックオフ資料 青枠 表14／業務工程管理表 02シート</w:t>
            </w:r>
          </w:p>
        </w:tc>
      </w:tr>
    </w:tbl>
    <w:p>
      <w:pPr>
        <w:spacing w:after="160"/>
      </w:pPr>
    </w:p>
    <w:tbl>
      <w:tblPr>
        <w:tblStyle w:val="TableGrid"/>
        <w:tblW w:type="auto" w:w="0"/>
        <w:jc w:val="center"/>
        <w:tblLook w:firstColumn="1" w:firstRow="1" w:lastColumn="0" w:lastRow="0" w:noHBand="0" w:noVBand="1" w:val="04A0"/>
      </w:tblPr>
      <w:tblGrid>
        <w:gridCol w:w="4933"/>
        <w:gridCol w:w="4933"/>
      </w:tblGrid>
      <w:tr>
        <w:tc>
          <w:tcPr>
            <w:tcW w:type="dxa" w:w="1928"/>
            <w:shd w:val="clear" w:fill="1F3864"/>
          </w:tcPr>
          <w:p>
            <w:pPr>
              <w:spacing w:after="20" w:before="20"/>
            </w:pPr>
            <w:r/>
            <w:r>
              <w:rPr>
                <w:rFonts w:ascii="游ゴシック" w:hAnsi="游ゴシック" w:eastAsia="游ゴシック"/>
                <w:b/>
                <w:color w:val="FFFFFF"/>
                <w:sz w:val="20"/>
              </w:rPr>
              <w:t>項目12</w:t>
            </w:r>
          </w:p>
          <w:p>
            <w:pPr>
              <w:spacing w:after="20" w:before="0"/>
            </w:pPr>
            <w:r>
              <w:rPr>
                <w:rFonts w:ascii="游ゴシック" w:hAnsi="游ゴシック" w:eastAsia="游ゴシック"/>
                <w:b/>
                <w:color w:val="FFFFFF"/>
                <w:sz w:val="20"/>
              </w:rPr>
              <w:t>成果品</w:t>
            </w:r>
          </w:p>
        </w:tc>
        <w:tc>
          <w:tcPr>
            <w:tcW w:type="dxa" w:w="7824"/>
            <w:shd w:val="clear" w:fill="DEEBF7"/>
          </w:tcPr>
          <w:p>
            <w:pPr>
              <w:spacing w:after="20" w:before="20"/>
            </w:pPr>
            <w:r/>
            <w:r>
              <w:rPr>
                <w:rFonts w:ascii="游ゴシック" w:hAnsi="游ゴシック" w:eastAsia="游ゴシック"/>
                <w:b/>
                <w:sz w:val="22"/>
              </w:rPr>
              <w:t>計画書の頁数・図表の点数・レイアウト</w:t>
            </w:r>
          </w:p>
        </w:tc>
      </w:tr>
      <w:tr>
        <w:tc>
          <w:tcPr>
            <w:tcW w:type="dxa" w:w="1928"/>
            <w:shd w:val="clear" w:fill="F2F2F2"/>
          </w:tcPr>
          <w:p>
            <w:pPr>
              <w:spacing w:after="20" w:before="20"/>
            </w:pPr>
            <w:r/>
            <w:r>
              <w:rPr>
                <w:rFonts w:ascii="游ゴシック" w:hAnsi="游ゴシック" w:eastAsia="游ゴシック"/>
                <w:b/>
                <w:sz w:val="18"/>
              </w:rPr>
              <w:t>確認・決定</w:t>
            </w:r>
          </w:p>
          <w:p>
            <w:pPr>
              <w:spacing w:after="20" w:before="0"/>
            </w:pPr>
            <w:r>
              <w:rPr>
                <w:rFonts w:ascii="游ゴシック" w:hAnsi="游ゴシック" w:eastAsia="游ゴシック"/>
                <w:b/>
                <w:sz w:val="18"/>
              </w:rPr>
              <w:t>していただく内容</w:t>
            </w:r>
          </w:p>
        </w:tc>
        <w:tc>
          <w:tcPr>
            <w:tcW w:type="dxa" w:w="7824"/>
          </w:tcPr>
          <w:p>
            <w:pPr>
              <w:spacing w:after="20" w:before="20"/>
            </w:pPr>
            <w:r/>
            <w:r>
              <w:rPr>
                <w:rFonts w:ascii="游ゴシック" w:hAnsi="游ゴシック" w:eastAsia="游ゴシック"/>
                <w:b w:val="0"/>
                <w:sz w:val="19"/>
              </w:rPr>
              <w:t>次の4点をご確認ください。</w:t>
            </w:r>
          </w:p>
          <w:p>
            <w:pPr>
              <w:spacing w:after="20" w:before="0"/>
            </w:pPr>
            <w:r>
              <w:rPr>
                <w:rFonts w:ascii="游ゴシック" w:hAnsi="游ゴシック" w:eastAsia="游ゴシック"/>
                <w:b w:val="0"/>
                <w:sz w:val="19"/>
              </w:rPr>
              <w:t>① 本文100頁程度に対する章別のページ配分</w:t>
            </w:r>
          </w:p>
          <w:p>
            <w:pPr>
              <w:spacing w:after="20" w:before="0"/>
            </w:pPr>
            <w:r>
              <w:rPr>
                <w:rFonts w:ascii="游ゴシック" w:hAnsi="游ゴシック" w:eastAsia="游ゴシック"/>
                <w:b w:val="0"/>
                <w:sz w:val="19"/>
              </w:rPr>
              <w:t>② 本文に掲載する図表の点数（現在33点で暫定。図表集は133点）</w:t>
            </w:r>
          </w:p>
          <w:p>
            <w:pPr>
              <w:spacing w:after="20" w:before="0"/>
            </w:pPr>
            <w:r>
              <w:rPr>
                <w:rFonts w:ascii="游ゴシック" w:hAnsi="游ゴシック" w:eastAsia="游ゴシック"/>
                <w:b w:val="0"/>
                <w:sz w:val="19"/>
              </w:rPr>
              <w:t>③ 図表のレイアウト・体裁（第9期計画の体裁を維持する方針でご確認をお願いしております。結果のご連絡時期）</w:t>
            </w:r>
          </w:p>
          <w:p>
            <w:pPr>
              <w:spacing w:after="20" w:before="0"/>
            </w:pPr>
            <w:r>
              <w:rPr>
                <w:rFonts w:ascii="游ゴシック" w:hAnsi="游ゴシック" w:eastAsia="游ゴシック"/>
                <w:b w:val="0"/>
                <w:sz w:val="19"/>
              </w:rPr>
              <w:t>④ 概要版の頁数・体裁・掲載内容</w:t>
            </w:r>
          </w:p>
        </w:tc>
      </w:tr>
      <w:tr>
        <w:tc>
          <w:tcPr>
            <w:tcW w:type="dxa" w:w="1928"/>
            <w:shd w:val="clear" w:fill="F2F2F2"/>
          </w:tcPr>
          <w:p>
            <w:pPr>
              <w:spacing w:after="20" w:before="20"/>
            </w:pPr>
            <w:r/>
            <w:r>
              <w:rPr>
                <w:rFonts w:ascii="游ゴシック" w:hAnsi="游ゴシック" w:eastAsia="游ゴシック"/>
                <w:b/>
                <w:sz w:val="18"/>
              </w:rPr>
              <w:t>選択肢</w:t>
            </w:r>
          </w:p>
        </w:tc>
        <w:tc>
          <w:tcPr>
            <w:tcW w:type="dxa" w:w="7824"/>
          </w:tcPr>
          <w:p>
            <w:pPr>
              <w:spacing w:after="20" w:before="20"/>
            </w:pPr>
            <w:r/>
            <w:r>
              <w:rPr>
                <w:rFonts w:ascii="游ゴシック" w:hAnsi="游ゴシック" w:eastAsia="游ゴシック"/>
                <w:b w:val="0"/>
                <w:sz w:val="19"/>
              </w:rPr>
              <w:t>□　受託者案（本文33点）のとおりとする</w:t>
            </w:r>
          </w:p>
          <w:p>
            <w:pPr>
              <w:spacing w:after="20" w:before="0"/>
            </w:pPr>
            <w:r>
              <w:rPr>
                <w:rFonts w:ascii="游ゴシック" w:hAnsi="游ゴシック" w:eastAsia="游ゴシック"/>
                <w:b w:val="0"/>
                <w:sz w:val="19"/>
              </w:rPr>
              <w:t>□　章別のページ配分を先に決め、図表の点数はそれに合わせる</w:t>
            </w:r>
          </w:p>
          <w:p>
            <w:pPr>
              <w:spacing w:after="20" w:before="0"/>
            </w:pPr>
            <w:r>
              <w:rPr>
                <w:rFonts w:ascii="游ゴシック" w:hAnsi="游ゴシック" w:eastAsia="游ゴシック"/>
                <w:b w:val="0"/>
                <w:sz w:val="19"/>
              </w:rPr>
              <w:t>□　図表のレイアウトの確認結果は令和8年8月中に連絡する</w:t>
            </w:r>
          </w:p>
          <w:p>
            <w:pPr>
              <w:spacing w:after="20" w:before="0"/>
            </w:pPr>
            <w:r>
              <w:rPr>
                <w:rFonts w:ascii="游ゴシック" w:hAnsi="游ゴシック" w:eastAsia="游ゴシック"/>
                <w:b w:val="0"/>
                <w:sz w:val="19"/>
              </w:rPr>
              <w:t>□　本日は保留とし、後日決定する</w:t>
            </w:r>
          </w:p>
        </w:tc>
      </w:tr>
      <w:tr>
        <w:tc>
          <w:tcPr>
            <w:tcW w:type="dxa" w:w="1928"/>
            <w:shd w:val="clear" w:fill="FFF2CC"/>
          </w:tcPr>
          <w:p>
            <w:pPr>
              <w:spacing w:after="20" w:before="20"/>
            </w:pPr>
            <w:r/>
            <w:r>
              <w:rPr>
                <w:rFonts w:ascii="游ゴシック" w:hAnsi="游ゴシック" w:eastAsia="游ゴシック"/>
                <w:b/>
                <w:sz w:val="18"/>
              </w:rPr>
              <w:t>決定内容</w:t>
            </w:r>
          </w:p>
          <w:p>
            <w:pPr>
              <w:spacing w:after="20" w:before="0"/>
            </w:pPr>
            <w:r>
              <w:rPr>
                <w:rFonts w:ascii="游ゴシック" w:hAnsi="游ゴシック" w:eastAsia="游ゴシック"/>
                <w:b/>
                <w:sz w:val="18"/>
              </w:rPr>
              <w:t>（ご記入欄）</w:t>
            </w:r>
          </w:p>
        </w:tc>
        <w:tc>
          <w:tcPr>
            <w:tcW w:type="dxa" w:w="7824"/>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r>
        <w:tc>
          <w:tcPr>
            <w:tcW w:type="dxa" w:w="1928"/>
            <w:shd w:val="clear" w:fill="F2F2F2"/>
          </w:tcPr>
          <w:p>
            <w:pPr>
              <w:spacing w:after="20" w:before="20"/>
            </w:pPr>
            <w:r/>
            <w:r>
              <w:rPr>
                <w:rFonts w:ascii="游ゴシック" w:hAnsi="游ゴシック" w:eastAsia="游ゴシック"/>
                <w:b/>
                <w:sz w:val="18"/>
              </w:rPr>
              <w:t>決まらない場合</w:t>
            </w:r>
          </w:p>
        </w:tc>
        <w:tc>
          <w:tcPr>
            <w:tcW w:type="dxa" w:w="7824"/>
          </w:tcPr>
          <w:p>
            <w:pPr>
              <w:spacing w:after="20" w:before="20"/>
            </w:pPr>
            <w:r/>
            <w:r>
              <w:rPr>
                <w:rFonts w:ascii="游ゴシック" w:hAnsi="游ゴシック" w:eastAsia="游ゴシック"/>
                <w:b w:val="0"/>
                <w:sz w:val="18"/>
              </w:rPr>
              <w:t>図表の作成基準が定まりません。本文の分量も決まらないため、印刷・製本の仕様（令和9年3月）の確定が遅れます。</w:t>
            </w:r>
          </w:p>
        </w:tc>
      </w:tr>
      <w:tr>
        <w:tc>
          <w:tcPr>
            <w:tcW w:type="dxa" w:w="1928"/>
            <w:shd w:val="clear" w:fill="F2F2F2"/>
          </w:tcPr>
          <w:p>
            <w:pPr>
              <w:spacing w:after="20" w:before="20"/>
            </w:pPr>
            <w:r/>
            <w:r>
              <w:rPr>
                <w:rFonts w:ascii="游ゴシック" w:hAnsi="游ゴシック" w:eastAsia="游ゴシック"/>
                <w:b/>
                <w:sz w:val="18"/>
              </w:rPr>
              <w:t>出所</w:t>
            </w:r>
          </w:p>
        </w:tc>
        <w:tc>
          <w:tcPr>
            <w:tcW w:type="dxa" w:w="7824"/>
          </w:tcPr>
          <w:p>
            <w:pPr>
              <w:spacing w:after="20" w:before="20"/>
            </w:pPr>
            <w:r/>
            <w:r>
              <w:rPr>
                <w:rFonts w:ascii="游ゴシック" w:hAnsi="游ゴシック" w:eastAsia="游ゴシック"/>
                <w:b w:val="0"/>
                <w:sz w:val="17"/>
              </w:rPr>
              <w:t>必要事項の一覧 成果品No.1〜No.4</w:t>
            </w:r>
          </w:p>
        </w:tc>
      </w:tr>
    </w:tbl>
    <w:p>
      <w:pPr>
        <w:spacing w:after="160"/>
      </w:pPr>
    </w:p>
    <w:p>
      <w:r>
        <w:br w:type="page"/>
      </w:r>
    </w:p>
    <w:p>
      <w:pPr>
        <w:spacing w:after="80" w:before="0"/>
      </w:pPr>
      <w:r>
        <w:rPr>
          <w:rFonts w:ascii="游ゴシック" w:hAnsi="游ゴシック" w:eastAsia="游ゴシック"/>
          <w:b/>
          <w:color w:val="1F3864"/>
          <w:sz w:val="24"/>
        </w:rPr>
        <w:t>その他のご意見・ご指示</w:t>
      </w:r>
    </w:p>
    <w:tbl>
      <w:tblPr>
        <w:tblStyle w:val="TableGrid"/>
        <w:tblW w:type="auto" w:w="0"/>
        <w:tblLook w:firstColumn="1" w:firstRow="1" w:lastColumn="0" w:lastRow="0" w:noHBand="0" w:noVBand="1" w:val="04A0"/>
      </w:tblPr>
      <w:tblGrid>
        <w:gridCol w:w="9866"/>
      </w:tblGrid>
      <w:tr>
        <w:tc>
          <w:tcPr>
            <w:tcW w:type="dxa" w:w="9751"/>
          </w:tcPr>
          <w:p>
            <w:pPr>
              <w:spacing w:after="20" w:before="20"/>
            </w:pPr>
            <w: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p>
            <w:pPr>
              <w:spacing w:after="20" w:before="0"/>
            </w:pPr>
            <w:r>
              <w:rPr>
                <w:rFonts w:ascii="游ゴシック" w:hAnsi="游ゴシック" w:eastAsia="游ゴシック"/>
                <w:b w:val="0"/>
                <w:sz w:val="19"/>
              </w:rPr>
            </w:r>
          </w:p>
        </w:tc>
      </w:tr>
    </w:tbl>
    <w:p>
      <w:pPr>
        <w:spacing w:after="160"/>
      </w:pPr>
    </w:p>
    <w:p>
      <w:pPr>
        <w:spacing w:after="80" w:before="0"/>
      </w:pPr>
      <w:r>
        <w:rPr>
          <w:rFonts w:ascii="游ゴシック" w:hAnsi="游ゴシック" w:eastAsia="游ゴシック"/>
          <w:b/>
          <w:color w:val="1F3864"/>
          <w:sz w:val="24"/>
        </w:rPr>
        <w:t>会議後の受託者の作業</w:t>
      </w:r>
    </w:p>
    <w:tbl>
      <w:tblPr>
        <w:tblStyle w:val="TableGrid"/>
        <w:tblW w:type="auto" w:w="0"/>
        <w:tblLook w:firstColumn="1" w:firstRow="1" w:lastColumn="0" w:lastRow="0" w:noHBand="0" w:noVBand="1" w:val="04A0"/>
      </w:tblPr>
      <w:tblGrid>
        <w:gridCol w:w="3289"/>
        <w:gridCol w:w="3289"/>
        <w:gridCol w:w="3289"/>
      </w:tblGrid>
      <w:tr>
        <w:tc>
          <w:tcPr>
            <w:tcW w:type="dxa" w:w="3628"/>
            <w:shd w:val="clear" w:fill="4472C4"/>
          </w:tcPr>
          <w:p>
            <w:pPr>
              <w:spacing w:after="20" w:before="20"/>
            </w:pPr>
            <w:r/>
            <w:r>
              <w:rPr>
                <w:rFonts w:ascii="游ゴシック" w:hAnsi="游ゴシック" w:eastAsia="游ゴシック"/>
                <w:b/>
                <w:color w:val="FFFFFF"/>
                <w:sz w:val="18"/>
              </w:rPr>
              <w:t>作業</w:t>
            </w:r>
          </w:p>
        </w:tc>
        <w:tc>
          <w:tcPr>
            <w:tcW w:type="dxa" w:w="3628"/>
            <w:shd w:val="clear" w:fill="4472C4"/>
          </w:tcPr>
          <w:p>
            <w:pPr>
              <w:spacing w:after="20" w:before="20"/>
            </w:pPr>
            <w:r/>
            <w:r>
              <w:rPr>
                <w:rFonts w:ascii="游ゴシック" w:hAnsi="游ゴシック" w:eastAsia="游ゴシック"/>
                <w:b/>
                <w:color w:val="FFFFFF"/>
                <w:sz w:val="18"/>
              </w:rPr>
              <w:t>着手の条件</w:t>
            </w:r>
          </w:p>
        </w:tc>
        <w:tc>
          <w:tcPr>
            <w:tcW w:type="dxa" w:w="2494"/>
            <w:shd w:val="clear" w:fill="4472C4"/>
          </w:tcPr>
          <w:p>
            <w:pPr>
              <w:spacing w:after="20" w:before="20"/>
            </w:pPr>
            <w:r/>
            <w:r>
              <w:rPr>
                <w:rFonts w:ascii="游ゴシック" w:hAnsi="游ゴシック" w:eastAsia="游ゴシック"/>
                <w:b/>
                <w:color w:val="FFFFFF"/>
                <w:sz w:val="18"/>
              </w:rPr>
              <w:t>完了の目途</w:t>
            </w:r>
          </w:p>
        </w:tc>
      </w:tr>
      <w:tr>
        <w:tc>
          <w:tcPr>
            <w:tcW w:type="dxa" w:w="3628"/>
          </w:tcPr>
          <w:p>
            <w:pPr>
              <w:spacing w:after="20" w:before="20"/>
            </w:pPr>
            <w:r/>
            <w:r>
              <w:rPr>
                <w:rFonts w:ascii="游ゴシック" w:hAnsi="游ゴシック" w:eastAsia="游ゴシック"/>
                <w:b w:val="0"/>
                <w:sz w:val="18"/>
              </w:rPr>
              <w:t>キックオフ会議資料の第3稿の作成</w:t>
            </w:r>
          </w:p>
        </w:tc>
        <w:tc>
          <w:tcPr>
            <w:tcW w:type="dxa" w:w="3628"/>
          </w:tcPr>
          <w:p>
            <w:pPr>
              <w:spacing w:after="20" w:before="20"/>
            </w:pPr>
            <w:r/>
            <w:r>
              <w:rPr>
                <w:rFonts w:ascii="游ゴシック" w:hAnsi="游ゴシック" w:eastAsia="游ゴシック"/>
                <w:b w:val="0"/>
                <w:sz w:val="18"/>
              </w:rPr>
              <w:t>本シートの決定内容</w:t>
            </w:r>
          </w:p>
        </w:tc>
        <w:tc>
          <w:tcPr>
            <w:tcW w:type="dxa" w:w="2494"/>
          </w:tcPr>
          <w:p>
            <w:pPr>
              <w:spacing w:after="20" w:before="20"/>
            </w:pPr>
            <w:r/>
            <w:r>
              <w:rPr>
                <w:rFonts w:ascii="游ゴシック" w:hAnsi="游ゴシック" w:eastAsia="游ゴシック"/>
                <w:b w:val="0"/>
                <w:sz w:val="18"/>
              </w:rPr>
              <w:t>会議後1週間</w:t>
            </w:r>
          </w:p>
        </w:tc>
      </w:tr>
      <w:tr>
        <w:tc>
          <w:tcPr>
            <w:tcW w:type="dxa" w:w="3628"/>
          </w:tcPr>
          <w:p>
            <w:pPr>
              <w:spacing w:after="20" w:before="20"/>
            </w:pPr>
            <w:r/>
            <w:r>
              <w:rPr>
                <w:rFonts w:ascii="游ゴシック" w:hAnsi="游ゴシック" w:eastAsia="游ゴシック"/>
                <w:b w:val="0"/>
                <w:sz w:val="18"/>
              </w:rPr>
              <w:t>将来推計 第2段階（サービス見込量）</w:t>
            </w:r>
          </w:p>
        </w:tc>
        <w:tc>
          <w:tcPr>
            <w:tcW w:type="dxa" w:w="3628"/>
          </w:tcPr>
          <w:p>
            <w:pPr>
              <w:spacing w:after="20" w:before="20"/>
            </w:pPr>
            <w:r/>
            <w:r>
              <w:rPr>
                <w:rFonts w:ascii="游ゴシック" w:hAnsi="游ゴシック" w:eastAsia="游ゴシック"/>
                <w:b w:val="0"/>
                <w:sz w:val="18"/>
              </w:rPr>
              <w:t>項目5の資料受領＋項目6の決定</w:t>
            </w:r>
          </w:p>
        </w:tc>
        <w:tc>
          <w:tcPr>
            <w:tcW w:type="dxa" w:w="2494"/>
          </w:tcPr>
          <w:p>
            <w:pPr>
              <w:spacing w:after="20" w:before="20"/>
            </w:pPr>
            <w:r/>
            <w:r>
              <w:rPr>
                <w:rFonts w:ascii="游ゴシック" w:hAnsi="游ゴシック" w:eastAsia="游ゴシック"/>
                <w:b w:val="0"/>
                <w:sz w:val="18"/>
              </w:rPr>
              <w:t>資料受領から1か月</w:t>
            </w:r>
          </w:p>
        </w:tc>
      </w:tr>
      <w:tr>
        <w:tc>
          <w:tcPr>
            <w:tcW w:type="dxa" w:w="3628"/>
          </w:tcPr>
          <w:p>
            <w:pPr>
              <w:spacing w:after="20" w:before="20"/>
            </w:pPr>
            <w:r/>
            <w:r>
              <w:rPr>
                <w:rFonts w:ascii="游ゴシック" w:hAnsi="游ゴシック" w:eastAsia="游ゴシック"/>
                <w:b w:val="0"/>
                <w:sz w:val="18"/>
              </w:rPr>
              <w:t>第9期評価のプロセス評価</w:t>
            </w:r>
          </w:p>
        </w:tc>
        <w:tc>
          <w:tcPr>
            <w:tcW w:type="dxa" w:w="3628"/>
          </w:tcPr>
          <w:p>
            <w:pPr>
              <w:spacing w:after="20" w:before="20"/>
            </w:pPr>
            <w:r/>
            <w:r>
              <w:rPr>
                <w:rFonts w:ascii="游ゴシック" w:hAnsi="游ゴシック" w:eastAsia="游ゴシック"/>
                <w:b w:val="0"/>
                <w:sz w:val="18"/>
              </w:rPr>
              <w:t>項目3の資料受領</w:t>
            </w:r>
          </w:p>
        </w:tc>
        <w:tc>
          <w:tcPr>
            <w:tcW w:type="dxa" w:w="2494"/>
          </w:tcPr>
          <w:p>
            <w:pPr>
              <w:spacing w:after="20" w:before="20"/>
            </w:pPr>
            <w:r/>
            <w:r>
              <w:rPr>
                <w:rFonts w:ascii="游ゴシック" w:hAnsi="游ゴシック" w:eastAsia="游ゴシック"/>
                <w:b w:val="0"/>
                <w:sz w:val="18"/>
              </w:rPr>
              <w:t>資料受領から3週間</w:t>
            </w:r>
          </w:p>
        </w:tc>
      </w:tr>
      <w:tr>
        <w:tc>
          <w:tcPr>
            <w:tcW w:type="dxa" w:w="3628"/>
          </w:tcPr>
          <w:p>
            <w:pPr>
              <w:spacing w:after="20" w:before="20"/>
            </w:pPr>
            <w:r/>
            <w:r>
              <w:rPr>
                <w:rFonts w:ascii="游ゴシック" w:hAnsi="游ゴシック" w:eastAsia="游ゴシック"/>
                <w:b w:val="0"/>
                <w:sz w:val="18"/>
              </w:rPr>
              <w:t>計画素案 第11稿</w:t>
            </w:r>
          </w:p>
        </w:tc>
        <w:tc>
          <w:tcPr>
            <w:tcW w:type="dxa" w:w="3628"/>
          </w:tcPr>
          <w:p>
            <w:pPr>
              <w:spacing w:after="20" w:before="20"/>
            </w:pPr>
            <w:r/>
            <w:r>
              <w:rPr>
                <w:rFonts w:ascii="游ゴシック" w:hAnsi="游ゴシック" w:eastAsia="游ゴシック"/>
                <w:b w:val="0"/>
                <w:sz w:val="18"/>
              </w:rPr>
              <w:t>項目6〜9の決定</w:t>
            </w:r>
          </w:p>
        </w:tc>
        <w:tc>
          <w:tcPr>
            <w:tcW w:type="dxa" w:w="2494"/>
          </w:tcPr>
          <w:p>
            <w:pPr>
              <w:spacing w:after="20" w:before="20"/>
            </w:pPr>
            <w:r/>
            <w:r>
              <w:rPr>
                <w:rFonts w:ascii="游ゴシック" w:hAnsi="游ゴシック" w:eastAsia="游ゴシック"/>
                <w:b w:val="0"/>
                <w:sz w:val="18"/>
              </w:rPr>
              <w:t>決定から3週間</w:t>
            </w:r>
          </w:p>
        </w:tc>
      </w:tr>
      <w:tr>
        <w:tc>
          <w:tcPr>
            <w:tcW w:type="dxa" w:w="3628"/>
          </w:tcPr>
          <w:p>
            <w:pPr>
              <w:spacing w:after="20" w:before="20"/>
            </w:pPr>
            <w:r/>
            <w:r>
              <w:rPr>
                <w:rFonts w:ascii="游ゴシック" w:hAnsi="游ゴシック" w:eastAsia="游ゴシック"/>
                <w:b w:val="0"/>
                <w:sz w:val="18"/>
              </w:rPr>
              <w:t>第1回委員会資料原案</w:t>
            </w:r>
          </w:p>
        </w:tc>
        <w:tc>
          <w:tcPr>
            <w:tcW w:type="dxa" w:w="3628"/>
          </w:tcPr>
          <w:p>
            <w:pPr>
              <w:spacing w:after="20" w:before="20"/>
            </w:pPr>
            <w:r/>
            <w:r>
              <w:rPr>
                <w:rFonts w:ascii="游ゴシック" w:hAnsi="游ゴシック" w:eastAsia="游ゴシック"/>
                <w:b w:val="0"/>
                <w:sz w:val="18"/>
              </w:rPr>
              <w:t>項目2の日程確定</w:t>
            </w:r>
          </w:p>
        </w:tc>
        <w:tc>
          <w:tcPr>
            <w:tcW w:type="dxa" w:w="2494"/>
          </w:tcPr>
          <w:p>
            <w:pPr>
              <w:spacing w:after="20" w:before="20"/>
            </w:pPr>
            <w:r/>
            <w:r>
              <w:rPr>
                <w:rFonts w:ascii="游ゴシック" w:hAnsi="游ゴシック" w:eastAsia="游ゴシック"/>
                <w:b w:val="0"/>
                <w:sz w:val="18"/>
              </w:rPr>
              <w:t>日程確定から2週間</w:t>
            </w:r>
          </w:p>
        </w:tc>
      </w:tr>
      <w:tr>
        <w:tc>
          <w:tcPr>
            <w:tcW w:type="dxa" w:w="3628"/>
          </w:tcPr>
          <w:p>
            <w:pPr>
              <w:spacing w:after="20" w:before="20"/>
            </w:pPr>
            <w:r/>
            <w:r>
              <w:rPr>
                <w:rFonts w:ascii="游ゴシック" w:hAnsi="游ゴシック" w:eastAsia="游ゴシック"/>
                <w:b w:val="0"/>
                <w:sz w:val="18"/>
              </w:rPr>
              <w:t>図表の全面更新</w:t>
            </w:r>
          </w:p>
        </w:tc>
        <w:tc>
          <w:tcPr>
            <w:tcW w:type="dxa" w:w="3628"/>
          </w:tcPr>
          <w:p>
            <w:pPr>
              <w:spacing w:after="20" w:before="20"/>
            </w:pPr>
            <w:r/>
            <w:r>
              <w:rPr>
                <w:rFonts w:ascii="游ゴシック" w:hAnsi="游ゴシック" w:eastAsia="游ゴシック"/>
                <w:b w:val="0"/>
                <w:sz w:val="18"/>
              </w:rPr>
              <w:t>項目12のレイアウト確認結果</w:t>
            </w:r>
          </w:p>
        </w:tc>
        <w:tc>
          <w:tcPr>
            <w:tcW w:type="dxa" w:w="2494"/>
          </w:tcPr>
          <w:p>
            <w:pPr>
              <w:spacing w:after="20" w:before="20"/>
            </w:pPr>
            <w:r/>
            <w:r>
              <w:rPr>
                <w:rFonts w:ascii="游ゴシック" w:hAnsi="游ゴシック" w:eastAsia="游ゴシック"/>
                <w:b w:val="0"/>
                <w:sz w:val="18"/>
              </w:rPr>
              <w:t>連絡から2週間</w:t>
            </w:r>
          </w:p>
        </w:tc>
      </w:tr>
    </w:tbl>
    <w:p>
      <w:pPr>
        <w:spacing w:after="160"/>
      </w:pPr>
    </w:p>
    <w:p>
      <w:pPr>
        <w:spacing w:after="40" w:before="0"/>
      </w:pPr>
      <w:r>
        <w:rPr>
          <w:rFonts w:ascii="游ゴシック" w:hAnsi="游ゴシック" w:eastAsia="游ゴシック"/>
          <w:b w:val="0"/>
          <w:sz w:val="18"/>
        </w:rPr>
        <w:t>※ 本シートの12項目は、別冊「必要事項の一覧」に登録済みの事項から、会議でご確認いただくものを抜き出したものです。全体の必要事項（資料14件・決定17件・日程6件・成果品7件・告示待ち5件・受託者の作業7件）は同表をご覧ください。</w:t>
      </w:r>
    </w:p>
    <w:p>
      <w:pPr>
        <w:spacing w:after="0" w:before="0"/>
      </w:pPr>
      <w:r>
        <w:rPr>
          <w:rFonts w:ascii="游ゴシック" w:hAnsi="游ゴシック" w:eastAsia="游ゴシック"/>
          <w:b w:val="0"/>
          <w:sz w:val="18"/>
        </w:rPr>
        <w:t>※ ご記入いただいた内容は、業務工程管理表03シート（確認事項一覧）及び必要事項の一覧に反映し、以後の進捗管理に用います。</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