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回収率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指定施設14・介護保険外の住まい12＝26</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中軽度の方が多数を占めています。在宅生活の継続が難しくなる局面は、重度化してからではなく中軽度の段階から生じていることがうかがえ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独居が45人（45.9%）と最も多く、夫婦のみが17人（17.3%）です。独居と夫婦のみを合わせると62人（63.3%）となり、介護の担い手が同居していない、又は担い手自身も高齢である世帯が３分の２を占めます。</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回答のあった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在宅生活の継続を困難にしている要因（本人の状態等・複数回答）</w:t>
      </w:r>
    </w:p>
    <w:p>
      <w:pPr>
        <w:keepLines/>
        <w:spacing w:after="160" w:before="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在宅生活の継続を困難にしている要因（家族等介護者・複数回答）</w:t>
      </w:r>
    </w:p>
    <w:p>
      <w:pPr>
        <w:keepLines/>
        <w:spacing w:after="160" w:before="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主な介護者の負担となっている介護（上位10・複数回答）</w:t>
      </w:r>
    </w:p>
    <w:p>
      <w:pPr>
        <w:keepLines/>
        <w:spacing w:after="160" w:before="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必要な生活支援（複数回答）</w:t>
      </w:r>
    </w:p>
    <w:p>
      <w:pPr>
        <w:keepLines/>
        <w:spacing w:after="160" w:before="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より適切と思われるサービス（複数回答）</w:t>
      </w:r>
    </w:p>
    <w:p>
      <w:pPr>
        <w:keepLines/>
        <w:spacing w:after="160" w:before="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過去1年間の居場所の変更先（171人）</w:t>
      </w:r>
    </w:p>
    <w:p>
      <w:pPr>
        <w:keepLines/>
        <w:spacing w:after="160" w:before="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26施設あり、９施設は回答していません。定員は北海道が公表する名簿によります（第７章第１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175"/>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1247"/>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361"/>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317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361"/>
          </w:tcPr>
          <w:p>
            <w:pPr>
              <w:keepNext/>
              <w:spacing w:after="20" w:before="20"/>
              <w:jc w:val="right"/>
            </w:pPr>
            <w:r/>
            <w:r>
              <w:rPr>
                <w:rFonts w:ascii="BIZ UDPゴシック" w:hAnsi="BIZ UDPゴシック" w:eastAsia="BIZ UDPゴシック"/>
                <w:b w:val="0"/>
                <w:sz w:val="18"/>
              </w:rPr>
              <w:t>96.1%</w:t>
            </w:r>
          </w:p>
        </w:tc>
      </w:tr>
      <w:tr>
        <w:trPr>
          <w:cantSplit/>
        </w:trPr>
        <w:tc>
          <w:tcPr>
            <w:tcW w:type="dxa" w:w="317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361"/>
          </w:tcPr>
          <w:p>
            <w:pPr>
              <w:keepNext/>
              <w:spacing w:after="20" w:before="20"/>
              <w:jc w:val="right"/>
            </w:pPr>
            <w:r/>
            <w:r>
              <w:rPr>
                <w:rFonts w:ascii="BIZ UDPゴシック" w:hAnsi="BIZ UDPゴシック" w:eastAsia="BIZ UDPゴシック"/>
                <w:b w:val="0"/>
                <w:sz w:val="18"/>
              </w:rPr>
              <w:t>83.8%</w:t>
            </w:r>
          </w:p>
        </w:tc>
      </w:tr>
      <w:tr>
        <w:trPr>
          <w:cantSplit/>
        </w:trPr>
        <w:tc>
          <w:tcPr>
            <w:tcW w:type="dxa" w:w="317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5</w:t>
            </w:r>
          </w:p>
        </w:tc>
        <w:tc>
          <w:tcPr>
            <w:tcW w:type="dxa" w:w="1247"/>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361"/>
          </w:tcPr>
          <w:p>
            <w:pPr>
              <w:keepNext/>
              <w:spacing w:after="20" w:before="20"/>
              <w:jc w:val="right"/>
            </w:pPr>
            <w:r/>
            <w:r>
              <w:rPr>
                <w:rFonts w:ascii="BIZ UDPゴシック" w:hAnsi="BIZ UDPゴシック" w:eastAsia="BIZ UDPゴシック"/>
                <w:b w:val="0"/>
                <w:sz w:val="18"/>
              </w:rPr>
              <w:t>92.6%</w:t>
            </w:r>
          </w:p>
        </w:tc>
      </w:tr>
      <w:tr>
        <w:trPr>
          <w:cantSplit/>
        </w:trPr>
        <w:tc>
          <w:tcPr>
            <w:tcW w:type="dxa" w:w="317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1247"/>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361"/>
          </w:tcPr>
          <w:p>
            <w:pPr>
              <w:keepNext/>
              <w:spacing w:after="20" w:before="20"/>
              <w:jc w:val="right"/>
            </w:pPr>
            <w:r/>
            <w:r>
              <w:rPr>
                <w:rFonts w:ascii="BIZ UDPゴシック" w:hAnsi="BIZ UDPゴシック" w:eastAsia="BIZ UDPゴシック"/>
                <w:b w:val="0"/>
                <w:sz w:val="18"/>
              </w:rPr>
              <w:t>98.3%</w:t>
            </w:r>
          </w:p>
        </w:tc>
      </w:tr>
      <w:tr>
        <w:trPr>
          <w:cantSplit/>
        </w:trPr>
        <w:tc>
          <w:tcPr>
            <w:tcW w:type="dxa" w:w="317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361"/>
          </w:tcPr>
          <w:p>
            <w:pPr>
              <w:keepNext/>
              <w:spacing w:after="20" w:before="20"/>
              <w:jc w:val="right"/>
            </w:pPr>
            <w:r/>
            <w:r>
              <w:rPr>
                <w:rFonts w:ascii="BIZ UDPゴシック" w:hAnsi="BIZ UDPゴシック" w:eastAsia="BIZ UDPゴシック"/>
                <w:b w:val="0"/>
                <w:sz w:val="18"/>
              </w:rPr>
              <w:t>95.0%</w:t>
            </w:r>
          </w:p>
        </w:tc>
      </w:tr>
      <w:tr>
        <w:trPr>
          <w:cantSplit/>
        </w:trPr>
        <w:tc>
          <w:tcPr>
            <w:tcW w:type="dxa" w:w="317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18</w:t>
            </w:r>
          </w:p>
        </w:tc>
        <w:tc>
          <w:tcPr>
            <w:tcW w:type="dxa" w:w="1247"/>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361"/>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種別ごとの入所率（回答した18施設）</w:t>
      </w:r>
    </w:p>
    <w:p>
      <w:pPr>
        <w:keepLines/>
        <w:spacing w:after="160" w:before="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175"/>
            <w:shd w:val="clear" w:fill="F2F2F2"/>
          </w:tcPr>
          <w:p>
            <w:pPr>
              <w:keepNext/>
              <w:spacing w:after="20" w:before="20"/>
              <w:jc w:val="center"/>
            </w:pPr>
            <w:r/>
            <w:r>
              <w:rPr>
                <w:rFonts w:ascii="BIZ UDPゴシック" w:hAnsi="BIZ UDPゴシック" w:eastAsia="BIZ UDPゴシック"/>
                <w:b/>
                <w:sz w:val="18"/>
              </w:rPr>
              <w:t>種別</w:t>
            </w:r>
          </w:p>
        </w:tc>
        <w:tc>
          <w:tcPr>
            <w:tcW w:type="dxa" w:w="1361"/>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3175"/>
          </w:tcPr>
          <w:p>
            <w:pPr>
              <w:keepNext/>
              <w:spacing w:after="20" w:before="20"/>
            </w:pPr>
            <w:r/>
            <w:r>
              <w:rPr>
                <w:rFonts w:ascii="BIZ UDPゴシック" w:hAnsi="BIZ UDPゴシック" w:eastAsia="BIZ UDPゴシック"/>
                <w:b w:val="0"/>
                <w:sz w:val="18"/>
              </w:rPr>
              <w:t>グループホーム</w:t>
            </w:r>
          </w:p>
        </w:tc>
        <w:tc>
          <w:tcPr>
            <w:tcW w:type="dxa" w:w="1361"/>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3175"/>
          </w:tcPr>
          <w:p>
            <w:pPr>
              <w:keepNext/>
              <w:spacing w:after="20" w:before="20"/>
            </w:pPr>
            <w:r/>
            <w:r>
              <w:rPr>
                <w:rFonts w:ascii="BIZ UDPゴシック" w:hAnsi="BIZ UDPゴシック" w:eastAsia="BIZ UDPゴシック"/>
                <w:b w:val="0"/>
                <w:sz w:val="18"/>
              </w:rPr>
              <w:t>住宅型有料・サ高住</w:t>
            </w:r>
          </w:p>
        </w:tc>
        <w:tc>
          <w:tcPr>
            <w:tcW w:type="dxa" w:w="1361"/>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3175"/>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3175"/>
          </w:tcPr>
          <w:p>
            <w:pPr>
              <w:keepNext/>
              <w:spacing w:after="20" w:before="20"/>
            </w:pPr>
            <w:r/>
            <w:r>
              <w:rPr>
                <w:rFonts w:ascii="BIZ UDPゴシック" w:hAnsi="BIZ UDPゴシック" w:eastAsia="BIZ UDPゴシック"/>
                <w:b w:val="0"/>
                <w:sz w:val="18"/>
              </w:rPr>
              <w:t>特定施設</w:t>
            </w:r>
          </w:p>
        </w:tc>
        <w:tc>
          <w:tcPr>
            <w:tcW w:type="dxa" w:w="1361"/>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種別ごとの入所者の要介護度（重いほど濃い）</w:t>
      </w:r>
    </w:p>
    <w:p>
      <w:pPr>
        <w:keepLines/>
        <w:spacing w:after="160" w:before="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特定施設入居者生活介護の入居者の要介護度（154人）</w:t>
      </w:r>
    </w:p>
    <w:p>
      <w:pPr>
        <w:keepLines/>
        <w:spacing w:after="160" w:before="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居所変更実態調査に回答した２施設（57人）と、介護サービス情報公表システムの個別公表画面による１施設（さわやか東神楽館・97人、記入日 令和７年10月６日）を合わせたものです。時点が異なります。</w:t>
      </w:r>
    </w:p>
    <w:p>
      <w:pPr>
        <w:spacing w:after="120" w:line="276" w:lineRule="auto"/>
      </w:pPr>
      <w:r>
        <w:rPr>
          <w:rFonts w:ascii="BIZ UDPゴシック" w:hAnsi="BIZ UDPゴシック" w:eastAsia="BIZ UDPゴシック"/>
          <w:b w:val="0"/>
        </w:rPr>
        <w:t>要介護1が56人（36.4%）と最も多く、要支援1・2の30人（19.5%）を合わせると、要支援1から要介護1までが86人（55.8%）と半数を超えます。要介護4・5は27人（17.5%）です。特定施設が重度者の受け皿として機能しているとは限らないことに留意が必要で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新規入所者の入所前の居場所（335人）</w:t>
      </w:r>
    </w:p>
    <w:p>
      <w:pPr>
        <w:keepLines/>
        <w:spacing w:after="160" w:before="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施設・居住系への入所の主要な経路は医療機関にあり、医療と介護の連携が入所の流れを左右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w:t>
      </w:r>
    </w:p>
    <w:p>
      <w:pPr>
        <w:keepLines/>
        <w:spacing w:after="160" w:before="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退去者の退去先（349人）</w:t>
      </w:r>
    </w:p>
    <w:p>
      <w:pPr>
        <w:keepLines/>
        <w:spacing w:after="160" w:before="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退去理由（複数回答）</w:t>
      </w:r>
    </w:p>
    <w:p>
      <w:pPr>
        <w:keepLines/>
        <w:spacing w:after="160" w:before="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医療的な対応が必要になった段階で施設から医療機関へ移る流れがうかがえます。</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特別養護老人ホームの待機者は137人と回答されています。ただし同一法人の２施設で同数が計上されており、重複を除くと82人となります。施設に入所中で特別養護老人ホームを待機している方は16人です。</w:t>
      </w:r>
    </w:p>
    <w:p>
      <w:pPr>
        <w:pStyle w:val="note"/>
        <w:spacing w:after="80" w:line="276" w:lineRule="auto"/>
      </w:pPr>
      <w:r>
        <w:rPr>
          <w:b w:val="0"/>
        </w:rPr>
        <w:t>待機者数の重複の取扱いは確定していません。137人と82人では整備の必要量の判断が変わるため、確認のうえ確定します（第８章第３節）。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受け入れ可能な医療処置（複数回答・18施設）</w:t>
      </w:r>
    </w:p>
    <w:p>
      <w:pPr>
        <w:keepLines/>
        <w:spacing w:after="160" w:before="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969"/>
            <w:shd w:val="clear" w:fill="F2F2F2"/>
          </w:tcPr>
          <w:p>
            <w:pPr>
              <w:keepNext/>
              <w:spacing w:after="20" w:before="20"/>
              <w:jc w:val="center"/>
            </w:pPr>
            <w:r/>
            <w:r>
              <w:rPr>
                <w:rFonts w:ascii="BIZ UDPゴシック" w:hAnsi="BIZ UDPゴシック" w:eastAsia="BIZ UDPゴシック"/>
                <w:b/>
                <w:sz w:val="18"/>
              </w:rPr>
              <w:t>サービス区分</w:t>
            </w:r>
          </w:p>
        </w:tc>
        <w:tc>
          <w:tcPr>
            <w:tcW w:type="dxa" w:w="1701"/>
            <w:shd w:val="clear" w:fill="F2F2F2"/>
          </w:tcPr>
          <w:p>
            <w:pPr>
              <w:keepNext/>
              <w:spacing w:after="20" w:before="20"/>
              <w:jc w:val="center"/>
            </w:pPr>
            <w:r/>
            <w:r>
              <w:rPr>
                <w:rFonts w:ascii="BIZ UDPゴシック" w:hAnsi="BIZ UDPゴシック" w:eastAsia="BIZ UDPゴシック"/>
                <w:b/>
                <w:sz w:val="18"/>
              </w:rPr>
              <w:t>事業所数</w:t>
            </w:r>
          </w:p>
        </w:tc>
        <w:tc>
          <w:tcPr>
            <w:tcW w:type="dxa" w:w="170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3969"/>
          </w:tcPr>
          <w:p>
            <w:pPr>
              <w:keepNext/>
              <w:spacing w:after="20" w:before="20"/>
            </w:pPr>
            <w:r/>
            <w:r>
              <w:rPr>
                <w:rFonts w:ascii="BIZ UDPゴシック" w:hAnsi="BIZ UDPゴシック" w:eastAsia="BIZ UDPゴシック"/>
                <w:b w:val="0"/>
                <w:sz w:val="18"/>
              </w:rPr>
              <w:t>特養</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3969"/>
          </w:tcPr>
          <w:p>
            <w:pPr>
              <w:keepNext/>
              <w:spacing w:after="20" w:before="20"/>
            </w:pPr>
            <w:r/>
            <w:r>
              <w:rPr>
                <w:rFonts w:ascii="BIZ UDPゴシック" w:hAnsi="BIZ UDPゴシック" w:eastAsia="BIZ UDPゴシック"/>
                <w:b w:val="0"/>
                <w:sz w:val="18"/>
              </w:rPr>
              <w:t>地密特養</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22</w:t>
            </w:r>
          </w:p>
        </w:tc>
      </w:tr>
      <w:tr>
        <w:trPr>
          <w:cantSplit/>
        </w:trPr>
        <w:tc>
          <w:tcPr>
            <w:tcW w:type="dxa" w:w="3969"/>
          </w:tcPr>
          <w:p>
            <w:pPr>
              <w:keepNext/>
              <w:spacing w:after="20" w:before="20"/>
            </w:pPr>
            <w:r/>
            <w:r>
              <w:rPr>
                <w:rFonts w:ascii="BIZ UDPゴシック" w:hAnsi="BIZ UDPゴシック" w:eastAsia="BIZ UDPゴシック"/>
                <w:b w:val="0"/>
                <w:sz w:val="18"/>
              </w:rPr>
              <w:t>老健</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77</w:t>
            </w:r>
          </w:p>
        </w:tc>
      </w:tr>
      <w:tr>
        <w:trPr>
          <w:cantSplit/>
        </w:trPr>
        <w:tc>
          <w:tcPr>
            <w:tcW w:type="dxa" w:w="3969"/>
          </w:tcPr>
          <w:p>
            <w:pPr>
              <w:keepNext/>
              <w:spacing w:after="20" w:before="20"/>
            </w:pPr>
            <w:r/>
            <w:r>
              <w:rPr>
                <w:rFonts w:ascii="BIZ UDPゴシック" w:hAnsi="BIZ UDPゴシック" w:eastAsia="BIZ UDPゴシック"/>
                <w:b w:val="0"/>
                <w:sz w:val="18"/>
              </w:rPr>
              <w:t>通所リハ</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23</w:t>
            </w:r>
          </w:p>
        </w:tc>
      </w:tr>
      <w:tr>
        <w:trPr>
          <w:cantSplit/>
        </w:trPr>
        <w:tc>
          <w:tcPr>
            <w:tcW w:type="dxa" w:w="3969"/>
          </w:tcPr>
          <w:p>
            <w:pPr>
              <w:keepNext/>
              <w:spacing w:after="20" w:before="20"/>
            </w:pPr>
            <w:r/>
            <w:r>
              <w:rPr>
                <w:rFonts w:ascii="BIZ UDPゴシック" w:hAnsi="BIZ UDPゴシック" w:eastAsia="BIZ UDPゴシック"/>
                <w:b w:val="0"/>
                <w:sz w:val="18"/>
              </w:rPr>
              <w:t>通所介護等</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17</w:t>
            </w:r>
          </w:p>
        </w:tc>
      </w:tr>
      <w:tr>
        <w:trPr>
          <w:cantSplit/>
        </w:trPr>
        <w:tc>
          <w:tcPr>
            <w:tcW w:type="dxa" w:w="3969"/>
          </w:tcPr>
          <w:p>
            <w:pPr>
              <w:keepNext/>
              <w:spacing w:after="20" w:before="20"/>
            </w:pPr>
            <w:r/>
            <w:r>
              <w:rPr>
                <w:rFonts w:ascii="BIZ UDPゴシック" w:hAnsi="BIZ UDPゴシック" w:eastAsia="BIZ UDPゴシック"/>
                <w:b w:val="0"/>
                <w:sz w:val="18"/>
              </w:rPr>
              <w:t>GH</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83</w:t>
            </w:r>
          </w:p>
        </w:tc>
      </w:tr>
      <w:tr>
        <w:trPr>
          <w:cantSplit/>
        </w:trPr>
        <w:tc>
          <w:tcPr>
            <w:tcW w:type="dxa" w:w="3969"/>
          </w:tcPr>
          <w:p>
            <w:pPr>
              <w:keepNext/>
              <w:spacing w:after="20" w:before="20"/>
            </w:pPr>
            <w:r/>
            <w:r>
              <w:rPr>
                <w:rFonts w:ascii="BIZ UDPゴシック" w:hAnsi="BIZ UDPゴシック" w:eastAsia="BIZ UDPゴシック"/>
                <w:b w:val="0"/>
                <w:sz w:val="18"/>
              </w:rPr>
              <w:t>特定施設</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23</w:t>
            </w:r>
          </w:p>
        </w:tc>
      </w:tr>
      <w:tr>
        <w:trPr>
          <w:cantSplit/>
        </w:trPr>
        <w:tc>
          <w:tcPr>
            <w:tcW w:type="dxa" w:w="3969"/>
          </w:tcPr>
          <w:p>
            <w:pPr>
              <w:keepNext/>
              <w:spacing w:after="20" w:before="20"/>
            </w:pPr>
            <w:r/>
            <w:r>
              <w:rPr>
                <w:rFonts w:ascii="BIZ UDPゴシック" w:hAnsi="BIZ UDPゴシック" w:eastAsia="BIZ UDPゴシック"/>
                <w:b w:val="0"/>
                <w:sz w:val="18"/>
              </w:rPr>
              <w:t>住宅型有料</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10</w:t>
            </w:r>
          </w:p>
        </w:tc>
      </w:tr>
      <w:tr>
        <w:trPr>
          <w:cantSplit/>
        </w:trPr>
        <w:tc>
          <w:tcPr>
            <w:tcW w:type="dxa" w:w="3969"/>
          </w:tcPr>
          <w:p>
            <w:pPr>
              <w:keepNext/>
              <w:spacing w:after="20" w:before="20"/>
            </w:pPr>
            <w:r/>
            <w:r>
              <w:rPr>
                <w:rFonts w:ascii="BIZ UDPゴシック" w:hAnsi="BIZ UDPゴシック" w:eastAsia="BIZ UDPゴシック"/>
                <w:b w:val="0"/>
                <w:sz w:val="18"/>
              </w:rPr>
              <w:t>サ高住</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0</w:t>
            </w:r>
          </w:p>
        </w:tc>
      </w:tr>
      <w:tr>
        <w:trPr>
          <w:cantSplit/>
        </w:trPr>
        <w:tc>
          <w:tcPr>
            <w:tcW w:type="dxa" w:w="3969"/>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42</w:t>
            </w:r>
          </w:p>
        </w:tc>
      </w:tr>
      <w:tr>
        <w:trPr>
          <w:cantSplit/>
        </w:trPr>
        <w:tc>
          <w:tcPr>
            <w:tcW w:type="dxa" w:w="3969"/>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27</w:t>
            </w:r>
          </w:p>
        </w:tc>
        <w:tc>
          <w:tcPr>
            <w:tcW w:type="dxa" w:w="1701"/>
          </w:tcPr>
          <w:p>
            <w:pPr>
              <w:keepNext/>
              <w:spacing w:after="20" w:before="20"/>
              <w:jc w:val="right"/>
            </w:pPr>
            <w:r/>
            <w:r>
              <w:rPr>
                <w:rFonts w:ascii="BIZ UDPゴシック" w:hAnsi="BIZ UDPゴシック" w:eastAsia="BIZ UDPゴシック"/>
                <w:b w:val="0"/>
                <w:sz w:val="18"/>
              </w:rPr>
              <w:t>348</w:t>
            </w:r>
          </w:p>
        </w:tc>
      </w:tr>
    </w:tbl>
    <w:p>
      <w:pPr>
        <w:keepNext/>
        <w:spacing w:after="80" w:before="0"/>
      </w:pPr>
    </w:p>
    <w:p>
      <w:pPr>
        <w:keepNext/>
        <w:keepLines/>
        <w:spacing w:before="120" w:after="40"/>
      </w:pPr>
      <w:r>
        <w:rPr>
          <w:rFonts w:ascii="BIZ UDPゴシック" w:hAnsi="BIZ UDPゴシック" w:eastAsia="BIZ UDPゴシック"/>
          <w:b/>
          <w:sz w:val="18"/>
        </w:rPr>
        <w:t>【図表21】　サービス区分別の介護職員数（348人・重複を除く）</w:t>
      </w:r>
    </w:p>
    <w:p>
      <w:pPr>
        <w:keepLines/>
        <w:spacing w:after="160" w:before="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重複を除く</w:t>
            </w:r>
          </w:p>
        </w:tc>
        <w:tc>
          <w:tcPr>
            <w:tcW w:type="dxa" w:w="1701"/>
          </w:tcPr>
          <w:p>
            <w:pPr>
              <w:spacing w:after="20" w:before="20"/>
              <w:jc w:val="right"/>
            </w:pPr>
            <w:r/>
            <w:r>
              <w:rPr>
                <w:rFonts w:ascii="BIZ UDPゴシック" w:hAnsi="BIZ UDPゴシック" w:eastAsia="BIZ UDPゴシック"/>
                <w:b w:val="0"/>
                <w:sz w:val="18"/>
              </w:rPr>
              <w:t>348</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令和７年10月４日）では介護職員は常勤10人・非常勤７人であり、常勤の人数は一致します。未記入の非常勤は６人程度とみられます。常勤・非常勤の割合は、記入のあった313人を分母としています。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w:t>
      </w:r>
    </w:p>
    <w:p>
      <w:pPr>
        <w:keepLines/>
        <w:spacing w:after="160" w:before="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ます。重複を除くと348人となり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2268"/>
            <w:shd w:val="clear" w:fill="F2F2F2"/>
          </w:tcPr>
          <w:p>
            <w:pPr>
              <w:keepNext/>
              <w:spacing w:after="20" w:before="20"/>
              <w:jc w:val="center"/>
            </w:pPr>
            <w:r/>
            <w:r>
              <w:rPr>
                <w:rFonts w:ascii="BIZ UDPゴシック" w:hAnsi="BIZ UDPゴシック" w:eastAsia="BIZ UDPゴシック"/>
                <w:b/>
                <w:sz w:val="18"/>
              </w:rPr>
              <w:t>介護職員に対する割合</w:t>
            </w:r>
          </w:p>
        </w:tc>
      </w:tr>
      <w:tr>
        <w:trPr>
          <w:cantSplit/>
        </w:trPr>
        <w:tc>
          <w:tcPr>
            <w:tcW w:type="dxa" w:w="3402"/>
          </w:tcPr>
          <w:p>
            <w:pPr>
              <w:keepNext/>
              <w:spacing w:after="20" w:before="20"/>
            </w:pPr>
            <w:r/>
            <w:r>
              <w:rPr>
                <w:rFonts w:ascii="BIZ UDPゴシック" w:hAnsi="BIZ UDPゴシック" w:eastAsia="BIZ UDPゴシック"/>
                <w:b w:val="0"/>
                <w:sz w:val="18"/>
              </w:rPr>
              <w:t>採用者数</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2268"/>
          </w:tcPr>
          <w:p>
            <w:pPr>
              <w:keepNext/>
              <w:spacing w:after="20" w:before="20"/>
              <w:jc w:val="right"/>
            </w:pPr>
            <w:r/>
            <w:r>
              <w:rPr>
                <w:rFonts w:ascii="BIZ UDPゴシック" w:hAnsi="BIZ UDPゴシック" w:eastAsia="BIZ UDPゴシック"/>
                <w:b w:val="0"/>
                <w:sz w:val="18"/>
              </w:rPr>
              <w:t>23.9%</w:t>
            </w:r>
          </w:p>
        </w:tc>
      </w:tr>
      <w:tr>
        <w:trPr>
          <w:cantSplit/>
        </w:trPr>
        <w:tc>
          <w:tcPr>
            <w:tcW w:type="dxa" w:w="3402"/>
          </w:tcPr>
          <w:p>
            <w:pPr>
              <w:keepNext/>
              <w:spacing w:after="20" w:before="20"/>
            </w:pPr>
            <w:r/>
            <w:r>
              <w:rPr>
                <w:rFonts w:ascii="BIZ UDPゴシック" w:hAnsi="BIZ UDPゴシック" w:eastAsia="BIZ UDPゴシック"/>
                <w:b w:val="0"/>
                <w:sz w:val="18"/>
              </w:rPr>
              <w:t>離職者数</w:t>
            </w:r>
          </w:p>
        </w:tc>
        <w:tc>
          <w:tcPr>
            <w:tcW w:type="dxa" w:w="1701"/>
          </w:tcPr>
          <w:p>
            <w:pPr>
              <w:keepNext/>
              <w:spacing w:after="20" w:before="20"/>
              <w:jc w:val="right"/>
            </w:pPr>
            <w:r/>
            <w:r>
              <w:rPr>
                <w:rFonts w:ascii="BIZ UDPゴシック" w:hAnsi="BIZ UDPゴシック" w:eastAsia="BIZ UDPゴシック"/>
                <w:b w:val="0"/>
                <w:sz w:val="18"/>
              </w:rPr>
              <w:t>65</w:t>
            </w:r>
          </w:p>
        </w:tc>
        <w:tc>
          <w:tcPr>
            <w:tcW w:type="dxa" w:w="2268"/>
          </w:tcPr>
          <w:p>
            <w:pPr>
              <w:keepNext/>
              <w:spacing w:after="20" w:before="20"/>
              <w:jc w:val="right"/>
            </w:pPr>
            <w:r/>
            <w:r>
              <w:rPr>
                <w:rFonts w:ascii="BIZ UDPゴシック" w:hAnsi="BIZ UDPゴシック" w:eastAsia="BIZ UDPゴシック"/>
                <w:b w:val="0"/>
                <w:sz w:val="18"/>
              </w:rPr>
              <w:t>18.7%</w:t>
            </w:r>
          </w:p>
        </w:tc>
      </w:tr>
      <w:tr>
        <w:trPr>
          <w:cantSplit/>
        </w:trPr>
        <w:tc>
          <w:tcPr>
            <w:tcW w:type="dxa" w:w="3402"/>
          </w:tcPr>
          <w:p>
            <w:pPr>
              <w:keepNext/>
              <w:spacing w:after="20" w:before="20"/>
            </w:pPr>
            <w:r/>
            <w:r>
              <w:rPr>
                <w:rFonts w:ascii="BIZ UDPゴシック" w:hAnsi="BIZ UDPゴシック" w:eastAsia="BIZ UDPゴシック"/>
                <w:b w:val="0"/>
                <w:sz w:val="18"/>
              </w:rPr>
              <w:t>差（採用－離職）</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令和6年度の採用者数と離職者数（重複を除く）</w:t>
      </w:r>
    </w:p>
    <w:p>
      <w:pPr>
        <w:keepLines/>
        <w:spacing w:after="160" w:before="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令和６年度の採用者数は83人、離職者数は65人で、差は+18人です。採用が離職を上回っていますが、介護職員348人に対する離職者の割合は18.7%であり、毎年２割近くが入れ替わっている計算になります。</w:t>
      </w:r>
    </w:p>
    <w:p>
      <w:pPr>
        <w:pStyle w:val="note"/>
        <w:spacing w:after="80" w:line="276" w:lineRule="auto"/>
      </w:pPr>
      <w:r>
        <w:rPr>
          <w:b w:val="0"/>
        </w:rPr>
        <w:t>単純合計では採用90人・離職67人ですが、有料老人ホーム華とヘルパーステーションフラワーが同一の採用７人・離職２人を計上しているため、介護職員数と同じ考え方により有料老人ホーム側を除いています。内訳は、施設・通所系が採用69人・離職58人、訪問系が採用14人・離職７人です。</w:t>
      </w:r>
    </w:p>
    <w:p>
      <w:pPr>
        <w:pStyle w:val="note"/>
        <w:spacing w:after="80" w:line="276" w:lineRule="auto"/>
      </w:pPr>
      <w:r>
        <w:rPr>
          <w:b w:val="0"/>
        </w:rPr>
        <w:t>北海道の評価指標及び代表KPIは「採用率と離職率の差」を用いますが、その算定には各年９月30日現在の在籍者数を要します。本調査は令和７年４月１日現在であるため、そのままでは算定できません。</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今後10年の間に退職が見込まれる層が１割を超えており、人材確保の時間軸を示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訪問介護・訪問入浴・夜間対応型</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小規模多機能・看護小規模多機能・定期巡回</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通所介護・通所リハ・認知症デイ</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住宅型有料・サ高住（特定施設以外）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訪問介護のサービス提供時間の内訳（24,643分）</w:t>
      </w:r>
    </w:p>
    <w:p>
      <w:pPr>
        <w:keepLines/>
        <w:spacing w:after="160" w:before="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65歳以上の一般高齢者及び総合事業対象者4,729人にご回答いただいた内容の要約を示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本広域連合</w:t>
            </w:r>
          </w:p>
        </w:tc>
        <w:tc>
          <w:tcPr>
            <w:tcW w:type="dxa" w:w="1928"/>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361"/>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19.1%</w:t>
            </w:r>
          </w:p>
        </w:tc>
        <w:tc>
          <w:tcPr>
            <w:tcW w:type="dxa" w:w="1928"/>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35.5%</w:t>
            </w:r>
          </w:p>
        </w:tc>
        <w:tc>
          <w:tcPr>
            <w:tcW w:type="dxa" w:w="1928"/>
          </w:tcPr>
          <w:p>
            <w:pPr>
              <w:keepNext/>
              <w:spacing w:after="20" w:before="20"/>
              <w:jc w:val="right"/>
            </w:pPr>
            <w:r/>
            <w:r>
              <w:rPr>
                <w:rFonts w:ascii="BIZ UDPゴシック" w:hAnsi="BIZ UDPゴシック" w:eastAsia="BIZ UDPゴシック"/>
                <w:b w:val="0"/>
                <w:sz w:val="18"/>
              </w:rPr>
              <w:t>30.0%</w:t>
            </w:r>
          </w:p>
        </w:tc>
        <w:tc>
          <w:tcPr>
            <w:tcW w:type="dxa" w:w="1361"/>
          </w:tcPr>
          <w:p>
            <w:pPr>
              <w:keepNext/>
              <w:spacing w:after="20" w:before="20"/>
              <w:jc w:val="right"/>
            </w:pPr>
            <w:r/>
            <w:r>
              <w:rPr>
                <w:rFonts w:ascii="BIZ UDPゴシック" w:hAnsi="BIZ UDPゴシック" w:eastAsia="BIZ UDPゴシック"/>
                <w:b w:val="0"/>
                <w:sz w:val="18"/>
              </w:rPr>
              <w:t>＋5.5pt</w:t>
            </w:r>
          </w:p>
        </w:tc>
      </w:tr>
      <w:tr>
        <w:trPr>
          <w:cantSplit/>
        </w:trPr>
        <w:tc>
          <w:tcPr>
            <w:tcW w:type="dxa" w:w="3628"/>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24.7%</w:t>
            </w:r>
          </w:p>
        </w:tc>
        <w:tc>
          <w:tcPr>
            <w:tcW w:type="dxa" w:w="1928"/>
          </w:tcPr>
          <w:p>
            <w:pPr>
              <w:keepNext/>
              <w:spacing w:after="20" w:before="20"/>
              <w:jc w:val="right"/>
            </w:pPr>
            <w:r/>
            <w:r>
              <w:rPr>
                <w:rFonts w:ascii="BIZ UDPゴシック" w:hAnsi="BIZ UDPゴシック" w:eastAsia="BIZ UDPゴシック"/>
                <w:b w:val="0"/>
                <w:sz w:val="18"/>
              </w:rPr>
              <w:t>21.8%</w:t>
            </w:r>
          </w:p>
        </w:tc>
        <w:tc>
          <w:tcPr>
            <w:tcW w:type="dxa" w:w="1361"/>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w:t>
      </w:r>
    </w:p>
    <w:p>
      <w:pPr>
        <w:keepLines/>
        <w:spacing w:after="160" w:before="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転倒と口腔機能低下は、人口５万人未満の同規模保険者40と比べて明確に高くなっています。転倒は65～69歳で同規模を9.6ポイント上回り、若い年齢層で顕著です。</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友人知人と会う頻度が高い方の割合は63.0%で、同規模保険者40の71.2%を8.2ポイント下回ります。外出と社会参加が、他団体との比較における最大の課題です。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w:t>
      </w:r>
    </w:p>
    <w:p>
      <w:pPr>
        <w:keepLines/>
        <w:spacing w:after="160" w:before="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w:t>
      </w:r>
    </w:p>
    <w:p>
      <w:pPr>
        <w:keepLines/>
        <w:spacing w:after="160" w:before="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bl>
    <w:p>
      <w:pPr>
        <w:keepNext/>
        <w:spacing w:after="80" w:before="0"/>
      </w:pPr>
    </w:p>
    <w:p>
      <w:pPr>
        <w:keepNext/>
        <w:keepLines/>
        <w:spacing w:before="120" w:after="40"/>
      </w:pPr>
      <w:r>
        <w:rPr>
          <w:rFonts w:ascii="BIZ UDPゴシック" w:hAnsi="BIZ UDPゴシック" w:eastAsia="BIZ UDPゴシック"/>
          <w:b/>
          <w:sz w:val="18"/>
        </w:rPr>
        <w:t>【図表35】　運営法人別の事業所数（上位8法人・実75事業所）</w:t>
      </w:r>
    </w:p>
    <w:p>
      <w:pPr>
        <w:keepLines/>
        <w:spacing w:after="160" w:before="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w:t>
      </w:r>
    </w:p>
    <w:p>
      <w:pPr>
        <w:keepLines/>
        <w:spacing w:after="160" w:before="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介護職員の把握手段（348人）</w:t>
      </w:r>
    </w:p>
    <w:p>
      <w:pPr>
        <w:keepLines/>
        <w:spacing w:after="160" w:before="0"/>
        <w:jc w:val="center"/>
      </w:pPr>
      <w:r>
        <w:drawing>
          <wp:inline xmlns:a="http://schemas.openxmlformats.org/drawingml/2006/main" xmlns:pic="http://schemas.openxmlformats.org/drawingml/2006/picture">
            <wp:extent cx="5616000" cy="1388279"/>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388279"/>
                    </a:xfrm>
                    <a:prstGeom prst="rect"/>
                  </pic:spPr>
                </pic:pic>
              </a:graphicData>
            </a:graphic>
          </wp:inline>
        </w:drawing>
      </w: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keepNext/>
        <w:keepLines/>
        <w:spacing w:before="120" w:after="40"/>
      </w:pPr>
      <w:r>
        <w:rPr>
          <w:rFonts w:ascii="BIZ UDPゴシック" w:hAnsi="BIZ UDPゴシック" w:eastAsia="BIZ UDPゴシック"/>
          <w:b/>
          <w:sz w:val="18"/>
        </w:rPr>
        <w:t>【図表39】　認定者1,984人のサービス利用状況（令和7年度）</w:t>
      </w:r>
    </w:p>
    <w:p>
      <w:pPr>
        <w:keepLines/>
        <w:spacing w:after="160" w:before="0"/>
        <w:jc w:val="center"/>
      </w:pPr>
      <w:r>
        <w:drawing>
          <wp:inline xmlns:a="http://schemas.openxmlformats.org/drawingml/2006/main" xmlns:pic="http://schemas.openxmlformats.org/drawingml/2006/picture">
            <wp:extent cx="5616000" cy="1388279"/>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388279"/>
                    </a:xfrm>
                    <a:prstGeom prst="rect"/>
                  </pic:spPr>
                </pic:pic>
              </a:graphicData>
            </a:graphic>
          </wp:inline>
        </w:drawing>
      </w:r>
    </w:p>
    <w:p>
      <w:pPr>
        <w:pStyle w:val="note"/>
        <w:spacing w:after="80" w:line="276" w:lineRule="auto"/>
      </w:pPr>
      <w:r>
        <w:rPr>
          <w:b w:val="0"/>
        </w:rPr>
        <w:t>利用者数は月平均、認定者数は令和８年３月末の値であり、区分ごとの人数の合計は認定者数と一致しません。構成比は認定者数1,984人に対する割合です。</w:t>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新規入所の57.0%、退去先の47.0%が病院・診療所です。施設・居住系への入退所は医療機関との間で生じており、医療と介護の連携が流れを左右してい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348人（重複を除く）のうち、職員個票に回答した施設・通所系の316人でみると、介護福祉士が67.1%を占め、資格水準は高い状況にあります。一方、勤続１年未満が19.9%、令和６年度の離職者が65人であり、毎年およそ５人に１人が入れ替わっています。60歳以上の職員は13.3%で、今後10年の間に退職が見込まれる層が１割を超え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施設・住まいの供給量が確定した</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訪問・通所困難地域の判定に用いる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特定施設の入居者は軽度者が7割</w:t>
            </w:r>
          </w:p>
        </w:tc>
        <w:tc>
          <w:tcPr>
            <w:tcW w:type="dxa" w:w="3402"/>
          </w:tcPr>
          <w:p>
            <w:pPr>
              <w:keepNext/>
              <w:spacing w:after="20" w:before="20"/>
            </w:pPr>
            <w:r/>
            <w:r>
              <w:rPr>
                <w:rFonts w:ascii="BIZ UDPゴシック" w:hAnsi="BIZ UDPゴシック" w:eastAsia="BIZ UDPゴシック"/>
                <w:b w:val="0"/>
                <w:sz w:val="18"/>
              </w:rPr>
              <w:t>整備の必要量の判断材料とする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居所変更実態調査は９施設が未回答です。とくに区域内最大の特定施設が回答していないため、入所前の居場所と退去先の集計は定員56人分の２施設に基づいています。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⑧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⑨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⑩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事項</w:t>
            </w:r>
          </w:p>
        </w:tc>
        <w:tc>
          <w:tcPr>
            <w:tcW w:type="dxa" w:w="4195"/>
            <w:shd w:val="clear" w:fill="F2F2F2"/>
          </w:tcPr>
          <w:p>
            <w:pPr>
              <w:keepNext/>
              <w:spacing w:after="20" w:before="20"/>
              <w:jc w:val="center"/>
            </w:pPr>
            <w:r/>
            <w:r>
              <w:rPr>
                <w:rFonts w:ascii="BIZ UDPゴシック" w:hAnsi="BIZ UDPゴシック" w:eastAsia="BIZ UDPゴシック"/>
                <w:b/>
                <w:sz w:val="18"/>
              </w:rPr>
              <w:t>内容</w:t>
            </w:r>
          </w:p>
        </w:tc>
        <w:tc>
          <w:tcPr>
            <w:tcW w:type="dxa" w:w="3288"/>
            <w:shd w:val="clear" w:fill="F2F2F2"/>
          </w:tcPr>
          <w:p>
            <w:pPr>
              <w:keepNext/>
              <w:spacing w:after="20" w:before="20"/>
              <w:jc w:val="center"/>
            </w:pPr>
            <w:r/>
            <w:r>
              <w:rPr>
                <w:rFonts w:ascii="BIZ UDPゴシック" w:hAnsi="BIZ UDPゴシック" w:eastAsia="BIZ UDPゴシック"/>
                <w:b/>
                <w:sz w:val="18"/>
              </w:rPr>
              <w:t>確定しないと決まらないこと</w:t>
            </w:r>
          </w:p>
        </w:tc>
      </w:tr>
      <w:tr>
        <w:trPr>
          <w:cantSplit/>
        </w:trPr>
        <w:tc>
          <w:tcPr>
            <w:tcW w:type="dxa" w:w="2041"/>
          </w:tcPr>
          <w:p>
            <w:pPr>
              <w:keepNext/>
              <w:spacing w:after="20" w:before="20"/>
            </w:pPr>
            <w:r/>
            <w:r>
              <w:rPr>
                <w:rFonts w:ascii="BIZ UDPゴシック" w:hAnsi="BIZ UDPゴシック" w:eastAsia="BIZ UDPゴシック"/>
                <w:b w:val="0"/>
                <w:sz w:val="18"/>
              </w:rPr>
              <w:t>介護職員数の重複</w:t>
            </w:r>
          </w:p>
        </w:tc>
        <w:tc>
          <w:tcPr>
            <w:tcW w:type="dxa" w:w="4195"/>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w:t>
            </w:r>
          </w:p>
        </w:tc>
        <w:tc>
          <w:tcPr>
            <w:tcW w:type="dxa" w:w="3288"/>
          </w:tcPr>
          <w:p>
            <w:pPr>
              <w:keepNext/>
              <w:spacing w:after="20" w:before="20"/>
            </w:pPr>
            <w:r/>
            <w:r>
              <w:rPr>
                <w:rFonts w:ascii="BIZ UDPゴシック" w:hAnsi="BIZ UDPゴシック" w:eastAsia="BIZ UDPゴシック"/>
                <w:b w:val="0"/>
                <w:sz w:val="18"/>
              </w:rPr>
              <w:t>介護職員の総数が348人か361人か</w:t>
            </w:r>
          </w:p>
        </w:tc>
      </w:tr>
      <w:tr>
        <w:trPr>
          <w:cantSplit/>
        </w:trPr>
        <w:tc>
          <w:tcPr>
            <w:tcW w:type="dxa" w:w="2041"/>
          </w:tcPr>
          <w:p>
            <w:pPr>
              <w:keepNext/>
              <w:spacing w:after="20" w:before="20"/>
            </w:pPr>
            <w:r/>
            <w:r>
              <w:rPr>
                <w:rFonts w:ascii="BIZ UDPゴシック" w:hAnsi="BIZ UDPゴシック" w:eastAsia="BIZ UDPゴシック"/>
                <w:b w:val="0"/>
                <w:sz w:val="18"/>
              </w:rPr>
              <w:t>利用者票の回答の偏り</w:t>
            </w:r>
          </w:p>
        </w:tc>
        <w:tc>
          <w:tcPr>
            <w:tcW w:type="dxa" w:w="4195"/>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3288"/>
          </w:tcPr>
          <w:p>
            <w:pPr>
              <w:keepNext/>
              <w:spacing w:after="20" w:before="20"/>
            </w:pPr>
            <w:r/>
            <w:r>
              <w:rPr>
                <w:rFonts w:ascii="BIZ UDPゴシック" w:hAnsi="BIZ UDPゴシック" w:eastAsia="BIZ UDPゴシック"/>
                <w:b w:val="0"/>
                <w:sz w:val="18"/>
              </w:rPr>
              <w:t>小規模多機能の見込量の根拠が44件か13件か</w:t>
            </w:r>
          </w:p>
        </w:tc>
      </w:tr>
      <w:tr>
        <w:trPr>
          <w:cantSplit/>
        </w:trPr>
        <w:tc>
          <w:tcPr>
            <w:tcW w:type="dxa" w:w="2041"/>
          </w:tcPr>
          <w:p>
            <w:pPr>
              <w:keepNext/>
              <w:spacing w:after="20" w:before="20"/>
            </w:pPr>
            <w:r/>
            <w:r>
              <w:rPr>
                <w:rFonts w:ascii="BIZ UDPゴシック" w:hAnsi="BIZ UDPゴシック" w:eastAsia="BIZ UDPゴシック"/>
                <w:b w:val="0"/>
                <w:sz w:val="18"/>
              </w:rPr>
              <w:t>利用者の所在地区</w:t>
            </w:r>
          </w:p>
        </w:tc>
        <w:tc>
          <w:tcPr>
            <w:tcW w:type="dxa" w:w="4195"/>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3288"/>
          </w:tcPr>
          <w:p>
            <w:pPr>
              <w:keepNext/>
              <w:spacing w:after="20" w:before="20"/>
            </w:pPr>
            <w:r/>
            <w:r>
              <w:rPr>
                <w:rFonts w:ascii="BIZ UDPゴシック" w:hAnsi="BIZ UDPゴシック" w:eastAsia="BIZ UDPゴシック"/>
                <w:b w:val="0"/>
                <w:sz w:val="18"/>
              </w:rPr>
              <w:t>地区別・日常生活圏域別の分析の可否</w:t>
            </w:r>
          </w:p>
        </w:tc>
      </w:tr>
      <w:tr>
        <w:trPr>
          <w:cantSplit/>
        </w:trPr>
        <w:tc>
          <w:tcPr>
            <w:tcW w:type="dxa" w:w="2041"/>
          </w:tcPr>
          <w:p>
            <w:pPr>
              <w:keepNext/>
              <w:spacing w:after="20" w:before="20"/>
            </w:pPr>
            <w:r/>
            <w:r>
              <w:rPr>
                <w:rFonts w:ascii="BIZ UDPゴシック" w:hAnsi="BIZ UDPゴシック" w:eastAsia="BIZ UDPゴシック"/>
                <w:b w:val="0"/>
                <w:sz w:val="18"/>
              </w:rPr>
              <w:t>老健・通所リハの介護職員数</w:t>
            </w:r>
          </w:p>
        </w:tc>
        <w:tc>
          <w:tcPr>
            <w:tcW w:type="dxa" w:w="4195"/>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3288"/>
          </w:tcPr>
          <w:p>
            <w:pPr>
              <w:keepNext/>
              <w:spacing w:after="20" w:before="20"/>
            </w:pPr>
            <w:r/>
            <w:r>
              <w:rPr>
                <w:rFonts w:ascii="BIZ UDPゴシック" w:hAnsi="BIZ UDPゴシック" w:eastAsia="BIZ UDPゴシック"/>
                <w:b w:val="0"/>
                <w:sz w:val="18"/>
              </w:rPr>
              <w:t>従事者数の推移を見える化システムで記述できるか</w:t>
            </w:r>
          </w:p>
        </w:tc>
      </w:tr>
      <w:tr>
        <w:trPr>
          <w:cantSplit/>
        </w:trPr>
        <w:tc>
          <w:tcPr>
            <w:tcW w:type="dxa" w:w="2041"/>
          </w:tcPr>
          <w:p>
            <w:pPr>
              <w:keepNext/>
              <w:spacing w:after="20" w:before="20"/>
            </w:pPr>
            <w:r/>
            <w:r>
              <w:rPr>
                <w:rFonts w:ascii="BIZ UDPゴシック" w:hAnsi="BIZ UDPゴシック" w:eastAsia="BIZ UDPゴシック"/>
                <w:b w:val="0"/>
                <w:sz w:val="18"/>
              </w:rPr>
              <w:t>特定施設1施設の未回答</w:t>
            </w:r>
          </w:p>
        </w:tc>
        <w:tc>
          <w:tcPr>
            <w:tcW w:type="dxa" w:w="4195"/>
          </w:tcPr>
          <w:p>
            <w:pPr>
              <w:keepNext/>
              <w:spacing w:after="20" w:before="20"/>
            </w:pPr>
            <w:r/>
            <w:r>
              <w:rPr>
                <w:rFonts w:ascii="BIZ UDPゴシック" w:hAnsi="BIZ UDPゴシック" w:eastAsia="BIZ UDPゴシック"/>
                <w:b w:val="0"/>
                <w:sz w:val="18"/>
              </w:rPr>
              <w:t>区域内最大の特定施設が居所変更実態調査に回答していない。定員・入居者数・職員数は公表データで補えるが、入所前の居場所と退去先は補えない</w:t>
            </w:r>
          </w:p>
        </w:tc>
        <w:tc>
          <w:tcPr>
            <w:tcW w:type="dxa" w:w="3288"/>
          </w:tcPr>
          <w:p>
            <w:pPr>
              <w:keepNext/>
              <w:spacing w:after="20" w:before="20"/>
            </w:pPr>
            <w:r/>
            <w:r>
              <w:rPr>
                <w:rFonts w:ascii="BIZ UDPゴシック" w:hAnsi="BIZ UDPゴシック" w:eastAsia="BIZ UDPゴシック"/>
                <w:b w:val="0"/>
                <w:sz w:val="18"/>
              </w:rPr>
              <w:t>入所前の居場所・退去先の集計の代表性</w:t>
            </w:r>
          </w:p>
        </w:tc>
      </w:tr>
      <w:tr>
        <w:trPr>
          <w:cantSplit/>
        </w:trPr>
        <w:tc>
          <w:tcPr>
            <w:tcW w:type="dxa" w:w="2041"/>
          </w:tcPr>
          <w:p>
            <w:pPr>
              <w:spacing w:after="20" w:before="20"/>
            </w:pPr>
            <w:r/>
            <w:r>
              <w:rPr>
                <w:rFonts w:ascii="BIZ UDPゴシック" w:hAnsi="BIZ UDPゴシック" w:eastAsia="BIZ UDPゴシック"/>
                <w:b w:val="0"/>
                <w:sz w:val="18"/>
              </w:rPr>
              <w:t>特別養護老人ホームの待機者</w:t>
            </w:r>
          </w:p>
        </w:tc>
        <w:tc>
          <w:tcPr>
            <w:tcW w:type="dxa" w:w="4195"/>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3288"/>
          </w:tcPr>
          <w:p>
            <w:pPr>
              <w:spacing w:after="20" w:before="20"/>
            </w:pPr>
            <w:r/>
            <w:r>
              <w:rPr>
                <w:rFonts w:ascii="BIZ UDPゴシック" w:hAnsi="BIZ UDPゴシック" w:eastAsia="BIZ UDPゴシック"/>
                <w:b w:val="0"/>
                <w:sz w:val="18"/>
              </w:rPr>
              <w:t>整備の必要量の判断</w:t>
            </w:r>
          </w:p>
        </w:tc>
      </w:tr>
    </w:tbl>
    <w:p>
      <w:pPr>
        <w:spacing w:after="80" w:before="0"/>
      </w:pP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