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Ver.2.19</w:t>
      </w:r>
    </w:p>
    <w:p>
      <w:pPr>
        <w:spacing w:after="80" w:before="80"/>
        <w:jc w:val="center"/>
      </w:pPr>
      <w:r>
        <w:rPr>
          <w:rFonts w:ascii="游ゴシック" w:cs="游ゴシック" w:eastAsia="游ゴシック" w:hAnsi="游ゴシック"/>
          <w:b w:val="false"/>
          <w:bCs w:val="false"/>
          <w:i/>
          <w:iCs/>
          <w:sz w:val="18"/>
          <w:szCs w:val="18"/>
        </w:rPr>
        <w:t xml:space="preserve">（範囲明記版）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令和9年3月（予定）</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bl>
    <w:p>
      <w:pPr>
        <w:spacing w:after="80" w:before="80" w:line="280"/>
        <w:ind w:left="288"/>
      </w:pPr>
      <w:r>
        <w:rPr>
          <w:rFonts w:ascii="游ゴシック" w:cs="游ゴシック" w:eastAsia="游ゴシック" w:hAnsi="游ゴシック"/>
          <w:i/>
          <w:iCs/>
          <w:sz w:val="20"/>
          <w:szCs w:val="20"/>
        </w:rPr>
        <w:t xml:space="preserve">⚠ 頁番号は、本素案Ver.2.19の組版によるものです。図表の差替え・加筆により頁の割付けが動いた場合は、目次の頁番号も併せて更新します。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2.19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を基本とし、認知症施策のみを独立した柱に引き上げ、7つの柱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3計画同時策定の機会を活かし、移送サービス・重層的支援体制等の重複する論点を整理して整合を確保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2-7・7-1・9-1。揃っているのは本町被保険者の受給者数のみ。施設・事業所数は出典が確定しておらず、入所率・稼働率・従事者数は未受領（確認事項No.29・No.50・No.51・No.159）（確認事項No.29・No.159）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565人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　⚠ 出典が確定しておらず、地域密着型介護老人福祉施設及び認知症対応型共同生活介護が落ちています（確認事項No.29）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本節の各事業の数値実績は、町担当課による集計の結果を本表に反映します。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各事業の数値実績は、町担当課による集計の完了を経て確定します。確定までの間、本表の値は［要確認］として掲げています。</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第9期計画で設定された評価指標（KPI）の達成状況は、町担当課での集計を経て確定します。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地域福祉計画・障害者計画と同時策定。移送・重層的支援等の論点整理が必要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検討過程の基本目標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本計画の基本理念・施策の体系は以下のとおりです。柱ごとの節・項・事業は、7つの柱17節37項143事業により構成しています。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町の施策・事業の体系（案）に掲げられていない施策。通院の移動・付添に係る家族の負担が大きく、移動支援（第3章）と一体で検討する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重層的支援体制整備事業との連動（5-4）につなげる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計画値と実績値の乖離のモニタリングと公表（8-3）と連動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介護給付の適正化（8-2）と一体で運用する。令和8年度に得点できなかった項目は【町確認】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本町の認知症の人の数</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80"/>
        <w:gridCol w:w="80"/>
        <w:gridCol w:w="115"/>
        <w:gridCol w:w="115"/>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年齢階級</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人口（男）</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人口（女）</w:t>
            </w:r>
          </w:p>
        </w:tc>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認知症の人の数</w:t>
              <w:br/>
              <w:t xml:space="preserve">（推計）</w:t>
            </w:r>
          </w:p>
        </w:tc>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軽度認知障害（ＭＣＩ）</w:t>
              <w:br/>
              <w:t xml:space="preserve">の人の数（推計）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70〜74歳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75〜79歳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80〜84歳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85〜89歳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474人</w:t>
            </w:r>
          </w:p>
        </w:tc>
      </w:tr>
    </w:tbl>
    <w:p>
      <w:pPr>
        <w:spacing w:after="80" w:before="30" w:line="260"/>
        <w:jc w:val="right"/>
      </w:pPr>
      <w:r>
        <w:rPr>
          <w:rFonts w:ascii="游ゴシック" w:cs="游ゴシック" w:eastAsia="游ゴシック" w:hAnsi="游ゴシック"/>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計画の策定及び変更に当たって、認知症の方及びその家族等の意見を聴きます。計画書案の作成前に実施します。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策定した計画を、町の広報及びホームページにより公表します。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法定の認知症の日・認知症月間は、国際的な呼称である「世界アルツハイマー月間」とは別のものである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施設数は、第1回策定委員会でのご説明によるものであり、町の指定台帳との突合が済んでいません。令和7年度には地域密着型介護老人福祉施設入所者生活介護（月26.6人）及び認知症対応型共同生活介護（月25.9人）の給付の実績がありますので、町内の提供体制はこれらを含めて整理する必要があります。地域密着型サービスは町が指定権者ですので、町の指定台帳により確定します（確認事項No.29）。</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地域ケア会議・地域密着型サービス運営協議会等の既存の場を活用した情報共有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町の施策・事業の体系（案）に掲げられていない施策。第7章に含めるか第8章として立てるかを確認中（確認事項No.108）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10,579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50,595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236.9</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70.7</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生活支援コーディネーター数、事業所ヒアリングの実施、計画値と実績値の乖離のモニタリングと公表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以上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は、第9期の事業実績、関連施策評価調査の結果、事業所への照会の結果、及び国通知の確認を経て更新し、令和8年11月の第2回策定委員会で計画骨子（素案）として審議いただく予定です。第9章に掲げ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