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東川町が令和6〜8年度を対象とする事業の数値目標を6事業10項目以上設定している一方、美瑛町・東神楽町は事業の数値目標を設定していません。広域連合の代表KPIの検証に参画することを明記していたのも東川町のみです。第10期では、3町の計画に共通KPIを掲載していただくことを前提として役割分担表を構成しています（資料2）。</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当広域連合では同調査を実施していないため、家族の就業の状況・意向は、健康とくらしの調査及び在宅生活改善調査の結果により把握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美馬牛地区にはJR富良野線美馬牛駅があります。美瑛町の面積は676.78km²で東神楽町（68.5km²）の約9.9倍であり、同じ町内でも移動距離が大きく異なります。また東川町は大雪山国立公園を含み面積247.3km²であり、山間部の居住状況にも差があります。注4）訪問・通所困難地域の判定は、区域内の訪問系・通所系サービスを提供する全事業所の通常の事業の実施地域に基づき確定し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北海道が管内の広域連合（道内24広域連合）に対して読替えの考え方を示している場合は、それに従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注2）75歳以上人口は、見える化A3（後期高齢者数）の本広域連合計（令和2年5,167人）を第9期計画の町別高齢化率で按分した推計値です。基準は令和2年国勢調査を用いることとしているため、判定は同調査による3町の面積及び75歳以上人口の確定値により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は第6章第6節に示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七が求める「稼働率」の把握が必要となる典型例です。4事業所の定員、登録者数及び延べ利用者数を年次で把握します（第5章 基本目標3）。</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H12（必要サービス未充足率）及びH16（災害・感染症時の必須サービス継続率）は、事業所を対象とする調査を必要とするため、データ源を確定したうえで基準値を設定します。代理指標への振替えを含めて検討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給付水準の高さは認定率ではなく、施設・居住系の受給率と受給者単価に由来します。ただし受給率と単価は独立ではなく、区域外施設の利用の影響も含むため、自給率の算定により要因を特定します。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確定していないため、施策単位の達成・未達の成果評価は、実績の確定後に同一の定義で判定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本節の分析は、総合得点、目標別及び指標群別の得点並びに目標Ⅰ～Ⅳの内訳によります。0点となっている項目については、取組自体を行っていないのか、取組はあるが要件を満たさないのかを、評価調書との突合により判別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目標値は、第9期実績、健康とくらしの調査、在宅生活改善調査、居所変更実態調査及び2029年・2040年推計に基づいて設定します。認定率や利用率は一律に低下を目標とせず、適正水準と要因を評価します。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24時間対応サービスの確保方策の決定に当たっては、①要介護4・5の在宅生活者の夜間・深夜のニーズ、②事業者の参入意向、③旭川市の事業所の受入可能性、④特定地域居宅サービス等事業の適用可否、の4点を踏まえ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注）必要保険料月額は、当該年度の保険給付費及び地域支援事業費から逆算した概算値です。剰余の額は、基金残高及び取崩実績の推移と併せて第6節に示します。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H07・H08・H12・H16の4項目は、事業所を対象とする調査をデータ源とするため、データ源を確定したうえで基準値を設定しま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東川町が訪問型サービス利用者数200人／年、通所型サービス利用者数150人／年、介護予防ケアマネジメント件数720件／年等の数値目標を令和6〜8年度について設定しています。美瑛町・東神楽町は事業の数値目標を設定していません。第10期では、3町の計画に共通KPIを掲載していただくことが本表の実効性の前提となります。東川町には目標を年度別に設定し実績と対比する仕組みが既にあるため、同町の様式を参考として共有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