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110件（条件付き51件・送付33件・内部保管21件・対象外5件）と計画素案（896段落143表36図）です。ビルドスクリプトは109本あり、うち19本が自らの計算を検算する自己点検を備えています（計232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自己点検を備えたスクリプト（19本・計232件）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c>
          <w:tcPr>
            <w:tcW w:type="dxa" w:w="3572"/>
            <w:shd w:val="clear" w:color="auto" w:fill="F2F5FA"/>
            <w:vAlign w:val="center"/>
          </w:tcPr>
          <w:p>
            <w:pPr>
              <w:spacing w:after="0"/>
            </w:pPr>
            <w:r>
              <w:rPr>
                <w:rFonts w:ascii="游ゴシック" w:hAnsi="游ゴシック" w:eastAsia="游ゴシック"/>
                <w:sz w:val="16"/>
              </w:rPr>
            </w:r>
          </w:p>
        </w:tc>
        <w:tc>
          <w:tcPr>
            <w:tcW w:type="dxa" w:w="907"/>
            <w:shd w:val="clear" w:color="auto" w:fill="F2F5FA"/>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896段落143表36図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発注者・委員会・住民の目に触れるもの。未確定箇所が135箇所（要協議109・要確認25・要内訳1）残っている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確認事項154件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w:t>
              <w:br/>
              <w:t>3,083,474,291円</w:t>
            </w:r>
          </w:p>
        </w:tc>
        <w:tc>
          <w:tcPr>
            <w:tcW w:type="dxa" w:w="3288"/>
            <w:shd w:val="clear" w:color="auto" w:fill="F2F5FA"/>
            <w:vAlign w:val="center"/>
          </w:tcPr>
          <w:p>
            <w:pPr>
              <w:spacing w:after="0"/>
            </w:pPr>
            <w:r>
              <w:rPr>
                <w:rFonts w:ascii="游ゴシック" w:hAnsi="游ゴシック" w:eastAsia="游ゴシック"/>
                <w:b w:val="0"/>
                <w:sz w:val="18"/>
              </w:rPr>
              <w:t>129,580,267円（4.20％）の差。令和6年度・令和8年度は円単位で一致する。抽出条件を照会中（確認事項No.87）</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現在135箇所（要協議109・要確認25・要内訳1）です。うち第6章第4節（施設の見込み）に58箇所（43％）が集中しており、日常生活圏域と必要利用定員総数（確認事項No.88）が決まれば解消します。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自己点検を備えた19本を順に実行し、終了コードが0であることを確かめます。1件でも合わなければ終了コード1で終わり、不適合の内容が表示されます。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再実行できない3本（第2節3）は除いています。自己点検を持たないスクリプトも実行されますが、書き出しに失敗すればやはり0以外で終わります。自己点検を備えた19本は第3節1の表のとおりです。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本書についてのお尋ねは、受託者までお願いします。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