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Ver.2.10</w:t>
      </w:r>
    </w:p>
    <w:p>
      <w:pPr>
        <w:spacing w:after="80" w:before="80"/>
        <w:jc w:val="center"/>
      </w:pPr>
      <w:r>
        <w:rPr>
          <w:rFonts w:ascii="游ゴシック" w:cs="游ゴシック" w:eastAsia="游ゴシック" w:hAnsi="游ゴシック"/>
          <w:b w:val="false"/>
          <w:bCs w:val="false"/>
          <w:i/>
          <w:iCs/>
          <w:sz w:val="18"/>
          <w:szCs w:val="18"/>
        </w:rPr>
        <w:t xml:space="preserve">（制度改正補完版）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111</w:t>
            </w:r>
          </w:p>
        </w:tc>
      </w:tr>
    </w:tbl>
    <w:p>
      <w:pPr>
        <w:spacing w:after="80" w:before="80" w:line="280"/>
        <w:ind w:left="288"/>
      </w:pPr>
      <w:r>
        <w:rPr>
          <w:rFonts w:ascii="游ゴシック" w:cs="游ゴシック" w:eastAsia="游ゴシック" w:hAnsi="游ゴシック"/>
          <w:i/>
          <w:iCs/>
          <w:sz w:val="20"/>
          <w:szCs w:val="20"/>
        </w:rPr>
        <w:t xml:space="preserve">⚠ 頁番号は、本素案Ver.2.10の組版によるものです。図表の差替え・加筆により頁の割付けが動いた場合は、目次の頁番号も併せて更新します。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2.10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事業」「包括的・継続的マネジメント事業」「総合相談支援事業」「高齢者虐待の防止・権利擁護事業（成年後見制度を含む）及び早期発見」の４つの事業を推進していきます。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事業では、チェックリストに該当した総合事業対象者や要支援者等に対する介護予防、重度化防止の支援を行っています。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介護予防の活動やボランティアへの参加にポイントを付与し、参加を促します。交付金 支援 目標Ⅰで県内1位の取組です。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体系（案）にない施策。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柱72（介護費用適正化の推進）と一体で運用する。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