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資料2　第9期計画の進捗と評価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第10期計画の基本理念・基本目標・施策体系（案）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サービス見込み量の考え方（案）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介護保険料の概算シミュレーション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成果目標・活動指標（案）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本資料は、令和8年11月に開催する第2回策定委員会の資料の一部です。資料3（アンケート調査結果）は、調査の集計後に作成します。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【要確認】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北塩原村への確認により確定する事項です。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【要設定】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目標値等を今後設定する箇所です。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【試算中】／【推計中】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国の推計ワークシートの提供後に算出する数値です。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資料5・6は骨格です。数値は、国の推計ワークシートの提供（第10期基本指針の告示後）と、村の実績データの受領をもって確定します。本日は「考え方」についてご意見をいただきたく存じます。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資料4は、本委員会でご議論いただきたい事項の中心です。各施策の根拠となる住民ニーズの数値は、資料3で補足します。</w:t>
      </w:r>
    </w:p>
    <w:p>
      <w:r>
        <w:br w:type="page"/>
      </w:r>
    </w:p>
    <w:p>
      <w:pPr>
        <w:spacing w:after="3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【要確定】国の推計ワークシートによる算定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国の推計ワークシートの配布と入手（県への照会）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【要確定】必要利用定員総数（27人の据置きか増床か）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待機者数と村外のグループホームの利用者数の把握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村内の認知症対応型共同生活介護は定員27人の1施設のみである。待機者数と村外利用者数が把握できていないため、増床の要否を判断する材料がそろっていない（確認事項）。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【要確定】保険料の基準額（月額）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国の推計ワークシート、基金の取崩額、第1号被保険者数の置き方の決定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【要確定】介護給付費準備基金の取崩額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基金の残高と取崩方針の村の決定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【要確定】第1号被保険者負担割合（α）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第10期に適用される政令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国の推計ワークシート、主要3事業の勘案についての県への照会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基金の取崩額は保険料の基準額を月額で数百円動かします。取崩しの考え方を第3回でご決定いただきます。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2026-10-04T13:45:25.259Z</dcterms:created>
  <dcterms:modified xsi:type="dcterms:W3CDTF">2026-10-04T13:45:25.259Z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