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70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9件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10件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20件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20件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6件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委員会に出す資料に直に要るもの（9件）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サービスの見込量を確定するために要るもの（10件）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32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82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高齢者福祉の施策との接続（20件）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第5章7（4）の村単独事業の記述を数値で裏づける。通院の負担は移動支援の論点（Ｍ-45・Ｍ-46）にもつながる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対象に含まれることが分かったため、次は実績である。Ｍ-55と同じ便で尋ねる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既にある施策の実績（20件）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32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82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会津北部４町村及び県との広域整合（6件）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32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82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